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20BE1D" w14:textId="77777777" w:rsidR="00A003C6" w:rsidRDefault="00A003C6">
      <w:pPr>
        <w:spacing w:after="0" w:line="480" w:lineRule="auto"/>
        <w:ind w:firstLine="720"/>
        <w:jc w:val="center"/>
        <w:rPr>
          <w:rFonts w:ascii="Times New Roman" w:eastAsia="Times New Roman" w:hAnsi="Times New Roman" w:cs="Times New Roman"/>
          <w:b/>
          <w:u w:val="single"/>
        </w:rPr>
      </w:pPr>
    </w:p>
    <w:p w14:paraId="612A4AE1" w14:textId="77777777" w:rsidR="00A003C6" w:rsidRDefault="00A003C6">
      <w:pPr>
        <w:spacing w:after="0" w:line="480" w:lineRule="auto"/>
        <w:ind w:firstLine="720"/>
        <w:jc w:val="center"/>
        <w:rPr>
          <w:rFonts w:ascii="Times New Roman" w:eastAsia="Times New Roman" w:hAnsi="Times New Roman" w:cs="Times New Roman"/>
          <w:b/>
          <w:u w:val="single"/>
        </w:rPr>
      </w:pPr>
    </w:p>
    <w:p w14:paraId="2E878C9B" w14:textId="77777777" w:rsidR="00A003C6" w:rsidRDefault="00A003C6">
      <w:pPr>
        <w:spacing w:after="0" w:line="480" w:lineRule="auto"/>
        <w:ind w:firstLine="720"/>
        <w:jc w:val="center"/>
        <w:rPr>
          <w:rFonts w:ascii="Times New Roman" w:eastAsia="Times New Roman" w:hAnsi="Times New Roman" w:cs="Times New Roman"/>
          <w:b/>
          <w:u w:val="single"/>
        </w:rPr>
      </w:pPr>
    </w:p>
    <w:p w14:paraId="2129DB3F" w14:textId="77777777" w:rsidR="00A003C6" w:rsidRDefault="00A003C6">
      <w:pPr>
        <w:spacing w:after="0" w:line="480" w:lineRule="auto"/>
        <w:ind w:firstLine="720"/>
        <w:jc w:val="center"/>
        <w:rPr>
          <w:rFonts w:ascii="Times New Roman" w:eastAsia="Times New Roman" w:hAnsi="Times New Roman" w:cs="Times New Roman"/>
          <w:b/>
          <w:u w:val="single"/>
        </w:rPr>
      </w:pPr>
    </w:p>
    <w:p w14:paraId="5DCCB78F" w14:textId="77777777" w:rsidR="00A003C6" w:rsidRDefault="00A003C6">
      <w:pPr>
        <w:spacing w:after="0" w:line="480" w:lineRule="auto"/>
        <w:ind w:firstLine="720"/>
        <w:jc w:val="center"/>
        <w:rPr>
          <w:rFonts w:ascii="Times New Roman" w:eastAsia="Times New Roman" w:hAnsi="Times New Roman" w:cs="Times New Roman"/>
          <w:b/>
          <w:sz w:val="28"/>
          <w:szCs w:val="28"/>
          <w:u w:val="single"/>
        </w:rPr>
      </w:pPr>
    </w:p>
    <w:p w14:paraId="11AAC138" w14:textId="77777777" w:rsidR="00A003C6" w:rsidRDefault="00A003C6">
      <w:pPr>
        <w:spacing w:after="0" w:line="240" w:lineRule="auto"/>
        <w:ind w:firstLine="720"/>
        <w:jc w:val="center"/>
        <w:rPr>
          <w:rFonts w:ascii="Times New Roman" w:eastAsia="Times New Roman" w:hAnsi="Times New Roman" w:cs="Times New Roman"/>
          <w:b/>
        </w:rPr>
      </w:pPr>
    </w:p>
    <w:p w14:paraId="5EC333C5" w14:textId="77777777" w:rsidR="00A003C6" w:rsidRDefault="00A003C6">
      <w:pPr>
        <w:spacing w:after="0" w:line="240" w:lineRule="auto"/>
        <w:ind w:firstLine="720"/>
        <w:jc w:val="center"/>
        <w:rPr>
          <w:rFonts w:ascii="Times New Roman" w:eastAsia="Times New Roman" w:hAnsi="Times New Roman" w:cs="Times New Roman"/>
          <w:b/>
        </w:rPr>
      </w:pPr>
    </w:p>
    <w:p w14:paraId="01A5EFC7" w14:textId="77777777" w:rsidR="00A003C6" w:rsidRDefault="00AD7092" w:rsidP="009638B9">
      <w:pPr>
        <w:spacing w:after="0" w:line="480" w:lineRule="auto"/>
        <w:ind w:firstLine="720"/>
        <w:jc w:val="center"/>
        <w:rPr>
          <w:rFonts w:ascii="Times New Roman" w:eastAsia="Times New Roman" w:hAnsi="Times New Roman" w:cs="Times New Roman"/>
          <w:b/>
        </w:rPr>
      </w:pPr>
      <w:r>
        <w:rPr>
          <w:rFonts w:ascii="Times New Roman" w:eastAsia="Times New Roman" w:hAnsi="Times New Roman" w:cs="Times New Roman"/>
          <w:b/>
        </w:rPr>
        <w:t xml:space="preserve">The Connection Cookbook: </w:t>
      </w:r>
    </w:p>
    <w:p w14:paraId="55EC4549" w14:textId="77777777" w:rsidR="00A003C6" w:rsidRDefault="00AD7092" w:rsidP="009638B9">
      <w:pPr>
        <w:spacing w:after="0" w:line="480" w:lineRule="auto"/>
        <w:ind w:firstLine="720"/>
        <w:jc w:val="center"/>
        <w:rPr>
          <w:rFonts w:ascii="Times New Roman" w:eastAsia="Times New Roman" w:hAnsi="Times New Roman" w:cs="Times New Roman"/>
          <w:b/>
        </w:rPr>
      </w:pPr>
      <w:r>
        <w:rPr>
          <w:rFonts w:ascii="Times New Roman" w:eastAsia="Times New Roman" w:hAnsi="Times New Roman" w:cs="Times New Roman"/>
          <w:b/>
        </w:rPr>
        <w:t>3 Positive Application Recipes for Volunteers at Face to Face</w:t>
      </w:r>
    </w:p>
    <w:p w14:paraId="642AF0DD" w14:textId="77777777" w:rsidR="00A003C6" w:rsidRDefault="00A003C6">
      <w:pPr>
        <w:spacing w:after="0" w:line="240" w:lineRule="auto"/>
        <w:ind w:firstLine="720"/>
        <w:jc w:val="center"/>
        <w:rPr>
          <w:rFonts w:ascii="Times New Roman" w:eastAsia="Times New Roman" w:hAnsi="Times New Roman" w:cs="Times New Roman"/>
          <w:b/>
          <w:sz w:val="28"/>
          <w:szCs w:val="28"/>
        </w:rPr>
      </w:pPr>
    </w:p>
    <w:p w14:paraId="5E673071" w14:textId="77777777" w:rsidR="00A003C6" w:rsidRDefault="00A003C6">
      <w:pPr>
        <w:spacing w:after="0" w:line="240" w:lineRule="auto"/>
        <w:ind w:firstLine="720"/>
        <w:jc w:val="center"/>
        <w:rPr>
          <w:rFonts w:ascii="Times New Roman" w:eastAsia="Times New Roman" w:hAnsi="Times New Roman" w:cs="Times New Roman"/>
          <w:b/>
          <w:sz w:val="28"/>
          <w:szCs w:val="28"/>
        </w:rPr>
      </w:pPr>
    </w:p>
    <w:p w14:paraId="37BA36F1" w14:textId="77777777" w:rsidR="00A003C6" w:rsidRDefault="00A003C6">
      <w:pPr>
        <w:spacing w:after="0" w:line="240" w:lineRule="auto"/>
        <w:ind w:firstLine="720"/>
        <w:jc w:val="center"/>
        <w:rPr>
          <w:rFonts w:ascii="Times New Roman" w:eastAsia="Times New Roman" w:hAnsi="Times New Roman" w:cs="Times New Roman"/>
          <w:b/>
          <w:sz w:val="28"/>
          <w:szCs w:val="28"/>
        </w:rPr>
      </w:pPr>
    </w:p>
    <w:p w14:paraId="7DDA97DC" w14:textId="77777777" w:rsidR="00A003C6" w:rsidRDefault="00AD7092">
      <w:pPr>
        <w:spacing w:after="0" w:line="240" w:lineRule="auto"/>
        <w:ind w:firstLine="720"/>
        <w:jc w:val="center"/>
        <w:rPr>
          <w:rFonts w:ascii="Times New Roman" w:eastAsia="Times New Roman" w:hAnsi="Times New Roman" w:cs="Times New Roman"/>
        </w:rPr>
      </w:pPr>
      <w:r>
        <w:rPr>
          <w:rFonts w:ascii="Times New Roman" w:eastAsia="Times New Roman" w:hAnsi="Times New Roman" w:cs="Times New Roman"/>
        </w:rPr>
        <w:t>Authors: Mary Anderson, Landree Salazar, Taylor Siegal, Don Thiry</w:t>
      </w:r>
    </w:p>
    <w:p w14:paraId="4600CABB" w14:textId="77777777" w:rsidR="00A003C6" w:rsidRDefault="00A003C6">
      <w:pPr>
        <w:spacing w:after="0" w:line="240" w:lineRule="auto"/>
        <w:ind w:firstLine="720"/>
        <w:jc w:val="center"/>
        <w:rPr>
          <w:rFonts w:ascii="Times New Roman" w:eastAsia="Times New Roman" w:hAnsi="Times New Roman" w:cs="Times New Roman"/>
        </w:rPr>
      </w:pPr>
    </w:p>
    <w:p w14:paraId="276E52DC" w14:textId="77777777" w:rsidR="00A003C6" w:rsidRDefault="00AD7092">
      <w:pPr>
        <w:spacing w:after="0" w:line="240" w:lineRule="auto"/>
        <w:ind w:firstLine="720"/>
        <w:jc w:val="center"/>
        <w:rPr>
          <w:rFonts w:ascii="Times New Roman" w:eastAsia="Times New Roman" w:hAnsi="Times New Roman" w:cs="Times New Roman"/>
        </w:rPr>
      </w:pPr>
      <w:r>
        <w:rPr>
          <w:rFonts w:ascii="Times New Roman" w:eastAsia="Times New Roman" w:hAnsi="Times New Roman" w:cs="Times New Roman"/>
        </w:rPr>
        <w:t>Master of Applied Positive Psychology Program, University of Pennsylvania</w:t>
      </w:r>
    </w:p>
    <w:p w14:paraId="4E6D7D1D" w14:textId="77777777" w:rsidR="00A003C6" w:rsidRDefault="00A003C6">
      <w:pPr>
        <w:spacing w:after="0" w:line="240" w:lineRule="auto"/>
        <w:ind w:firstLine="720"/>
        <w:jc w:val="center"/>
        <w:rPr>
          <w:rFonts w:ascii="Times New Roman" w:eastAsia="Times New Roman" w:hAnsi="Times New Roman" w:cs="Times New Roman"/>
        </w:rPr>
      </w:pPr>
    </w:p>
    <w:p w14:paraId="5965AE68" w14:textId="77777777" w:rsidR="00A003C6" w:rsidRDefault="00AD7092">
      <w:pPr>
        <w:spacing w:after="0" w:line="240" w:lineRule="auto"/>
        <w:ind w:firstLine="720"/>
        <w:jc w:val="center"/>
        <w:rPr>
          <w:rFonts w:ascii="Times New Roman" w:eastAsia="Times New Roman" w:hAnsi="Times New Roman" w:cs="Times New Roman"/>
        </w:rPr>
      </w:pPr>
      <w:r>
        <w:rPr>
          <w:rFonts w:ascii="Times New Roman" w:eastAsia="Times New Roman" w:hAnsi="Times New Roman" w:cs="Times New Roman"/>
        </w:rPr>
        <w:t>MAPP 714: Service Learning Project</w:t>
      </w:r>
    </w:p>
    <w:p w14:paraId="2CE0A2B3" w14:textId="77777777" w:rsidR="00A003C6" w:rsidRDefault="00A003C6">
      <w:pPr>
        <w:spacing w:after="0" w:line="240" w:lineRule="auto"/>
        <w:ind w:firstLine="720"/>
        <w:jc w:val="center"/>
        <w:rPr>
          <w:rFonts w:ascii="Times New Roman" w:eastAsia="Times New Roman" w:hAnsi="Times New Roman" w:cs="Times New Roman"/>
        </w:rPr>
      </w:pPr>
    </w:p>
    <w:p w14:paraId="40CE7B7A" w14:textId="77777777" w:rsidR="00A003C6" w:rsidRDefault="00AD7092">
      <w:pPr>
        <w:spacing w:after="0" w:line="240" w:lineRule="auto"/>
        <w:ind w:firstLine="720"/>
        <w:jc w:val="center"/>
        <w:rPr>
          <w:rFonts w:ascii="Times New Roman" w:eastAsia="Times New Roman" w:hAnsi="Times New Roman" w:cs="Times New Roman"/>
        </w:rPr>
      </w:pPr>
      <w:r>
        <w:rPr>
          <w:rFonts w:ascii="Times New Roman" w:eastAsia="Times New Roman" w:hAnsi="Times New Roman" w:cs="Times New Roman"/>
        </w:rPr>
        <w:t>Advisor: Dana Emanuel</w:t>
      </w:r>
    </w:p>
    <w:p w14:paraId="4C63D7FA" w14:textId="77777777" w:rsidR="00A003C6" w:rsidRDefault="00A003C6">
      <w:pPr>
        <w:spacing w:after="0" w:line="240" w:lineRule="auto"/>
        <w:ind w:firstLine="720"/>
        <w:jc w:val="center"/>
        <w:rPr>
          <w:rFonts w:ascii="Times New Roman" w:eastAsia="Times New Roman" w:hAnsi="Times New Roman" w:cs="Times New Roman"/>
        </w:rPr>
      </w:pPr>
    </w:p>
    <w:p w14:paraId="2D6177CD" w14:textId="77777777" w:rsidR="00A003C6" w:rsidRDefault="00AD7092">
      <w:pPr>
        <w:spacing w:after="0" w:line="240" w:lineRule="auto"/>
        <w:ind w:firstLine="720"/>
        <w:jc w:val="center"/>
        <w:rPr>
          <w:rFonts w:ascii="Times New Roman" w:eastAsia="Times New Roman" w:hAnsi="Times New Roman" w:cs="Times New Roman"/>
        </w:rPr>
      </w:pPr>
      <w:r>
        <w:rPr>
          <w:rFonts w:ascii="Times New Roman" w:eastAsia="Times New Roman" w:hAnsi="Times New Roman" w:cs="Times New Roman"/>
        </w:rPr>
        <w:t>May 7, 2025</w:t>
      </w:r>
    </w:p>
    <w:p w14:paraId="0F3DAF1E" w14:textId="77777777" w:rsidR="00A003C6" w:rsidRDefault="00A003C6">
      <w:pPr>
        <w:spacing w:after="0" w:line="240" w:lineRule="auto"/>
        <w:ind w:firstLine="720"/>
        <w:jc w:val="center"/>
        <w:rPr>
          <w:rFonts w:ascii="Times New Roman" w:eastAsia="Times New Roman" w:hAnsi="Times New Roman" w:cs="Times New Roman"/>
        </w:rPr>
      </w:pPr>
    </w:p>
    <w:p w14:paraId="4C73DBDA" w14:textId="77777777" w:rsidR="00A003C6" w:rsidRDefault="00A003C6">
      <w:pPr>
        <w:spacing w:after="0" w:line="240" w:lineRule="auto"/>
        <w:ind w:firstLine="720"/>
        <w:jc w:val="center"/>
        <w:rPr>
          <w:rFonts w:ascii="Times New Roman" w:eastAsia="Times New Roman" w:hAnsi="Times New Roman" w:cs="Times New Roman"/>
        </w:rPr>
      </w:pPr>
    </w:p>
    <w:p w14:paraId="13C61EC1" w14:textId="77777777" w:rsidR="00A003C6" w:rsidRDefault="00A003C6">
      <w:pPr>
        <w:spacing w:after="0" w:line="240" w:lineRule="auto"/>
        <w:ind w:firstLine="720"/>
        <w:jc w:val="center"/>
        <w:rPr>
          <w:rFonts w:ascii="Times New Roman" w:eastAsia="Times New Roman" w:hAnsi="Times New Roman" w:cs="Times New Roman"/>
          <w:b/>
          <w:sz w:val="28"/>
          <w:szCs w:val="28"/>
        </w:rPr>
      </w:pPr>
    </w:p>
    <w:p w14:paraId="32967C73" w14:textId="77777777" w:rsidR="00A003C6" w:rsidRDefault="00A003C6">
      <w:pPr>
        <w:spacing w:after="0" w:line="480" w:lineRule="auto"/>
        <w:ind w:firstLine="720"/>
        <w:jc w:val="center"/>
        <w:rPr>
          <w:rFonts w:ascii="Times New Roman" w:eastAsia="Times New Roman" w:hAnsi="Times New Roman" w:cs="Times New Roman"/>
          <w:b/>
          <w:sz w:val="28"/>
          <w:szCs w:val="28"/>
          <w:u w:val="single"/>
        </w:rPr>
      </w:pPr>
    </w:p>
    <w:p w14:paraId="5231134E" w14:textId="77777777" w:rsidR="00A003C6" w:rsidRDefault="00A003C6">
      <w:pPr>
        <w:spacing w:after="0" w:line="480" w:lineRule="auto"/>
        <w:ind w:right="-13760" w:firstLine="720"/>
        <w:rPr>
          <w:rFonts w:ascii="Arial" w:eastAsia="Arial" w:hAnsi="Arial" w:cs="Arial"/>
          <w:b/>
          <w:sz w:val="27"/>
          <w:szCs w:val="27"/>
          <w:u w:val="single"/>
        </w:rPr>
      </w:pPr>
    </w:p>
    <w:p w14:paraId="3FBE74C6" w14:textId="77777777" w:rsidR="00A003C6" w:rsidRDefault="00A003C6">
      <w:pPr>
        <w:spacing w:after="0" w:line="480" w:lineRule="auto"/>
        <w:ind w:firstLine="720"/>
        <w:rPr>
          <w:rFonts w:ascii="Times New Roman" w:eastAsia="Times New Roman" w:hAnsi="Times New Roman" w:cs="Times New Roman"/>
          <w:b/>
          <w:u w:val="single"/>
        </w:rPr>
      </w:pPr>
    </w:p>
    <w:p w14:paraId="089296D1" w14:textId="77777777" w:rsidR="00A003C6" w:rsidRDefault="00AD7092">
      <w:pPr>
        <w:spacing w:after="0" w:line="480" w:lineRule="auto"/>
        <w:ind w:right="-13760" w:firstLine="720"/>
        <w:jc w:val="center"/>
        <w:rPr>
          <w:rFonts w:ascii="Arial" w:eastAsia="Arial" w:hAnsi="Arial" w:cs="Arial"/>
          <w:b/>
          <w:sz w:val="27"/>
          <w:szCs w:val="27"/>
          <w:u w:val="single"/>
        </w:rPr>
      </w:pPr>
      <w:r>
        <w:rPr>
          <w:rFonts w:ascii="Arial" w:eastAsia="Arial" w:hAnsi="Arial" w:cs="Arial"/>
          <w:b/>
          <w:sz w:val="27"/>
          <w:szCs w:val="27"/>
          <w:u w:val="single"/>
        </w:rPr>
        <w:t>[List Authors]</w:t>
      </w:r>
    </w:p>
    <w:p w14:paraId="7AB07CF4" w14:textId="77777777" w:rsidR="00A003C6" w:rsidRDefault="00A003C6">
      <w:pPr>
        <w:spacing w:after="0" w:line="480" w:lineRule="auto"/>
        <w:ind w:firstLine="720"/>
        <w:jc w:val="center"/>
        <w:rPr>
          <w:rFonts w:ascii="Times New Roman" w:eastAsia="Times New Roman" w:hAnsi="Times New Roman" w:cs="Times New Roman"/>
          <w:b/>
          <w:u w:val="single"/>
        </w:rPr>
      </w:pPr>
    </w:p>
    <w:p w14:paraId="5FB6A336" w14:textId="77777777" w:rsidR="00A003C6" w:rsidRDefault="00AD7092">
      <w:pPr>
        <w:spacing w:after="0" w:line="480" w:lineRule="auto"/>
        <w:ind w:right="-13760" w:firstLine="720"/>
        <w:jc w:val="center"/>
        <w:rPr>
          <w:rFonts w:ascii="Times New Roman" w:eastAsia="Times New Roman" w:hAnsi="Times New Roman" w:cs="Times New Roman"/>
          <w:b/>
          <w:u w:val="single"/>
        </w:rPr>
      </w:pPr>
      <w:r>
        <w:rPr>
          <w:rFonts w:ascii="Arial" w:eastAsia="Arial" w:hAnsi="Arial" w:cs="Arial"/>
          <w:b/>
          <w:sz w:val="27"/>
          <w:szCs w:val="27"/>
          <w:u w:val="single"/>
        </w:rPr>
        <w:t xml:space="preserve">Master of </w:t>
      </w:r>
    </w:p>
    <w:p w14:paraId="7CA03125" w14:textId="77777777" w:rsidR="00A003C6" w:rsidRDefault="00AD7092">
      <w:pPr>
        <w:spacing w:after="0" w:line="480" w:lineRule="auto"/>
        <w:rPr>
          <w:rFonts w:ascii="Times New Roman" w:eastAsia="Times New Roman" w:hAnsi="Times New Roman" w:cs="Times New Roman"/>
          <w:b/>
          <w:u w:val="single"/>
        </w:rPr>
      </w:pPr>
      <w:r>
        <w:br w:type="page"/>
      </w:r>
    </w:p>
    <w:sdt>
      <w:sdtPr>
        <w:rPr>
          <w:rFonts w:ascii="Aptos" w:hAnsi="Aptos" w:cs="Aptos"/>
          <w:b w:val="0"/>
          <w:sz w:val="24"/>
          <w:szCs w:val="24"/>
        </w:rPr>
        <w:id w:val="360942543"/>
        <w:docPartObj>
          <w:docPartGallery w:val="Table of Contents"/>
          <w:docPartUnique/>
        </w:docPartObj>
      </w:sdtPr>
      <w:sdtEndPr>
        <w:rPr>
          <w:bCs/>
          <w:noProof/>
        </w:rPr>
      </w:sdtEndPr>
      <w:sdtContent>
        <w:p w14:paraId="50884775" w14:textId="31970C5B" w:rsidR="00AD7092" w:rsidRPr="00AD7092" w:rsidRDefault="00AD7092">
          <w:pPr>
            <w:pStyle w:val="TOCHeading"/>
            <w:rPr>
              <w:sz w:val="24"/>
              <w:szCs w:val="24"/>
            </w:rPr>
          </w:pPr>
          <w:r w:rsidRPr="00AD7092">
            <w:rPr>
              <w:sz w:val="24"/>
              <w:szCs w:val="24"/>
            </w:rPr>
            <w:t>Table of Contents</w:t>
          </w:r>
        </w:p>
        <w:p w14:paraId="6719B127" w14:textId="7D4558E7" w:rsidR="00AD7092" w:rsidRPr="00AD7092" w:rsidRDefault="00AD7092">
          <w:pPr>
            <w:pStyle w:val="TOC1"/>
            <w:tabs>
              <w:tab w:val="right" w:leader="dot" w:pos="9350"/>
            </w:tabs>
            <w:rPr>
              <w:rFonts w:ascii="Times New Roman" w:eastAsiaTheme="minorEastAsia" w:hAnsi="Times New Roman" w:cs="Times New Roman"/>
              <w:noProof/>
              <w:kern w:val="2"/>
              <w14:ligatures w14:val="standardContextual"/>
            </w:rPr>
          </w:pPr>
          <w:r w:rsidRPr="00AD7092">
            <w:rPr>
              <w:rFonts w:ascii="Times New Roman" w:hAnsi="Times New Roman" w:cs="Times New Roman"/>
            </w:rPr>
            <w:fldChar w:fldCharType="begin"/>
          </w:r>
          <w:r w:rsidRPr="00AD7092">
            <w:rPr>
              <w:rFonts w:ascii="Times New Roman" w:hAnsi="Times New Roman" w:cs="Times New Roman"/>
            </w:rPr>
            <w:instrText xml:space="preserve"> TOC \o "1-3" \h \z \u </w:instrText>
          </w:r>
          <w:r w:rsidRPr="00AD7092">
            <w:rPr>
              <w:rFonts w:ascii="Times New Roman" w:hAnsi="Times New Roman" w:cs="Times New Roman"/>
            </w:rPr>
            <w:fldChar w:fldCharType="separate"/>
          </w:r>
          <w:hyperlink w:anchor="_Toc197457470" w:history="1">
            <w:r w:rsidRPr="00AD7092">
              <w:rPr>
                <w:rStyle w:val="Hyperlink"/>
                <w:rFonts w:ascii="Times New Roman" w:hAnsi="Times New Roman" w:cs="Times New Roman"/>
                <w:noProof/>
              </w:rPr>
              <w:t>Abstract</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_Toc197457470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3</w:t>
            </w:r>
            <w:r w:rsidRPr="00AD7092">
              <w:rPr>
                <w:rFonts w:ascii="Times New Roman" w:hAnsi="Times New Roman" w:cs="Times New Roman"/>
                <w:noProof/>
                <w:webHidden/>
              </w:rPr>
              <w:fldChar w:fldCharType="end"/>
            </w:r>
          </w:hyperlink>
        </w:p>
        <w:p w14:paraId="5FAE19C1" w14:textId="40A9871D" w:rsidR="00AD7092" w:rsidRPr="00AD7092" w:rsidRDefault="00AD7092">
          <w:pPr>
            <w:pStyle w:val="TOC1"/>
            <w:tabs>
              <w:tab w:val="right" w:leader="dot" w:pos="9350"/>
            </w:tabs>
            <w:rPr>
              <w:rFonts w:ascii="Times New Roman" w:eastAsiaTheme="minorEastAsia" w:hAnsi="Times New Roman" w:cs="Times New Roman"/>
              <w:noProof/>
              <w:kern w:val="2"/>
              <w14:ligatures w14:val="standardContextual"/>
            </w:rPr>
          </w:pPr>
          <w:hyperlink w:anchor="_Toc197457471" w:history="1">
            <w:r w:rsidRPr="00AD7092">
              <w:rPr>
                <w:rStyle w:val="Hyperlink"/>
                <w:rFonts w:ascii="Times New Roman" w:hAnsi="Times New Roman" w:cs="Times New Roman"/>
                <w:noProof/>
              </w:rPr>
              <w:t>Situation Analysis</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_Toc197457471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4</w:t>
            </w:r>
            <w:r w:rsidRPr="00AD7092">
              <w:rPr>
                <w:rFonts w:ascii="Times New Roman" w:hAnsi="Times New Roman" w:cs="Times New Roman"/>
                <w:noProof/>
                <w:webHidden/>
              </w:rPr>
              <w:fldChar w:fldCharType="end"/>
            </w:r>
          </w:hyperlink>
        </w:p>
        <w:p w14:paraId="351EF33B" w14:textId="25BFEFB6"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72" w:history="1">
            <w:r w:rsidRPr="00AD7092">
              <w:rPr>
                <w:rStyle w:val="Hyperlink"/>
                <w:rFonts w:ascii="Times New Roman" w:hAnsi="Times New Roman" w:cs="Times New Roman"/>
                <w:noProof/>
              </w:rPr>
              <w:t>Background</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_Toc197457472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4</w:t>
            </w:r>
            <w:r w:rsidRPr="00AD7092">
              <w:rPr>
                <w:rFonts w:ascii="Times New Roman" w:hAnsi="Times New Roman" w:cs="Times New Roman"/>
                <w:noProof/>
                <w:webHidden/>
              </w:rPr>
              <w:fldChar w:fldCharType="end"/>
            </w:r>
          </w:hyperlink>
        </w:p>
        <w:p w14:paraId="7F65EA68" w14:textId="129BF42D"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73" w:history="1">
            <w:r w:rsidRPr="00AD7092">
              <w:rPr>
                <w:rStyle w:val="Hyperlink"/>
                <w:rFonts w:ascii="Times New Roman" w:hAnsi="Times New Roman" w:cs="Times New Roman"/>
                <w:noProof/>
              </w:rPr>
              <w:t>Sector Overview</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_Toc197457473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6</w:t>
            </w:r>
            <w:r w:rsidRPr="00AD7092">
              <w:rPr>
                <w:rFonts w:ascii="Times New Roman" w:hAnsi="Times New Roman" w:cs="Times New Roman"/>
                <w:noProof/>
                <w:webHidden/>
              </w:rPr>
              <w:fldChar w:fldCharType="end"/>
            </w:r>
          </w:hyperlink>
        </w:p>
        <w:p w14:paraId="03DE9F08" w14:textId="1E823DDF"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74" w:history="1">
            <w:r w:rsidRPr="00AD7092">
              <w:rPr>
                <w:rStyle w:val="Hyperlink"/>
                <w:rFonts w:ascii="Times New Roman" w:hAnsi="Times New Roman" w:cs="Times New Roman"/>
                <w:noProof/>
              </w:rPr>
              <w:t>Potential Application of Positive Psychology</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_Toc197457474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9</w:t>
            </w:r>
            <w:r w:rsidRPr="00AD7092">
              <w:rPr>
                <w:rFonts w:ascii="Times New Roman" w:hAnsi="Times New Roman" w:cs="Times New Roman"/>
                <w:noProof/>
                <w:webHidden/>
              </w:rPr>
              <w:fldChar w:fldCharType="end"/>
            </w:r>
          </w:hyperlink>
        </w:p>
        <w:p w14:paraId="0E87A424" w14:textId="73F81D0D" w:rsidR="00AD7092" w:rsidRPr="00AD7092" w:rsidRDefault="00AD7092">
          <w:pPr>
            <w:pStyle w:val="TOC1"/>
            <w:tabs>
              <w:tab w:val="right" w:leader="dot" w:pos="9350"/>
            </w:tabs>
            <w:rPr>
              <w:rFonts w:ascii="Times New Roman" w:eastAsiaTheme="minorEastAsia" w:hAnsi="Times New Roman" w:cs="Times New Roman"/>
              <w:noProof/>
              <w:kern w:val="2"/>
              <w14:ligatures w14:val="standardContextual"/>
            </w:rPr>
          </w:pPr>
          <w:hyperlink w:anchor="_Toc197457475" w:history="1">
            <w:r w:rsidRPr="00AD7092">
              <w:rPr>
                <w:rStyle w:val="Hyperlink"/>
                <w:rFonts w:ascii="Times New Roman" w:hAnsi="Times New Roman" w:cs="Times New Roman"/>
                <w:noProof/>
              </w:rPr>
              <w:t>Literature Review</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_Toc197457475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11</w:t>
            </w:r>
            <w:r w:rsidRPr="00AD7092">
              <w:rPr>
                <w:rFonts w:ascii="Times New Roman" w:hAnsi="Times New Roman" w:cs="Times New Roman"/>
                <w:noProof/>
                <w:webHidden/>
              </w:rPr>
              <w:fldChar w:fldCharType="end"/>
            </w:r>
          </w:hyperlink>
        </w:p>
        <w:p w14:paraId="04B0AF55" w14:textId="0318C393"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76" w:history="1">
            <w:r w:rsidRPr="00AD7092">
              <w:rPr>
                <w:rStyle w:val="Hyperlink"/>
                <w:rFonts w:ascii="Times New Roman" w:hAnsi="Times New Roman" w:cs="Times New Roman"/>
                <w:noProof/>
              </w:rPr>
              <w:t>Volunteer Engagement</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_Toc197457476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11</w:t>
            </w:r>
            <w:r w:rsidRPr="00AD7092">
              <w:rPr>
                <w:rFonts w:ascii="Times New Roman" w:hAnsi="Times New Roman" w:cs="Times New Roman"/>
                <w:noProof/>
                <w:webHidden/>
              </w:rPr>
              <w:fldChar w:fldCharType="end"/>
            </w:r>
          </w:hyperlink>
        </w:p>
        <w:p w14:paraId="0942F07A" w14:textId="50B962F5"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77" w:history="1">
            <w:r w:rsidRPr="00AD7092">
              <w:rPr>
                <w:rStyle w:val="Hyperlink"/>
                <w:rFonts w:ascii="Times New Roman" w:hAnsi="Times New Roman" w:cs="Times New Roman"/>
                <w:noProof/>
              </w:rPr>
              <w:t>Workplace Culture</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_Toc197457477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15</w:t>
            </w:r>
            <w:r w:rsidRPr="00AD7092">
              <w:rPr>
                <w:rFonts w:ascii="Times New Roman" w:hAnsi="Times New Roman" w:cs="Times New Roman"/>
                <w:noProof/>
                <w:webHidden/>
              </w:rPr>
              <w:fldChar w:fldCharType="end"/>
            </w:r>
          </w:hyperlink>
        </w:p>
        <w:p w14:paraId="68102C52" w14:textId="3481F1A0"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78" w:history="1">
            <w:r w:rsidRPr="00AD7092">
              <w:rPr>
                <w:rStyle w:val="Hyperlink"/>
                <w:rFonts w:ascii="Times New Roman" w:hAnsi="Times New Roman" w:cs="Times New Roman"/>
                <w:noProof/>
              </w:rPr>
              <w:t>Volunteer Retention</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_Toc197457478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18</w:t>
            </w:r>
            <w:r w:rsidRPr="00AD7092">
              <w:rPr>
                <w:rFonts w:ascii="Times New Roman" w:hAnsi="Times New Roman" w:cs="Times New Roman"/>
                <w:noProof/>
                <w:webHidden/>
              </w:rPr>
              <w:fldChar w:fldCharType="end"/>
            </w:r>
          </w:hyperlink>
        </w:p>
        <w:p w14:paraId="4F8121E0" w14:textId="6453D25F"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79" w:history="1">
            <w:r w:rsidRPr="00AD7092">
              <w:rPr>
                <w:rStyle w:val="Hyperlink"/>
                <w:rFonts w:ascii="Times New Roman" w:hAnsi="Times New Roman" w:cs="Times New Roman"/>
                <w:noProof/>
              </w:rPr>
              <w:t>Conclusion</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_Toc197457479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21</w:t>
            </w:r>
            <w:r w:rsidRPr="00AD7092">
              <w:rPr>
                <w:rFonts w:ascii="Times New Roman" w:hAnsi="Times New Roman" w:cs="Times New Roman"/>
                <w:noProof/>
                <w:webHidden/>
              </w:rPr>
              <w:fldChar w:fldCharType="end"/>
            </w:r>
          </w:hyperlink>
        </w:p>
        <w:p w14:paraId="27FD7148" w14:textId="4F5FAABF" w:rsidR="00AD7092" w:rsidRPr="00AD7092" w:rsidRDefault="00AD7092">
          <w:pPr>
            <w:pStyle w:val="TOC1"/>
            <w:tabs>
              <w:tab w:val="right" w:leader="dot" w:pos="9350"/>
            </w:tabs>
            <w:rPr>
              <w:rFonts w:ascii="Times New Roman" w:eastAsiaTheme="minorEastAsia" w:hAnsi="Times New Roman" w:cs="Times New Roman"/>
              <w:noProof/>
              <w:kern w:val="2"/>
              <w14:ligatures w14:val="standardContextual"/>
            </w:rPr>
          </w:pPr>
          <w:hyperlink w:anchor="_Toc197457480" w:history="1">
            <w:r w:rsidRPr="00AD7092">
              <w:rPr>
                <w:rStyle w:val="Hyperlink"/>
                <w:rFonts w:ascii="Times New Roman" w:hAnsi="Times New Roman" w:cs="Times New Roman"/>
                <w:noProof/>
              </w:rPr>
              <w:t>Final Application Plan</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_Toc197457480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21</w:t>
            </w:r>
            <w:r w:rsidRPr="00AD7092">
              <w:rPr>
                <w:rFonts w:ascii="Times New Roman" w:hAnsi="Times New Roman" w:cs="Times New Roman"/>
                <w:noProof/>
                <w:webHidden/>
              </w:rPr>
              <w:fldChar w:fldCharType="end"/>
            </w:r>
          </w:hyperlink>
        </w:p>
        <w:p w14:paraId="40EFA801" w14:textId="69A3F2C6"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81" w:history="1">
            <w:r w:rsidRPr="00AD7092">
              <w:rPr>
                <w:rStyle w:val="Hyperlink"/>
                <w:rFonts w:ascii="Times New Roman" w:hAnsi="Times New Roman" w:cs="Times New Roman"/>
                <w:noProof/>
              </w:rPr>
              <w:t>Positive Application #1: A Structured Template for a Quarterly Email</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_Toc197457481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22</w:t>
            </w:r>
            <w:r w:rsidRPr="00AD7092">
              <w:rPr>
                <w:rFonts w:ascii="Times New Roman" w:hAnsi="Times New Roman" w:cs="Times New Roman"/>
                <w:noProof/>
                <w:webHidden/>
              </w:rPr>
              <w:fldChar w:fldCharType="end"/>
            </w:r>
          </w:hyperlink>
        </w:p>
        <w:p w14:paraId="450D07D4" w14:textId="579D321C"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82" w:history="1">
            <w:r w:rsidRPr="00AD7092">
              <w:rPr>
                <w:rStyle w:val="Hyperlink"/>
                <w:rFonts w:ascii="Times New Roman" w:hAnsi="Times New Roman" w:cs="Times New Roman"/>
                <w:noProof/>
              </w:rPr>
              <w:t>Positive Application #2: Enhancing Start and End Rituals</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_Toc197457482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23</w:t>
            </w:r>
            <w:r w:rsidRPr="00AD7092">
              <w:rPr>
                <w:rFonts w:ascii="Times New Roman" w:hAnsi="Times New Roman" w:cs="Times New Roman"/>
                <w:noProof/>
                <w:webHidden/>
              </w:rPr>
              <w:fldChar w:fldCharType="end"/>
            </w:r>
          </w:hyperlink>
        </w:p>
        <w:p w14:paraId="1FF22536" w14:textId="20794A73"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83" w:history="1">
            <w:r w:rsidRPr="00AD7092">
              <w:rPr>
                <w:rStyle w:val="Hyperlink"/>
                <w:rFonts w:ascii="Times New Roman" w:hAnsi="Times New Roman" w:cs="Times New Roman"/>
                <w:noProof/>
              </w:rPr>
              <w:t>Positive Application #3: Volunteer Appreciation Event</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_Toc197457483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26</w:t>
            </w:r>
            <w:r w:rsidRPr="00AD7092">
              <w:rPr>
                <w:rFonts w:ascii="Times New Roman" w:hAnsi="Times New Roman" w:cs="Times New Roman"/>
                <w:noProof/>
                <w:webHidden/>
              </w:rPr>
              <w:fldChar w:fldCharType="end"/>
            </w:r>
          </w:hyperlink>
        </w:p>
        <w:p w14:paraId="278A5040" w14:textId="2BDC87C8"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84" w:history="1">
            <w:r w:rsidRPr="00AD7092">
              <w:rPr>
                <w:rStyle w:val="Hyperlink"/>
                <w:rFonts w:ascii="Times New Roman" w:hAnsi="Times New Roman" w:cs="Times New Roman"/>
                <w:noProof/>
              </w:rPr>
              <w:t>Supplemental Operational Proposal: Volunteer Directory</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_Toc197457484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27</w:t>
            </w:r>
            <w:r w:rsidRPr="00AD7092">
              <w:rPr>
                <w:rFonts w:ascii="Times New Roman" w:hAnsi="Times New Roman" w:cs="Times New Roman"/>
                <w:noProof/>
                <w:webHidden/>
              </w:rPr>
              <w:fldChar w:fldCharType="end"/>
            </w:r>
          </w:hyperlink>
        </w:p>
        <w:p w14:paraId="0035739B" w14:textId="4A134C31"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85" w:history="1">
            <w:r w:rsidRPr="00AD7092">
              <w:rPr>
                <w:rStyle w:val="Hyperlink"/>
                <w:rFonts w:ascii="Times New Roman" w:hAnsi="Times New Roman" w:cs="Times New Roman"/>
                <w:noProof/>
              </w:rPr>
              <w:t>Supplemental Operational Proposal: Volunteer Committee Structure and Meetings</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_Toc197457485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28</w:t>
            </w:r>
            <w:r w:rsidRPr="00AD7092">
              <w:rPr>
                <w:rFonts w:ascii="Times New Roman" w:hAnsi="Times New Roman" w:cs="Times New Roman"/>
                <w:noProof/>
                <w:webHidden/>
              </w:rPr>
              <w:fldChar w:fldCharType="end"/>
            </w:r>
          </w:hyperlink>
        </w:p>
        <w:p w14:paraId="1DA0B84F" w14:textId="0F1A8633" w:rsidR="00AD7092" w:rsidRPr="00AD7092" w:rsidRDefault="00AD7092">
          <w:pPr>
            <w:pStyle w:val="TOC2"/>
            <w:tabs>
              <w:tab w:val="right" w:leader="dot" w:pos="9350"/>
            </w:tabs>
            <w:rPr>
              <w:rFonts w:ascii="Times New Roman" w:eastAsiaTheme="minorEastAsia" w:hAnsi="Times New Roman" w:cs="Times New Roman"/>
              <w:noProof/>
              <w:kern w:val="2"/>
              <w14:ligatures w14:val="standardContextual"/>
            </w:rPr>
          </w:pPr>
          <w:hyperlink w:anchor="_Toc197457486" w:history="1">
            <w:r w:rsidRPr="00AD7092">
              <w:rPr>
                <w:rStyle w:val="Hyperlink"/>
                <w:rFonts w:ascii="Times New Roman" w:hAnsi="Times New Roman" w:cs="Times New Roman"/>
                <w:noProof/>
              </w:rPr>
              <w:t>Summary and Limitations</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_Toc197457486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30</w:t>
            </w:r>
            <w:r w:rsidRPr="00AD7092">
              <w:rPr>
                <w:rFonts w:ascii="Times New Roman" w:hAnsi="Times New Roman" w:cs="Times New Roman"/>
                <w:noProof/>
                <w:webHidden/>
              </w:rPr>
              <w:fldChar w:fldCharType="end"/>
            </w:r>
          </w:hyperlink>
        </w:p>
        <w:p w14:paraId="39CB6E9D" w14:textId="614DA584" w:rsidR="00AD7092" w:rsidRPr="00AD7092" w:rsidRDefault="00AD7092">
          <w:pPr>
            <w:pStyle w:val="TOC1"/>
            <w:tabs>
              <w:tab w:val="right" w:leader="dot" w:pos="9350"/>
            </w:tabs>
            <w:rPr>
              <w:rFonts w:ascii="Times New Roman" w:eastAsiaTheme="minorEastAsia" w:hAnsi="Times New Roman" w:cs="Times New Roman"/>
              <w:noProof/>
              <w:kern w:val="2"/>
              <w14:ligatures w14:val="standardContextual"/>
            </w:rPr>
          </w:pPr>
          <w:hyperlink w:anchor="_Toc197457487" w:history="1">
            <w:r w:rsidRPr="00AD7092">
              <w:rPr>
                <w:rStyle w:val="Hyperlink"/>
                <w:rFonts w:ascii="Times New Roman" w:hAnsi="Times New Roman" w:cs="Times New Roman"/>
                <w:noProof/>
              </w:rPr>
              <w:t>References</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_Toc197457487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32</w:t>
            </w:r>
            <w:r w:rsidRPr="00AD7092">
              <w:rPr>
                <w:rFonts w:ascii="Times New Roman" w:hAnsi="Times New Roman" w:cs="Times New Roman"/>
                <w:noProof/>
                <w:webHidden/>
              </w:rPr>
              <w:fldChar w:fldCharType="end"/>
            </w:r>
          </w:hyperlink>
        </w:p>
        <w:p w14:paraId="4C5F62F0" w14:textId="24E9626F" w:rsidR="00AD7092" w:rsidRPr="00AD7092" w:rsidRDefault="00AD7092">
          <w:pPr>
            <w:pStyle w:val="TOC1"/>
            <w:tabs>
              <w:tab w:val="right" w:leader="dot" w:pos="9350"/>
            </w:tabs>
            <w:rPr>
              <w:rFonts w:ascii="Times New Roman" w:eastAsiaTheme="minorEastAsia" w:hAnsi="Times New Roman" w:cs="Times New Roman"/>
              <w:noProof/>
              <w:kern w:val="2"/>
              <w14:ligatures w14:val="standardContextual"/>
            </w:rPr>
          </w:pPr>
          <w:hyperlink w:anchor="_Toc197457488" w:history="1">
            <w:r w:rsidRPr="00AD7092">
              <w:rPr>
                <w:rStyle w:val="Hyperlink"/>
                <w:rFonts w:ascii="Times New Roman" w:hAnsi="Times New Roman" w:cs="Times New Roman"/>
                <w:noProof/>
              </w:rPr>
              <w:t>Appendix A</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_Toc197457488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42</w:t>
            </w:r>
            <w:r w:rsidRPr="00AD7092">
              <w:rPr>
                <w:rFonts w:ascii="Times New Roman" w:hAnsi="Times New Roman" w:cs="Times New Roman"/>
                <w:noProof/>
                <w:webHidden/>
              </w:rPr>
              <w:fldChar w:fldCharType="end"/>
            </w:r>
          </w:hyperlink>
        </w:p>
        <w:p w14:paraId="02636C3B" w14:textId="37904B8F" w:rsidR="00AD7092" w:rsidRPr="00AD7092" w:rsidRDefault="00AD7092">
          <w:pPr>
            <w:pStyle w:val="TOC1"/>
            <w:tabs>
              <w:tab w:val="right" w:leader="dot" w:pos="9350"/>
            </w:tabs>
            <w:rPr>
              <w:rFonts w:ascii="Times New Roman" w:eastAsiaTheme="minorEastAsia" w:hAnsi="Times New Roman" w:cs="Times New Roman"/>
              <w:noProof/>
              <w:kern w:val="2"/>
              <w14:ligatures w14:val="standardContextual"/>
            </w:rPr>
          </w:pPr>
          <w:hyperlink w:anchor="_Toc197457489" w:history="1">
            <w:r w:rsidRPr="00AD7092">
              <w:rPr>
                <w:rStyle w:val="Hyperlink"/>
                <w:rFonts w:ascii="Times New Roman" w:hAnsi="Times New Roman" w:cs="Times New Roman"/>
                <w:noProof/>
              </w:rPr>
              <w:t>Appendix B</w:t>
            </w:r>
            <w:r w:rsidRPr="00AD7092">
              <w:rPr>
                <w:rFonts w:ascii="Times New Roman" w:hAnsi="Times New Roman" w:cs="Times New Roman"/>
                <w:noProof/>
                <w:webHidden/>
              </w:rPr>
              <w:tab/>
            </w:r>
            <w:r w:rsidRPr="00AD7092">
              <w:rPr>
                <w:rFonts w:ascii="Times New Roman" w:hAnsi="Times New Roman" w:cs="Times New Roman"/>
                <w:noProof/>
                <w:webHidden/>
              </w:rPr>
              <w:fldChar w:fldCharType="begin"/>
            </w:r>
            <w:r w:rsidRPr="00AD7092">
              <w:rPr>
                <w:rFonts w:ascii="Times New Roman" w:hAnsi="Times New Roman" w:cs="Times New Roman"/>
                <w:noProof/>
                <w:webHidden/>
              </w:rPr>
              <w:instrText xml:space="preserve"> PAGEREF _Toc197457489 \h </w:instrText>
            </w:r>
            <w:r w:rsidRPr="00AD7092">
              <w:rPr>
                <w:rFonts w:ascii="Times New Roman" w:hAnsi="Times New Roman" w:cs="Times New Roman"/>
                <w:noProof/>
                <w:webHidden/>
              </w:rPr>
            </w:r>
            <w:r w:rsidRPr="00AD7092">
              <w:rPr>
                <w:rFonts w:ascii="Times New Roman" w:hAnsi="Times New Roman" w:cs="Times New Roman"/>
                <w:noProof/>
                <w:webHidden/>
              </w:rPr>
              <w:fldChar w:fldCharType="separate"/>
            </w:r>
            <w:r>
              <w:rPr>
                <w:rFonts w:ascii="Times New Roman" w:hAnsi="Times New Roman" w:cs="Times New Roman"/>
                <w:noProof/>
                <w:webHidden/>
              </w:rPr>
              <w:t>45</w:t>
            </w:r>
            <w:r w:rsidRPr="00AD7092">
              <w:rPr>
                <w:rFonts w:ascii="Times New Roman" w:hAnsi="Times New Roman" w:cs="Times New Roman"/>
                <w:noProof/>
                <w:webHidden/>
              </w:rPr>
              <w:fldChar w:fldCharType="end"/>
            </w:r>
          </w:hyperlink>
        </w:p>
        <w:p w14:paraId="172A36DD" w14:textId="06DB995C" w:rsidR="00AD7092" w:rsidRDefault="00AD7092">
          <w:r w:rsidRPr="00AD7092">
            <w:rPr>
              <w:rFonts w:ascii="Times New Roman" w:hAnsi="Times New Roman" w:cs="Times New Roman"/>
              <w:b/>
              <w:bCs/>
              <w:noProof/>
            </w:rPr>
            <w:fldChar w:fldCharType="end"/>
          </w:r>
        </w:p>
      </w:sdtContent>
    </w:sdt>
    <w:p w14:paraId="0185F8B0" w14:textId="77777777" w:rsidR="00AD7092" w:rsidRDefault="00AD7092" w:rsidP="002E6AAC">
      <w:pPr>
        <w:pStyle w:val="Heading1"/>
        <w:rPr>
          <w:rStyle w:val="Strong"/>
          <w:b/>
          <w:bCs w:val="0"/>
        </w:rPr>
      </w:pPr>
      <w:bookmarkStart w:id="0" w:name="_Toc197457470"/>
    </w:p>
    <w:p w14:paraId="66CA3A4B" w14:textId="77777777" w:rsidR="00AD7092" w:rsidRDefault="00AD7092" w:rsidP="002E6AAC">
      <w:pPr>
        <w:pStyle w:val="Heading1"/>
        <w:rPr>
          <w:rStyle w:val="Strong"/>
          <w:b/>
          <w:bCs w:val="0"/>
        </w:rPr>
      </w:pPr>
    </w:p>
    <w:p w14:paraId="4EF4E5A1" w14:textId="77777777" w:rsidR="00AD7092" w:rsidRDefault="00AD7092" w:rsidP="002E6AAC">
      <w:pPr>
        <w:pStyle w:val="Heading1"/>
        <w:rPr>
          <w:rStyle w:val="Strong"/>
          <w:b/>
          <w:bCs w:val="0"/>
        </w:rPr>
      </w:pPr>
    </w:p>
    <w:p w14:paraId="1B928077" w14:textId="77777777" w:rsidR="00AD7092" w:rsidRDefault="00AD7092" w:rsidP="002E6AAC">
      <w:pPr>
        <w:pStyle w:val="Heading1"/>
        <w:rPr>
          <w:rStyle w:val="Strong"/>
          <w:b/>
          <w:bCs w:val="0"/>
        </w:rPr>
      </w:pPr>
    </w:p>
    <w:p w14:paraId="4E45FEC9" w14:textId="77777777" w:rsidR="00AD7092" w:rsidRDefault="00AD7092" w:rsidP="002E6AAC">
      <w:pPr>
        <w:pStyle w:val="Heading1"/>
        <w:rPr>
          <w:rStyle w:val="Strong"/>
          <w:b/>
          <w:bCs w:val="0"/>
        </w:rPr>
      </w:pPr>
    </w:p>
    <w:p w14:paraId="288A532D" w14:textId="5E571824" w:rsidR="00A003C6" w:rsidRPr="00E30E8A" w:rsidRDefault="00AD7092" w:rsidP="002E6AAC">
      <w:pPr>
        <w:pStyle w:val="Heading1"/>
        <w:rPr>
          <w:rStyle w:val="Strong"/>
          <w:b/>
          <w:bCs w:val="0"/>
        </w:rPr>
      </w:pPr>
      <w:r w:rsidRPr="00E30E8A">
        <w:rPr>
          <w:rStyle w:val="Strong"/>
          <w:b/>
          <w:bCs w:val="0"/>
        </w:rPr>
        <w:lastRenderedPageBreak/>
        <w:t>Abstract</w:t>
      </w:r>
      <w:bookmarkEnd w:id="0"/>
    </w:p>
    <w:p w14:paraId="5DA5AD0D" w14:textId="2FA272F9" w:rsidR="00A003C6" w:rsidRDefault="00AD7092">
      <w:pPr>
        <w:spacing w:before="240" w:after="240"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The </w:t>
      </w:r>
      <w:r>
        <w:rPr>
          <w:rFonts w:ascii="Times New Roman" w:eastAsia="Times New Roman" w:hAnsi="Times New Roman" w:cs="Times New Roman"/>
          <w:i/>
        </w:rPr>
        <w:t>Connection Cookbook</w:t>
      </w:r>
      <w:r>
        <w:rPr>
          <w:rFonts w:ascii="Times New Roman" w:eastAsia="Times New Roman" w:hAnsi="Times New Roman" w:cs="Times New Roman"/>
        </w:rPr>
        <w:t xml:space="preserve"> is a curated set of interventions designed to generate momentum in volunteer engagement at Face to Face, a nonprofit organization serving the unhoused population in Germantown, Philadelphia. The initiative emphasizes strengthening connections through enhanced communication, interaction, structure, and recognition. From a menu of evidence-informed options, Face to Face selected three core strategies to implement: a quarterly email newsletter, structured rituals to open and close volunteer shifts</w:t>
      </w:r>
      <w:r w:rsidR="00295CDB">
        <w:rPr>
          <w:rFonts w:ascii="Times New Roman" w:eastAsia="Times New Roman" w:hAnsi="Times New Roman" w:cs="Times New Roman"/>
        </w:rPr>
        <w:t>, and a volunteer appreciation event</w:t>
      </w:r>
      <w:r>
        <w:rPr>
          <w:rFonts w:ascii="Times New Roman" w:eastAsia="Times New Roman" w:hAnsi="Times New Roman" w:cs="Times New Roman"/>
        </w:rPr>
        <w:t>. The accompanying "Cookbook" includes sample newsletter content, templates for rituals, an event agenda, evaluation guidance, and additional unselected intervention options for future consideration. These strategies are low-cost, relatively simple to execute, and can be delegated mainly to members of Face to Face's robust yet underutilized volunteer base—thereby minimizing the additional burden on the already overstretched Volunteer Manager at Face to Face.</w:t>
      </w:r>
    </w:p>
    <w:p w14:paraId="3302A998" w14:textId="77777777" w:rsidR="001C30F9" w:rsidRDefault="001C30F9">
      <w:pPr>
        <w:spacing w:before="240" w:after="240" w:line="480" w:lineRule="auto"/>
        <w:jc w:val="center"/>
        <w:rPr>
          <w:rFonts w:ascii="Times New Roman" w:eastAsia="Times New Roman" w:hAnsi="Times New Roman" w:cs="Times New Roman"/>
          <w:b/>
          <w:u w:val="single"/>
        </w:rPr>
      </w:pPr>
    </w:p>
    <w:p w14:paraId="5B24263C" w14:textId="77777777" w:rsidR="001C30F9" w:rsidRDefault="001C30F9">
      <w:pPr>
        <w:spacing w:before="240" w:after="240" w:line="480" w:lineRule="auto"/>
        <w:jc w:val="center"/>
        <w:rPr>
          <w:rFonts w:ascii="Times New Roman" w:eastAsia="Times New Roman" w:hAnsi="Times New Roman" w:cs="Times New Roman"/>
          <w:b/>
          <w:u w:val="single"/>
        </w:rPr>
      </w:pPr>
    </w:p>
    <w:p w14:paraId="48D5D6BE" w14:textId="77777777" w:rsidR="001C30F9" w:rsidRDefault="001C30F9">
      <w:pPr>
        <w:spacing w:before="240" w:after="240" w:line="480" w:lineRule="auto"/>
        <w:jc w:val="center"/>
        <w:rPr>
          <w:rFonts w:ascii="Times New Roman" w:eastAsia="Times New Roman" w:hAnsi="Times New Roman" w:cs="Times New Roman"/>
          <w:b/>
          <w:u w:val="single"/>
        </w:rPr>
      </w:pPr>
    </w:p>
    <w:p w14:paraId="526B3509" w14:textId="77777777" w:rsidR="001C30F9" w:rsidRDefault="001C30F9">
      <w:pPr>
        <w:spacing w:before="240" w:after="240" w:line="480" w:lineRule="auto"/>
        <w:jc w:val="center"/>
        <w:rPr>
          <w:rFonts w:ascii="Times New Roman" w:eastAsia="Times New Roman" w:hAnsi="Times New Roman" w:cs="Times New Roman"/>
          <w:b/>
          <w:u w:val="single"/>
        </w:rPr>
      </w:pPr>
    </w:p>
    <w:p w14:paraId="74F626DD" w14:textId="77777777" w:rsidR="001C30F9" w:rsidRDefault="001C30F9">
      <w:pPr>
        <w:spacing w:before="240" w:after="240" w:line="480" w:lineRule="auto"/>
        <w:jc w:val="center"/>
        <w:rPr>
          <w:rFonts w:ascii="Times New Roman" w:eastAsia="Times New Roman" w:hAnsi="Times New Roman" w:cs="Times New Roman"/>
          <w:b/>
          <w:u w:val="single"/>
        </w:rPr>
      </w:pPr>
    </w:p>
    <w:p w14:paraId="3A5623CC" w14:textId="77777777" w:rsidR="001C30F9" w:rsidRDefault="001C30F9">
      <w:pPr>
        <w:spacing w:before="240" w:after="240" w:line="480" w:lineRule="auto"/>
        <w:jc w:val="center"/>
        <w:rPr>
          <w:rFonts w:ascii="Times New Roman" w:eastAsia="Times New Roman" w:hAnsi="Times New Roman" w:cs="Times New Roman"/>
          <w:b/>
          <w:u w:val="single"/>
        </w:rPr>
      </w:pPr>
    </w:p>
    <w:p w14:paraId="70096229" w14:textId="77777777" w:rsidR="001C30F9" w:rsidRDefault="001C30F9">
      <w:pPr>
        <w:spacing w:before="240" w:after="240" w:line="480" w:lineRule="auto"/>
        <w:jc w:val="center"/>
        <w:rPr>
          <w:rFonts w:ascii="Times New Roman" w:eastAsia="Times New Roman" w:hAnsi="Times New Roman" w:cs="Times New Roman"/>
          <w:b/>
          <w:u w:val="single"/>
        </w:rPr>
      </w:pPr>
    </w:p>
    <w:p w14:paraId="37ECC568" w14:textId="15A82E6A" w:rsidR="00A003C6" w:rsidRPr="001C30F9" w:rsidRDefault="00AD7092" w:rsidP="002E6AAC">
      <w:pPr>
        <w:pStyle w:val="Heading1"/>
        <w:contextualSpacing/>
      </w:pPr>
      <w:bookmarkStart w:id="1" w:name="_Toc197457471"/>
      <w:r w:rsidRPr="001C30F9">
        <w:lastRenderedPageBreak/>
        <w:t>Situation Analysis</w:t>
      </w:r>
      <w:bookmarkEnd w:id="1"/>
    </w:p>
    <w:p w14:paraId="115E0006" w14:textId="7673275A" w:rsidR="00A003C6" w:rsidRPr="002E6AAC" w:rsidRDefault="00AD7092" w:rsidP="002E6AAC">
      <w:pPr>
        <w:pStyle w:val="Heading2"/>
      </w:pPr>
      <w:bookmarkStart w:id="2" w:name="_Toc197457472"/>
      <w:r w:rsidRPr="001C30F9">
        <w:t>Background</w:t>
      </w:r>
      <w:bookmarkEnd w:id="2"/>
    </w:p>
    <w:p w14:paraId="5E33A677" w14:textId="77777777" w:rsidR="00A003C6" w:rsidRDefault="00AD7092" w:rsidP="001C30F9">
      <w:pPr>
        <w:spacing w:after="0"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Face to Face is a not-for-profit 501(c)(3) human services organization committed to promoting the health, well-being, and stability of the Germantown community in Philadelphia (Face to Face, 2023). Philadelphia has the highest poverty rate among large cities in the United States, and Germantown's poverty rates are approximately 50% higher than the city average, with about one-third of residents living in deep poverty (Face to Face, 2025). Face to Face’s mission is to address basic human needs and reduce suffering by providing a safe, hospitable environment and practical tools to help community members confront challenges, empower their lives, and realize their potential (Face to Face, 2023).</w:t>
      </w:r>
    </w:p>
    <w:p w14:paraId="7E861D96"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The organization began in May 1984 when members of St. Vincent de Paul Roman Catholic Church prepared meals for their food-insecure neighbors. Since then, Face to Face has grown significantly while remaining rooted in the values of hospitality, mutuality, and transformation. Today, it operates as a “one-stop shop” offering a variety of free services, including a dining room, a nurse-managed health center, a legal center, a social services center, as well as a washeteria providing hot showers and laundry services (Face to Face, 2025). Face to Face also supports guests in maintaining housing despite rising property taxes and helps individuals acquire government identification needed for housing, employment, and other essentials (Face to Face, 2025). The organization embraces the belief that all people share the same fundamental needs and desires, and only circumstances differ. As a result, Face to Face </w:t>
      </w:r>
      <w:r>
        <w:rPr>
          <w:rFonts w:ascii="Times New Roman" w:eastAsia="Times New Roman" w:hAnsi="Times New Roman" w:cs="Times New Roman"/>
        </w:rPr>
        <w:lastRenderedPageBreak/>
        <w:t>prioritizes respect and ensures that everyone who enters is welcomed as a guest (Face to Face, 2025).</w:t>
      </w:r>
    </w:p>
    <w:p w14:paraId="7A29F515"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Face to Face has approximately 1,600 volunteers ranging from teenagers to 85 years old. Its most prominent demographic comprises individuals aged 65–85. Volunteers undergo a workshop focused on understanding the trauma of poverty and working through a trauma-informed lens (Face to Face, 2023). The organization operates on an annual budget of $3.2 million, entirely fundraised through events such as a Thanksgiving Turkey Trot, which attracts about 1,000 participants and serves as its largest fundraiser. Other notable events include an annual spring auction and an Oktoberfest celebration in the fall (Face to Face, 2025).</w:t>
      </w:r>
    </w:p>
    <w:p w14:paraId="36AC0E8E" w14:textId="77777777" w:rsidR="00A003C6" w:rsidRDefault="00AD7092" w:rsidP="001C30F9">
      <w:pPr>
        <w:spacing w:line="523" w:lineRule="auto"/>
        <w:ind w:firstLine="20"/>
        <w:contextualSpacing/>
        <w:rPr>
          <w:rFonts w:ascii="Times New Roman" w:eastAsia="Times New Roman" w:hAnsi="Times New Roman" w:cs="Times New Roman"/>
        </w:rPr>
      </w:pPr>
      <w:r>
        <w:rPr>
          <w:rFonts w:ascii="Times New Roman" w:eastAsia="Times New Roman" w:hAnsi="Times New Roman" w:cs="Times New Roman"/>
        </w:rPr>
        <w:t xml:space="preserve">Face to Face boasts a range of organizational strengths, including a strong reputation, dedicated volunteers, and deeply rooted community values. One of its greatest assets is its robust volunteer base—numbering over 1,600 individuals—many of whom are long-term volunteers who contribute to a culture of commitment and care (Face to Face, 2025). The organization operates independently of federal funding, which allows it greater flexibility in program delivery and responsiveness to community needs (Face to Face, 2025). Its 40-year history has fostered strong connections within the organization and among stakeholders, with community word-of-mouth significantly enhancing its reputation (A. Monteiro, personal communication, January 24, 2025). Additionally, </w:t>
      </w:r>
      <w:r>
        <w:rPr>
          <w:rFonts w:ascii="Times New Roman" w:eastAsia="Times New Roman" w:hAnsi="Times New Roman" w:cs="Times New Roman"/>
          <w:i/>
        </w:rPr>
        <w:t xml:space="preserve">Face to Face </w:t>
      </w:r>
      <w:r>
        <w:rPr>
          <w:rFonts w:ascii="Times New Roman" w:eastAsia="Times New Roman" w:hAnsi="Times New Roman" w:cs="Times New Roman"/>
        </w:rPr>
        <w:t xml:space="preserve">is grounded in the values of hospitality, mutuality, and transformation, which foster a sense of belonging and mattering for both guests and volunteers—qualities shown to enhance volunteer retention and well-being (Baumeister &amp; Leary, 1995; Lambert et al., 2013). These strengths enable </w:t>
      </w:r>
      <w:r w:rsidRPr="000D0375">
        <w:rPr>
          <w:rFonts w:ascii="Times New Roman" w:eastAsia="Times New Roman" w:hAnsi="Times New Roman" w:cs="Times New Roman"/>
          <w:iCs/>
        </w:rPr>
        <w:t>Face to Face</w:t>
      </w:r>
      <w:r>
        <w:rPr>
          <w:rFonts w:ascii="Times New Roman" w:eastAsia="Times New Roman" w:hAnsi="Times New Roman" w:cs="Times New Roman"/>
          <w:i/>
        </w:rPr>
        <w:t xml:space="preserve"> </w:t>
      </w:r>
      <w:r>
        <w:rPr>
          <w:rFonts w:ascii="Times New Roman" w:eastAsia="Times New Roman" w:hAnsi="Times New Roman" w:cs="Times New Roman"/>
        </w:rPr>
        <w:t>to meet immediate needs and cultivate long-term relationships and community trust.</w:t>
      </w:r>
    </w:p>
    <w:p w14:paraId="01B73508"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lastRenderedPageBreak/>
        <w:t>Face to Face wishes to explore opportunities to enhance volunteer retention and care, focusing on creating a supportive volunteer environment. While the organization successfully attracts high school and college students as well as older adults aged 65–85, it has identified a gap in volunteer participation among individuals aged 30–50. Efforts are underway to recruit volunteers in this age range (A. Monteiro, personal communication, January 24, 2025). The organization also seeks to implement positive interventions to support volunteers emotionally, acknowledging that working in this space can sometimes feel like a heavy cognitive load. Face to Face aims to provide opportunities for volunteers to replenish their energy and foster a sense of community among them.</w:t>
      </w:r>
      <w:r>
        <w:rPr>
          <w:rFonts w:ascii="Arial" w:eastAsia="Arial" w:hAnsi="Arial" w:cs="Arial"/>
          <w:sz w:val="16"/>
          <w:szCs w:val="16"/>
        </w:rPr>
        <w:t xml:space="preserve"> </w:t>
      </w:r>
      <w:r>
        <w:rPr>
          <w:rFonts w:ascii="Times New Roman" w:eastAsia="Times New Roman" w:hAnsi="Times New Roman" w:cs="Times New Roman"/>
        </w:rPr>
        <w:t>Extending the organization's hospitality, mutuality, and transformation values to its volunteers and staff has become a priority. By ensuring that volunteers and staff feel valued and recognized, Face to Face hopes to strengthen its overall impact and build a sustainable support system (A. Monteiro, personal communication, January 24, 2025).</w:t>
      </w:r>
    </w:p>
    <w:p w14:paraId="6C7A2668" w14:textId="77777777" w:rsidR="00A003C6" w:rsidRPr="001C30F9" w:rsidRDefault="00AD7092" w:rsidP="002E6AAC">
      <w:pPr>
        <w:pStyle w:val="Heading2"/>
      </w:pPr>
      <w:bookmarkStart w:id="3" w:name="_Toc197457473"/>
      <w:r w:rsidRPr="001C30F9">
        <w:t>Sector Overview</w:t>
      </w:r>
      <w:bookmarkEnd w:id="3"/>
    </w:p>
    <w:p w14:paraId="25204DF5"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The current state of homelessness in the United States remains a critical challenge. The U.S. Department of Housing and Urban Development (HUD) Office of Community Planning and Development conducted its annual Point-in-Time (PIT) assessment during the last ten days of January, as it does each year. HUD released its 2024 Annual Homelessness Assessment Report (AHAR) in December, which serves as a primary reference in this analysis. Following HUD's precedent, the terms "homeless" and "homelessness" are used throughout this discussion. Accurate data collection on homelessness presents significant challenges due to the transient nature of this population and the variability in information provided by individuals. Service </w:t>
      </w:r>
      <w:r>
        <w:rPr>
          <w:rFonts w:ascii="Times New Roman" w:eastAsia="Times New Roman" w:hAnsi="Times New Roman" w:cs="Times New Roman"/>
        </w:rPr>
        <w:lastRenderedPageBreak/>
        <w:t>providers differ widely in terms of the services offered, funding sources, and workforce structures (National Alliance to End Homelessness, 2023). For instance, Face to Face does not accept federal funding, which excludes them from datasets derived from government filings (Face to Face, 2025).</w:t>
      </w:r>
    </w:p>
    <w:p w14:paraId="635B893E"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According to the 2024 </w:t>
      </w:r>
      <w:r>
        <w:rPr>
          <w:rFonts w:ascii="Times New Roman" w:eastAsia="Times New Roman" w:hAnsi="Times New Roman" w:cs="Times New Roman"/>
          <w:i/>
        </w:rPr>
        <w:t>HUD Annual Homeless Assessment Report</w:t>
      </w:r>
      <w:r>
        <w:rPr>
          <w:rFonts w:ascii="Times New Roman" w:eastAsia="Times New Roman" w:hAnsi="Times New Roman" w:cs="Times New Roman"/>
        </w:rPr>
        <w:t xml:space="preserve"> (AHAR), the Point-in-Time (PIT) count identified over 771,000 homeless individuals in the United States, a figure that excludes approximately 582,000 individuals who have been placed in permanent housing (deSousa &amp; Henry, 2024). Most demographic categories of homelessness have increased over time, except veterans, whose numbers have declined significantly over the past 15 years due to targeted federal investments and consistent funding initiatives (HUD, 2024; deSousa &amp; Henry, 2024). Nationally, the PIT count has risen by 32% over the past two years, signaling a sharp increase in housing insecurity. Pennsylvania alone reports a 12% year-over-year increase (deSousa &amp; Henry, 2024). In Pennsylvania, the 2024 PIT count identified approximately 14,000 individuals experiencing homelessness, of whom roughly 25% are considered chronically homeless—defined by HUD as individuals with disabling conditions who have been homeless for at least one year or experienced homelessness on four separate occasions over three years, totaling at least 12 months (HUD, 2024). Among those who are chronically homeless, 32% are unsheltered, indicating a significant gap in access to emergency accommodations (deSousa &amp; Henry, 2024). While temporary shelter capacity has increased by 40% since 2020, growth in permanent housing options has lagged considerably. Additionally, approximately 20% of individuals in the PIT count are children under 18, and another 20% are adults aged 55 or older, </w:t>
      </w:r>
      <w:r>
        <w:rPr>
          <w:rFonts w:ascii="Times New Roman" w:eastAsia="Times New Roman" w:hAnsi="Times New Roman" w:cs="Times New Roman"/>
        </w:rPr>
        <w:lastRenderedPageBreak/>
        <w:t>reflecting the vulnerability of both young and aging populations in the housing crisis (deSousa &amp; Henry, 2024).</w:t>
      </w:r>
    </w:p>
    <w:p w14:paraId="49ACF62D"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In Philadelphia, approximately 5,200 individuals were homeless in 2024—a 10% increase from the previous year (City of Philadelphia, 2024). Nearly 1,000 were unsheltered, with notable concentrations in Kensington and Center City (Axios, 2024; Metro Philadelphia, 2024). African Americans made up 68% of the city's homeless population, and children accounted for a large share of those in shelters (Homeless No More, 2024). Mental health and substance use challenges remain widespread (Homeless No More, 2024). Despite expanded shelter space, the city continues to face shortages in long-term housing and support services (City of Philadelphia, 2024; Axios, 2024). In the Germantown neighborhood specifically, personal accounts from residents highlight the challenges faced by individuals aging out of the foster care system in Germantown, underscoring the need for targeted support services (WHYY, 2024). Face to Face thus serves as a critical lifeline in the Germantown neighborhood of Philadelphia—a community deeply impacted by poverty and housing insecurity. While the 2024 Point-in-Time (PIT) count estimates over 5,200 individuals experiencing homelessness across Philadelphia (City of Philadelphia, 2024), localized data shows that Germantown residents face additional compounding stressors such as housing instability, underemployment and high eviction rates (Next City, 2024).</w:t>
      </w:r>
    </w:p>
    <w:p w14:paraId="0B6CF059" w14:textId="71A062F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Given Face to Face's focus on improving the recruitment and retention of volunteers, an analysis of available data regarding this metric was conducted. However, precise data on volunteerism in the homelessness sector is difficult to obtain, as volunteers often divide their time between various services offered by nonprofit organizations (NPOs) (Hager &amp; Brudney, </w:t>
      </w:r>
      <w:r>
        <w:rPr>
          <w:rFonts w:ascii="Times New Roman" w:eastAsia="Times New Roman" w:hAnsi="Times New Roman" w:cs="Times New Roman"/>
        </w:rPr>
        <w:lastRenderedPageBreak/>
        <w:t>2004). Nonetheless, it is estimated that 620,000 individuals volunteer with NPOs providing services to homeless populations (Culhane &amp; An, 2022). Research on effective volunteer recruitment and retention strategies highlights the importance of branding. Febriani and Selamet (2020) found that branding significantly influences younger volunteers, such as college students. Potential volunteers may develop positive impressions of an NPO without direct interaction, and factors such as enthusiasm, competence, and even facility aesthetics can impact perceptions</w:t>
      </w:r>
      <w:r w:rsidR="000D0375">
        <w:rPr>
          <w:rFonts w:ascii="Times New Roman" w:eastAsia="Times New Roman" w:hAnsi="Times New Roman" w:cs="Times New Roman"/>
        </w:rPr>
        <w:t xml:space="preserve"> (Febriani &amp; Selamet, 2020)</w:t>
      </w:r>
      <w:r>
        <w:rPr>
          <w:rFonts w:ascii="Times New Roman" w:eastAsia="Times New Roman" w:hAnsi="Times New Roman" w:cs="Times New Roman"/>
        </w:rPr>
        <w:t>.</w:t>
      </w:r>
    </w:p>
    <w:p w14:paraId="6D4D2B32"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Recognition is another critical factor in volunteer retention. While volunteers generally understand the financial constraints of NPOs, even intangible forms of recognition, such as verbal acknowledgments or certificates, significantly impact motivation (Ilyas et al., 2020). Studies also indicate a strong correlation between robust volunteer recognition practices and an effective volunteer workforce (Ilyas et al., 2020). Charismatic and competent leadership plays a vital role in retaining volunteers. Leaders who capitalize on volunteers' unique skills, provide flexible opportunities, involve them in decision-making, and keep them informed about the organization's goals and progress tend to foster stronger bonds with volunteers (Connors, 2012). Engaged, long-term volunteers enhance an organization's internal operations and improve its brand image within the community, further facilitating recruitment efforts (Wymer &amp; Starnes, 2001). Transparent disclosures regarding financial and time donations and celebrity endorsements resonate with volunteers (Ilyas et al., 2020).</w:t>
      </w:r>
    </w:p>
    <w:p w14:paraId="447F0517" w14:textId="339FA7FC" w:rsidR="00A003C6" w:rsidRPr="001C30F9" w:rsidRDefault="00AD7092" w:rsidP="002E6AAC">
      <w:pPr>
        <w:pStyle w:val="Heading2"/>
      </w:pPr>
      <w:bookmarkStart w:id="4" w:name="_Toc197457474"/>
      <w:r w:rsidRPr="001C30F9">
        <w:t>Potential Application of Positive Psychology</w:t>
      </w:r>
      <w:bookmarkEnd w:id="4"/>
    </w:p>
    <w:p w14:paraId="57F31ACC" w14:textId="2F488171" w:rsidR="00A003C6" w:rsidRDefault="00AD7092" w:rsidP="001C30F9">
      <w:pPr>
        <w:shd w:val="clear" w:color="auto" w:fill="FFFFFF"/>
        <w:spacing w:line="523" w:lineRule="auto"/>
        <w:ind w:firstLine="720"/>
        <w:contextualSpacing/>
        <w:rPr>
          <w:rFonts w:ascii="Arial" w:eastAsia="Arial" w:hAnsi="Arial" w:cs="Arial"/>
          <w:sz w:val="16"/>
          <w:szCs w:val="16"/>
        </w:rPr>
      </w:pPr>
      <w:r>
        <w:rPr>
          <w:rFonts w:ascii="Times New Roman" w:eastAsia="Times New Roman" w:hAnsi="Times New Roman" w:cs="Times New Roman"/>
        </w:rPr>
        <w:lastRenderedPageBreak/>
        <w:t xml:space="preserve">Meetings with Ally Monteiro, the Volunteer Manager at Face to Face, provided valuable insights into the organization's needs and opportunities for integrating positive psychology. Throughout weekly virtual meetings with Team Black, Ally demonstrated significant </w:t>
      </w:r>
      <w:r w:rsidR="007D39F9">
        <w:rPr>
          <w:rFonts w:ascii="Times New Roman" w:eastAsia="Times New Roman" w:hAnsi="Times New Roman" w:cs="Times New Roman"/>
        </w:rPr>
        <w:t>enthusiasm</w:t>
      </w:r>
      <w:r>
        <w:rPr>
          <w:rFonts w:ascii="Times New Roman" w:eastAsia="Times New Roman" w:hAnsi="Times New Roman" w:cs="Times New Roman"/>
        </w:rPr>
        <w:t xml:space="preserve"> to collaborate on planning and implementing meaningful and productive positive psychology interventions for the organization and its guests. Ally identified key challenges, particularly </w:t>
      </w:r>
      <w:r w:rsidR="007D39F9">
        <w:rPr>
          <w:rFonts w:ascii="Times New Roman" w:eastAsia="Times New Roman" w:hAnsi="Times New Roman" w:cs="Times New Roman"/>
        </w:rPr>
        <w:t>with</w:t>
      </w:r>
      <w:r>
        <w:rPr>
          <w:rFonts w:ascii="Times New Roman" w:eastAsia="Times New Roman" w:hAnsi="Times New Roman" w:cs="Times New Roman"/>
        </w:rPr>
        <w:t xml:space="preserve"> volunteer engagement, which is a critical stress point for her and the organization. Often, Ally operates in what Pawelski (2017) describes as "Red Cape survivor mode," addressing immediate crises while essential long-term priorities are sidelined. To better understand these dynamics, Team Black visited Face to Face on March 6, 2025, for further hands-on discovery.</w:t>
      </w:r>
      <w:r>
        <w:rPr>
          <w:rFonts w:ascii="Arial" w:eastAsia="Arial" w:hAnsi="Arial" w:cs="Arial"/>
          <w:sz w:val="16"/>
          <w:szCs w:val="16"/>
        </w:rPr>
        <w:t xml:space="preserve"> </w:t>
      </w:r>
    </w:p>
    <w:p w14:paraId="2457DCFA" w14:textId="77777777" w:rsidR="00A003C6" w:rsidRDefault="00AD7092" w:rsidP="001C30F9">
      <w:pPr>
        <w:shd w:val="clear" w:color="auto" w:fill="FFFFFF"/>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Together with Ally, two specific areas were identified where positive psychology applications could have a robust and sustainable impact:</w:t>
      </w:r>
    </w:p>
    <w:p w14:paraId="59C526A1" w14:textId="77777777" w:rsidR="00A003C6" w:rsidRDefault="00AD7092" w:rsidP="001C30F9">
      <w:pPr>
        <w:numPr>
          <w:ilvl w:val="0"/>
          <w:numId w:val="8"/>
        </w:numPr>
        <w:spacing w:after="0" w:line="523" w:lineRule="auto"/>
        <w:contextualSpacing/>
        <w:rPr>
          <w:rFonts w:ascii="Times New Roman" w:eastAsia="Times New Roman" w:hAnsi="Times New Roman" w:cs="Times New Roman"/>
        </w:rPr>
      </w:pPr>
      <w:r>
        <w:rPr>
          <w:rFonts w:ascii="Times New Roman" w:eastAsia="Times New Roman" w:hAnsi="Times New Roman" w:cs="Times New Roman"/>
          <w:b/>
        </w:rPr>
        <w:t>Volunteer Engagement:</w:t>
      </w:r>
      <w:r>
        <w:rPr>
          <w:rFonts w:ascii="Times New Roman" w:eastAsia="Times New Roman" w:hAnsi="Times New Roman" w:cs="Times New Roman"/>
        </w:rPr>
        <w:t xml:space="preserve"> Enhancing volunteer engagement is a priority at Face to Face. Research shows that volunteers are more likely to remain committed when they experience personal meaning, social connection, and appreciation (Chen et al., 2023). Positive psychology offers tools to support these drivers—such as fostering high-quality connections among volunteers (Dutton, 2003), cultivating a sense of mattering (Lambert et al., 2013), and reinforcing intrinsic motivation through strength-based roles (Niemic, 2018). By intentionally applying these practices, the organization can sustain volunteer energy, deepen satisfaction, and nurture a culture of mutual care and commitment.</w:t>
      </w:r>
    </w:p>
    <w:p w14:paraId="7B67D716" w14:textId="5004E941" w:rsidR="00A003C6" w:rsidRDefault="00AD7092" w:rsidP="001C30F9">
      <w:pPr>
        <w:numPr>
          <w:ilvl w:val="0"/>
          <w:numId w:val="8"/>
        </w:numPr>
        <w:spacing w:after="0" w:line="523" w:lineRule="auto"/>
        <w:contextualSpacing/>
        <w:rPr>
          <w:rFonts w:ascii="Times New Roman" w:eastAsia="Times New Roman" w:hAnsi="Times New Roman" w:cs="Times New Roman"/>
        </w:rPr>
      </w:pPr>
      <w:r>
        <w:rPr>
          <w:rFonts w:ascii="Times New Roman" w:eastAsia="Times New Roman" w:hAnsi="Times New Roman" w:cs="Times New Roman"/>
          <w:b/>
        </w:rPr>
        <w:t>Volunteer Retention:</w:t>
      </w:r>
      <w:r>
        <w:rPr>
          <w:rFonts w:ascii="Times New Roman" w:eastAsia="Times New Roman" w:hAnsi="Times New Roman" w:cs="Times New Roman"/>
        </w:rPr>
        <w:t xml:space="preserve"> Structured and scheduled appreciation events </w:t>
      </w:r>
      <w:r w:rsidR="007D39F9">
        <w:rPr>
          <w:rFonts w:ascii="Times New Roman" w:eastAsia="Times New Roman" w:hAnsi="Times New Roman" w:cs="Times New Roman"/>
        </w:rPr>
        <w:t>can</w:t>
      </w:r>
      <w:r>
        <w:rPr>
          <w:rFonts w:ascii="Times New Roman" w:eastAsia="Times New Roman" w:hAnsi="Times New Roman" w:cs="Times New Roman"/>
        </w:rPr>
        <w:t xml:space="preserve"> play a significant role in retaining volunteers, and events that build community, express </w:t>
      </w:r>
      <w:r>
        <w:rPr>
          <w:rFonts w:ascii="Times New Roman" w:eastAsia="Times New Roman" w:hAnsi="Times New Roman" w:cs="Times New Roman"/>
        </w:rPr>
        <w:lastRenderedPageBreak/>
        <w:t>gratitude and foster high-quality connections are essential (Dutton &amp; Worline, 2023). Drawing inspiration from Zander's (2002) concept of creating environments that "make people want to dance," Team Black proposed the development of positive interventions aimed at volunteer retention (Pawelski, 2017). Key questions to explore include:</w:t>
      </w:r>
    </w:p>
    <w:p w14:paraId="59B356B6" w14:textId="77777777" w:rsidR="00A003C6" w:rsidRDefault="00AD7092" w:rsidP="001C30F9">
      <w:pPr>
        <w:numPr>
          <w:ilvl w:val="1"/>
          <w:numId w:val="8"/>
        </w:numPr>
        <w:spacing w:after="0" w:line="523" w:lineRule="auto"/>
        <w:contextualSpacing/>
        <w:rPr>
          <w:rFonts w:ascii="Times New Roman" w:eastAsia="Times New Roman" w:hAnsi="Times New Roman" w:cs="Times New Roman"/>
        </w:rPr>
      </w:pPr>
      <w:r>
        <w:rPr>
          <w:rFonts w:ascii="Times New Roman" w:eastAsia="Times New Roman" w:hAnsi="Times New Roman" w:cs="Times New Roman"/>
        </w:rPr>
        <w:t>How can one-time volunteers be encouraged to return?</w:t>
      </w:r>
    </w:p>
    <w:p w14:paraId="5012575D" w14:textId="77777777" w:rsidR="00A003C6" w:rsidRDefault="00AD7092" w:rsidP="001C30F9">
      <w:pPr>
        <w:numPr>
          <w:ilvl w:val="1"/>
          <w:numId w:val="8"/>
        </w:numPr>
        <w:spacing w:after="0" w:line="523" w:lineRule="auto"/>
        <w:contextualSpacing/>
        <w:rPr>
          <w:rFonts w:ascii="Times New Roman" w:eastAsia="Times New Roman" w:hAnsi="Times New Roman" w:cs="Times New Roman"/>
        </w:rPr>
      </w:pPr>
      <w:r>
        <w:rPr>
          <w:rFonts w:ascii="Times New Roman" w:eastAsia="Times New Roman" w:hAnsi="Times New Roman" w:cs="Times New Roman"/>
        </w:rPr>
        <w:t>What strategies can replenish the energy and motivation of volunteers?</w:t>
      </w:r>
    </w:p>
    <w:p w14:paraId="6AAE5D0E" w14:textId="77777777" w:rsidR="00A003C6" w:rsidRDefault="00AD7092" w:rsidP="001C30F9">
      <w:pPr>
        <w:numPr>
          <w:ilvl w:val="1"/>
          <w:numId w:val="8"/>
        </w:numPr>
        <w:spacing w:after="0" w:line="523" w:lineRule="auto"/>
        <w:contextualSpacing/>
        <w:rPr>
          <w:rFonts w:ascii="Times New Roman" w:eastAsia="Times New Roman" w:hAnsi="Times New Roman" w:cs="Times New Roman"/>
        </w:rPr>
      </w:pPr>
      <w:r>
        <w:rPr>
          <w:rFonts w:ascii="Times New Roman" w:eastAsia="Times New Roman" w:hAnsi="Times New Roman" w:cs="Times New Roman"/>
        </w:rPr>
        <w:t>How can toolkits be designed to meet the needs of diverse volunteer demographics?</w:t>
      </w:r>
    </w:p>
    <w:p w14:paraId="3E34CCDC" w14:textId="77777777" w:rsidR="00A003C6" w:rsidRPr="001C30F9" w:rsidRDefault="00AD7092" w:rsidP="002E6AAC">
      <w:pPr>
        <w:pStyle w:val="Heading1"/>
      </w:pPr>
      <w:bookmarkStart w:id="5" w:name="_Toc197457475"/>
      <w:r w:rsidRPr="001C30F9">
        <w:t>Literature Review</w:t>
      </w:r>
      <w:bookmarkEnd w:id="5"/>
    </w:p>
    <w:p w14:paraId="4CF68E3F" w14:textId="77777777"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Our situation analysis revealed that while volunteers are essential to Face to Face’s mission, the organization faces ongoing challenges in maintaining strong volunteer engagement and retention—particularly among individuals aged 30 to 50. Additionally, while volunteers receive informed training, there is a need to strengthen support systems to prevent burnout and ensure volunteers feel valued and connected to the organization. This literature review builds upon the findings from the situation analysis to explore evidence-based strategies for enhancing volunteer engagement, workplace culture, and volunteer retention at Face to Face. Key areas of focus include the role of recognition, skill development, transparency, and social support in fostering sustained volunteer participation. Additionally, the review examines how high-quality connections (HQCs) and a positive workplace environment can improve the volunteer experience and create a more resilient support network.</w:t>
      </w:r>
    </w:p>
    <w:p w14:paraId="29BBDD0E" w14:textId="77777777" w:rsidR="00A003C6" w:rsidRPr="001C30F9" w:rsidRDefault="00AD7092" w:rsidP="002E6AAC">
      <w:pPr>
        <w:pStyle w:val="Heading2"/>
      </w:pPr>
      <w:bookmarkStart w:id="6" w:name="_Toc197457476"/>
      <w:r w:rsidRPr="001C30F9">
        <w:t>Volunteer Engagement</w:t>
      </w:r>
      <w:bookmarkEnd w:id="6"/>
    </w:p>
    <w:p w14:paraId="271C3795" w14:textId="77777777" w:rsidR="00A003C6" w:rsidRDefault="00AD7092" w:rsidP="001C30F9">
      <w:pPr>
        <w:spacing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lastRenderedPageBreak/>
        <w:t>As defined by Seligman (2011), engagement is a deep psychological connection to an activity—marked by absorption, enthusiasm, and a sense of flow. In volunteering, this internal experience is crucial yet often overlooked. While "volunteer engagement" is commonly used to refer to behavioral metrics like attendance or hours served (Hager &amp; Brudney, 2004), a more holistic understanding emphasizes the felt sense of purpose, connection, and personal investment that sustains long-term involvement (Vecina et al., 2012). Research shows that factors such as skill development, value alignment, role clarity, transparency, and social support significantly shape this deeper form of engagement—ultimately influencing volunteer satisfaction, retention, and impact (Clary et al., 1998; Chacón et al., 2007; Garner &amp; Garner, 2011).</w:t>
      </w:r>
    </w:p>
    <w:p w14:paraId="008D0C46" w14:textId="77777777" w:rsidR="00A003C6" w:rsidRDefault="00AD7092" w:rsidP="001C30F9">
      <w:pPr>
        <w:spacing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Ilyas et al. (2020) note that opportunities for skill development and the quality of administrative support significantly influence volunteer engagement. Their qualitative study also emphasizes the importance of understanding volunteers' motivations. Volunteers who align with the mission of the nonprofit exhibit higher engagement, whereas those with external or unrelated motives demonstrate lower levels of commitment (Ilyas et al., 2020). Trust and transparency are also critical components in fostering engagement, reinforcing the need for clear communication between staff and volunteers. Transparency strategies, such as regular updates on organizational impact, have been shown to enhance engagement (Ilyas et al., 2020). Ata et al. (2024) find that monthly emails to current and former volunteers—including quantitative impact reports and group photos—strengthen volunteers' sense of involvement. Additionally, they highlight the importance of strategically matching volunteer availability with organizational demand. Rather than measuring engagement, their study focuses on optimizing volunteer experiences by reducing issues related to under- or overstaffing (Ata et al., 2024).</w:t>
      </w:r>
    </w:p>
    <w:p w14:paraId="3E1C954C" w14:textId="77777777" w:rsidR="00A003C6" w:rsidRDefault="00AD7092" w:rsidP="001C30F9">
      <w:pPr>
        <w:spacing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lastRenderedPageBreak/>
        <w:t>Role clarity and task alignment are critical to fostering engagement that leads to psychological ownership and sustained volunteer commitment. When volunteers understand their responsibilities and feel their strengths are well-matched to their roles, they are more likely to experience a sense of meaning and personal investment (Vecina et al., 2012). Fernandes and Matos (2023) identify value alignment as a key driver of volunteer commitment, highlighting the importance of connecting individual motivations to organizational purpose. Similarly, Harp et al. (2017) note that role ambiguity and organizational constraints reduce engagement by undermining a volunteer’s sense of agency and contribution. When volunteers are given opportunities to apply their skills and take on meaningful challenges, they can develop a strong sense of ownership—sometimes expressed, as seen at Face to Face, through territorial attachment to specific tasks or shifts (A. Monteiro &amp; Volunteers, personal communication, March 6, 2025). Harnessing this engagement constructively requires intentional role design and clear communication.</w:t>
      </w:r>
    </w:p>
    <w:p w14:paraId="69986378" w14:textId="77777777" w:rsidR="00A003C6" w:rsidRDefault="00AD7092" w:rsidP="001C30F9">
      <w:pPr>
        <w:spacing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Recognition and experiential satisfaction further contribute to volunteer engagement and retention. Oh (2019) examined library volunteers and discovered that formal recognition and positive day-to-day experiences significantly enhance long-term commitment. Through volunteer surveys and interviews with library managers, the study highlights how meaningful appreciation and well-structured volunteer roles foster engagement. These findings are further supported by Febriani and Selamet (2020), who note that recognition programs positively influenced volunteer recruitment, satisfaction, and retention. Their research demonstrates that even cost-effective and straightforward recognition efforts, such as paper awards or certificates, can significantly augment volunteer engagement. Additionally, they find that informing potential recruits about the organization's commitment to recognizing outstanding volunteers can serve as a powerful </w:t>
      </w:r>
      <w:r>
        <w:rPr>
          <w:rFonts w:ascii="Times New Roman" w:eastAsia="Times New Roman" w:hAnsi="Times New Roman" w:cs="Times New Roman"/>
        </w:rPr>
        <w:lastRenderedPageBreak/>
        <w:t xml:space="preserve">recruitment strategy, reinforcing engagement across multiple dimensions (Febriani &amp; Selamet, 2020). </w:t>
      </w:r>
    </w:p>
    <w:p w14:paraId="162CD640" w14:textId="77777777" w:rsidR="00A003C6" w:rsidRDefault="00AD7092" w:rsidP="001C30F9">
      <w:pPr>
        <w:spacing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Research on staff-volunteer interactions remains limited, presenting a valuable opportunity for further exploration to uncover underutilized strategies for enhancing volunteer engagement. Existing research, such as a mixed-methods case study by Rimes et al. (2017), identifies key challenges in staff-volunteer dynamics, including poor communication, negative attitudes and behaviors, staff job insecurity, unrealistic expectations, role ambiguity, and lack of trust. Notably, the study states that a straightforward yet effective solution to these issues is the implementation of structured volunteer interaction training for staff, which helps foster improved collaboration and clearer role expectations (Rimes et al., 2017).</w:t>
      </w:r>
    </w:p>
    <w:p w14:paraId="51241F0E" w14:textId="77777777" w:rsidR="00A003C6" w:rsidRDefault="00AD7092" w:rsidP="001C30F9">
      <w:pPr>
        <w:spacing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At Face to Face, volunteer engagement presents both opportunities and challenges. While the organization benefits from a large and dedicated volunteer base—with approximately 1,400 volunteers available and over 100 contributing monthly—many volunteers exhibit rigid expectations regarding their schedules, roles, and fellow volunteers (Face to Face, 2025). This pattern is particularly evident among those who repeatedly sign up for the same shifts each week or expect to participate in high-profile annual events such as Thanksgiving. Additionally, it remains unclear whether untapped skills exist within the volunteer roster, and some volunteers are exposed to negative staff commentary about the organization, which may impact their engagement (A. Monteiro, personal communication, February 7, 2025). Applying insights from the literature, Team Black envisioned enhancing volunteer engagement by implementing strategies that align volunteer roles with their skills and motivations, increase transparency, and provide recognition for contributions. Strengthening communication through regular impact </w:t>
      </w:r>
      <w:r>
        <w:rPr>
          <w:rFonts w:ascii="Times New Roman" w:eastAsia="Times New Roman" w:hAnsi="Times New Roman" w:cs="Times New Roman"/>
        </w:rPr>
        <w:lastRenderedPageBreak/>
        <w:t>updates, ensuring task clarity, and fostering a supportive environment are paramount for optimizing volunteer engagement and retention.</w:t>
      </w:r>
    </w:p>
    <w:p w14:paraId="71C832B3" w14:textId="77777777" w:rsidR="00A003C6" w:rsidRPr="001C30F9" w:rsidRDefault="00AD7092" w:rsidP="002E6AAC">
      <w:pPr>
        <w:pStyle w:val="Heading2"/>
      </w:pPr>
      <w:bookmarkStart w:id="7" w:name="_Toc197457477"/>
      <w:r w:rsidRPr="001C30F9">
        <w:t>Workplace Culture</w:t>
      </w:r>
      <w:bookmarkEnd w:id="7"/>
    </w:p>
    <w:p w14:paraId="284DFC55"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Culture is defined as the shared values, beliefs, and behaviors that shape an organization’s environment and influence the experiences of its members (Schein, 2010). A positive workplace culture fosters collaboration, trust, engagement, and overall well-being, making it a critical component of any organization, including Face to Face (Schein, 2020). Research on cultivating a positive culture highlights key themes such as high-quality connections, trust, psychological safety, and a sense of belonging and mattering.</w:t>
      </w:r>
    </w:p>
    <w:p w14:paraId="52D613BB"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One of the foundational elements of a positive culture is high-quality connections (HQCs), which are short-term, positive interactions that enhance workplace relationships (Stephens et al., 2011). Since humans are inherently social beings, connection plays a vital role in shaping their work and volunteer experiences. High-quality connections are built through four key pathways: respectful engagement, task enabling, trust, and play (Stephens et al., 2011). Respectful engagement involves being present, actively listening, and demonstrating empathy, while task enabling refers to supporting and facilitating others' success. Trust is established when individuals believe their colleagues are dependable and capable of meeting expectations, and play involves incorporating moments of fun into interactions (Stephens et al., 2011). These elements enhance cognitive performance, improve psychological safety, and foster cooperation, ultimately increasing positive emotions and empathy within teams (Stephens et al., 2011). Given Face to Face's core values of hospitality, mutuality, and transformation, fostering high-quality </w:t>
      </w:r>
      <w:r>
        <w:rPr>
          <w:rFonts w:ascii="Times New Roman" w:eastAsia="Times New Roman" w:hAnsi="Times New Roman" w:cs="Times New Roman"/>
        </w:rPr>
        <w:lastRenderedPageBreak/>
        <w:t>connections aligns closely with its mission and can contribute to developing a more supportive and engaged workplace culture.</w:t>
      </w:r>
    </w:p>
    <w:p w14:paraId="79BFD861"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Trust is also vital to a positive organizational culture, as it supports </w:t>
      </w:r>
      <w:r>
        <w:rPr>
          <w:rFonts w:ascii="Times New Roman" w:eastAsia="Times New Roman" w:hAnsi="Times New Roman" w:cs="Times New Roman"/>
          <w:i/>
        </w:rPr>
        <w:t>psychological safety</w:t>
      </w:r>
      <w:r>
        <w:rPr>
          <w:rFonts w:ascii="Times New Roman" w:eastAsia="Times New Roman" w:hAnsi="Times New Roman" w:cs="Times New Roman"/>
        </w:rPr>
        <w:t>—a shared belief that individuals can express themselves without fear of negative consequences (Edmondson, 1999). When teams develop HQCs characterized by shared goals, mutual respect, and open communication, psychological safety increases (Brueller &amp; Carmeli, 2011). In turn, this enhances team learning, performance, and adaptability, allowing organizations to better respond to the evolving needs of their community (Brueller &amp; Carmeli, 2011). Psychological safety enables teams to discuss mistakes and learn from failures, fostering a culture of continuous improvement (Carmeli &amp; Gittell, 2009). Organizations with high trust and psychological safety levels are more likely to innovate, collaborate, and achieve long-term success (Carmeli &amp; Gittell, 2009).</w:t>
      </w:r>
    </w:p>
    <w:p w14:paraId="4FDCED36" w14:textId="0D1C1A5D"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Respect is another critical factor in shaping workplace culture. Carmeli et al. (2015) </w:t>
      </w:r>
      <w:r w:rsidR="007D39F9">
        <w:rPr>
          <w:rFonts w:ascii="Times New Roman" w:eastAsia="Times New Roman" w:hAnsi="Times New Roman" w:cs="Times New Roman"/>
        </w:rPr>
        <w:t>find</w:t>
      </w:r>
      <w:r>
        <w:rPr>
          <w:rFonts w:ascii="Times New Roman" w:eastAsia="Times New Roman" w:hAnsi="Times New Roman" w:cs="Times New Roman"/>
        </w:rPr>
        <w:t xml:space="preserve"> that respectful interactions enhance awareness, acceptance, and mutuality, cultivating an environment conducive to creativity. When respect is present, individuals are more open to diverse ideas, more willing to collaborate, and more likely to generate innovative solutions (Carmeli et al., 2015). Creativity allows individuals and organizations to grow, making it </w:t>
      </w:r>
      <w:r w:rsidR="007D39F9">
        <w:rPr>
          <w:rFonts w:ascii="Times New Roman" w:eastAsia="Times New Roman" w:hAnsi="Times New Roman" w:cs="Times New Roman"/>
        </w:rPr>
        <w:t>an asset</w:t>
      </w:r>
      <w:r>
        <w:rPr>
          <w:rFonts w:ascii="Times New Roman" w:eastAsia="Times New Roman" w:hAnsi="Times New Roman" w:cs="Times New Roman"/>
        </w:rPr>
        <w:t xml:space="preserve"> for Face to Face.</w:t>
      </w:r>
    </w:p>
    <w:p w14:paraId="698500B7"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A sense of belonging and mattering further contributes to a thriving workplace culture. Prilleltensky (2014) describes mattering as an essential component of meaning-making and well-being, comprising two key dimensions: recognition (feeling valued) and impact (adding value). While many Face to Face volunteers and staff contribute their time to create a positive impact in </w:t>
      </w:r>
      <w:r>
        <w:rPr>
          <w:rFonts w:ascii="Times New Roman" w:eastAsia="Times New Roman" w:hAnsi="Times New Roman" w:cs="Times New Roman"/>
        </w:rPr>
        <w:lastRenderedPageBreak/>
        <w:t>their community, it is equally important that they feel recognized for their efforts. Prilleltensky (2014) emphasizes the role of fairness in cultivating environments where individuals feel they matter, leading to greater engagement and overall well-being. Similarly, Jung (2015) highlights that work and volunteering are primary sources of meaning and connection in people's lives, reinforcing the need to create an environment where individuals feel valued. Research further supports that a strong sense of mattering is associated with positive affect, self-esteem, and well-being (Reece et al., 2021).</w:t>
      </w:r>
    </w:p>
    <w:p w14:paraId="2E794CFD"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Mattering in the workplace has significant benefits for both individuals and organizations. When employees and volunteers feel they matter, they experience greater job satisfaction, are more likely to take on leadership roles, and receive greater credit for their contributions (Reece et al., 2021). Furthermore, a strong sense of mattering reduces turnover, increases happiness, and enhances life satisfaction (Reece et al., 2021). Creating an environment where individuals feel acknowledged and appreciated is essential, as noted by Prilleltensky (2014), for the creation of a positive culture at Face to Face.</w:t>
      </w:r>
    </w:p>
    <w:p w14:paraId="7E8B5DF3"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Establishing a positive workplace environment at Face to Face is both possible and beneficial. High-quality connections, trust, respect, and a sense of belonging are essential but often overlooked elements of workplace culture. While fostering these qualities requires effort and intentionality, they can significantly enhance team dynamics, cooperation, and overall well-being. By executing practices that promote trust and respect, Face to Face can create a space where volunteers and staff feel psychologically safe, valued, and engaged.</w:t>
      </w:r>
    </w:p>
    <w:p w14:paraId="43A01D87" w14:textId="56A04F60"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Additionally, incorporating </w:t>
      </w:r>
      <w:r>
        <w:rPr>
          <w:rFonts w:ascii="Times New Roman" w:eastAsia="Times New Roman" w:hAnsi="Times New Roman" w:cs="Times New Roman"/>
          <w:i/>
        </w:rPr>
        <w:t>play</w:t>
      </w:r>
      <w:r>
        <w:rPr>
          <w:rFonts w:ascii="Times New Roman" w:eastAsia="Times New Roman" w:hAnsi="Times New Roman" w:cs="Times New Roman"/>
        </w:rPr>
        <w:t xml:space="preserve"> into the workplace can foster stronger interpersonal connections and contribute to a more energized, collaborative culture (Mainemelis &amp; Ronson, </w:t>
      </w:r>
      <w:r>
        <w:rPr>
          <w:rFonts w:ascii="Times New Roman" w:eastAsia="Times New Roman" w:hAnsi="Times New Roman" w:cs="Times New Roman"/>
        </w:rPr>
        <w:lastRenderedPageBreak/>
        <w:t xml:space="preserve">2006). Simple practices—such as icebreaker games at the start of a shift or designated volunteer appreciation events—can help staff and volunteers build rapport, reduce stress, and support engagement. These strategies are aimed at </w:t>
      </w:r>
      <w:r w:rsidR="007D39F9">
        <w:rPr>
          <w:rFonts w:ascii="Times New Roman" w:eastAsia="Times New Roman" w:hAnsi="Times New Roman" w:cs="Times New Roman"/>
        </w:rPr>
        <w:t>advancing</w:t>
      </w:r>
      <w:r>
        <w:rPr>
          <w:rFonts w:ascii="Times New Roman" w:eastAsia="Times New Roman" w:hAnsi="Times New Roman" w:cs="Times New Roman"/>
        </w:rPr>
        <w:t xml:space="preserve"> high-quality connections, a sense of mattering, and belonging during volunteer shifts. While modest in scale, these efforts are designed to strengthen relational dynamics and contribute to a more welcoming and positive volunteer environment that reflects and reinforces Face to Face's core values. Over time, such cultural shifts may support broader volunteer satisfaction and retention goals.</w:t>
      </w:r>
    </w:p>
    <w:p w14:paraId="70998D3F" w14:textId="77777777" w:rsidR="00A003C6" w:rsidRPr="001C30F9" w:rsidRDefault="00AD7092" w:rsidP="002E6AAC">
      <w:pPr>
        <w:pStyle w:val="Heading2"/>
      </w:pPr>
      <w:bookmarkStart w:id="8" w:name="_Toc197457478"/>
      <w:r w:rsidRPr="001C30F9">
        <w:t>Volunteer Retention</w:t>
      </w:r>
      <w:bookmarkEnd w:id="8"/>
    </w:p>
    <w:p w14:paraId="4DCC957C"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Volunteer retention is another critical factor in maintaining a sustainable and effective nonprofit organization. Retaining volunteers requires nurturing a sense of engagement, belonging, and purpose while minimizing burnout and turnover.</w:t>
      </w:r>
      <w:r>
        <w:rPr>
          <w:rFonts w:ascii="Arial" w:eastAsia="Arial" w:hAnsi="Arial" w:cs="Arial"/>
          <w:sz w:val="16"/>
          <w:szCs w:val="16"/>
        </w:rPr>
        <w:t xml:space="preserve"> </w:t>
      </w:r>
      <w:r>
        <w:rPr>
          <w:rFonts w:ascii="Times New Roman" w:eastAsia="Times New Roman" w:hAnsi="Times New Roman" w:cs="Times New Roman"/>
        </w:rPr>
        <w:t>One approach to achieving this is by implementing volunteer toolkits, feedback platforms, and the peak-end effect—each of which enhances the volunteer experience and strengthens commitment.</w:t>
      </w:r>
    </w:p>
    <w:p w14:paraId="3C8F8998" w14:textId="77777777" w:rsidR="00A003C6" w:rsidRDefault="00AD7092" w:rsidP="001C30F9">
      <w:pPr>
        <w:spacing w:line="523" w:lineRule="auto"/>
        <w:ind w:firstLine="720"/>
        <w:contextualSpacing/>
        <w:rPr>
          <w:rFonts w:ascii="Times New Roman" w:eastAsia="Times New Roman" w:hAnsi="Times New Roman" w:cs="Times New Roman"/>
          <w:u w:val="single"/>
        </w:rPr>
      </w:pPr>
      <w:r>
        <w:rPr>
          <w:rFonts w:ascii="Times New Roman" w:eastAsia="Times New Roman" w:hAnsi="Times New Roman" w:cs="Times New Roman"/>
        </w:rPr>
        <w:t xml:space="preserve">A "Settled Culture" provides a set of ingrained habits and skills that allow an organization to function effectively. In contrast, an "Unsettled Culture" arises in times of crisis, high turnover, or the need for new traditions and structures (Swidler, 1986). Organizations must reevaluate their guiding principles and practices during unsettled periods to establish sustainable solutions that improve volunteer retention (Swidler, 1986). Based on Ally's requests, Team Black aspired to develop volunteer toolkits that equip Face to Face volunteers with structured resources and strategies to enhance their experience and effectiveness. Furthermore, research suggests that organizations should provide practical support to volunteers to improve retention (Alfes et al., </w:t>
      </w:r>
      <w:r>
        <w:rPr>
          <w:rFonts w:ascii="Times New Roman" w:eastAsia="Times New Roman" w:hAnsi="Times New Roman" w:cs="Times New Roman"/>
        </w:rPr>
        <w:lastRenderedPageBreak/>
        <w:t>2016). In implementing the toolkits Team Black designed for Face to Face, the organization should consider elements of sustainability and mentorship opportunities, such as a structured buddy system, to ensure that its volunteers feel supported and connected.</w:t>
      </w:r>
    </w:p>
    <w:p w14:paraId="699E53FF"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One of the most effective ways to retain volunteers is by actively seeking their input and ensuring they feel heard, valued, and respected (Prilleltensky, 2020). On March 6, 2025, Team Black visited Face to Face to engage in informal conversations with leadership and volunteers to identify areas for improvement in the engagement and retention process. This approach was informed by Appreciative Inquiry, a strengths-based framework emphasizing seeking the best in people and organizations (Cooperrider et al., 2008). Team Black's strategy focused on:</w:t>
      </w:r>
    </w:p>
    <w:p w14:paraId="7A095E49" w14:textId="77777777" w:rsidR="00A003C6" w:rsidRDefault="00AD7092" w:rsidP="001C30F9">
      <w:pPr>
        <w:numPr>
          <w:ilvl w:val="0"/>
          <w:numId w:val="2"/>
        </w:numPr>
        <w:spacing w:after="0" w:line="523" w:lineRule="auto"/>
        <w:contextualSpacing/>
        <w:rPr>
          <w:rFonts w:ascii="Arial" w:eastAsia="Arial" w:hAnsi="Arial" w:cs="Arial"/>
        </w:rPr>
      </w:pPr>
      <w:r>
        <w:rPr>
          <w:rFonts w:ascii="Times New Roman" w:eastAsia="Times New Roman" w:hAnsi="Times New Roman" w:cs="Times New Roman"/>
        </w:rPr>
        <w:t>Encouraging strength-based dialogue that highlights what is working well and where improvements can be made.</w:t>
      </w:r>
    </w:p>
    <w:p w14:paraId="54731200" w14:textId="77777777" w:rsidR="00A003C6" w:rsidRDefault="00AD7092" w:rsidP="001C30F9">
      <w:pPr>
        <w:numPr>
          <w:ilvl w:val="0"/>
          <w:numId w:val="2"/>
        </w:numPr>
        <w:spacing w:after="0" w:line="523" w:lineRule="auto"/>
        <w:contextualSpacing/>
        <w:rPr>
          <w:rFonts w:ascii="Arial" w:eastAsia="Arial" w:hAnsi="Arial" w:cs="Arial"/>
        </w:rPr>
      </w:pPr>
      <w:r>
        <w:rPr>
          <w:rFonts w:ascii="Times New Roman" w:eastAsia="Times New Roman" w:hAnsi="Times New Roman" w:cs="Times New Roman"/>
        </w:rPr>
        <w:t>Creating an inclusive space where volunteers feel heard and appreciated (Prilleltensky, 2020).</w:t>
      </w:r>
    </w:p>
    <w:p w14:paraId="5D867106" w14:textId="77777777" w:rsidR="00A003C6" w:rsidRDefault="00AD7092" w:rsidP="001C30F9">
      <w:pPr>
        <w:numPr>
          <w:ilvl w:val="0"/>
          <w:numId w:val="2"/>
        </w:numPr>
        <w:spacing w:line="523" w:lineRule="auto"/>
        <w:contextualSpacing/>
        <w:rPr>
          <w:rFonts w:ascii="Arial" w:eastAsia="Arial" w:hAnsi="Arial" w:cs="Arial"/>
        </w:rPr>
      </w:pPr>
      <w:r>
        <w:rPr>
          <w:rFonts w:ascii="Times New Roman" w:eastAsia="Times New Roman" w:hAnsi="Times New Roman" w:cs="Times New Roman"/>
        </w:rPr>
        <w:t>Emphasizing a culture of "Revolutionary Love"—recognizing the value in each individual fosters deeper connections and belonging (Kaur, 2020).</w:t>
      </w:r>
    </w:p>
    <w:p w14:paraId="09AAEA05" w14:textId="77777777" w:rsidR="00A003C6" w:rsidRDefault="00AD7092" w:rsidP="001C30F9">
      <w:pPr>
        <w:spacing w:line="523" w:lineRule="auto"/>
        <w:ind w:firstLine="720"/>
        <w:contextualSpacing/>
        <w:rPr>
          <w:rFonts w:ascii="Times New Roman" w:eastAsia="Times New Roman" w:hAnsi="Times New Roman" w:cs="Times New Roman"/>
          <w:u w:val="single"/>
        </w:rPr>
      </w:pPr>
      <w:r>
        <w:rPr>
          <w:rFonts w:ascii="Times New Roman" w:eastAsia="Times New Roman" w:hAnsi="Times New Roman" w:cs="Times New Roman"/>
        </w:rPr>
        <w:t>A structured feedback platform, such as regular check-ins or surveys, can enhance retention by allowing volunteers to express concerns, share ideas, and feel like active contributors to the organization's mission. This approach aligns with research on psychological safety and engagement, which suggests that volunteers who feel valued and included are more likely to remain committed to an organization (Dutton &amp; Spreitzer, 2014).</w:t>
      </w:r>
    </w:p>
    <w:p w14:paraId="7CE07870"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Another key factor in volunteer retention is the peak-end effect, a psychological phenomenon in which individuals disproportionately remember the most intense and final </w:t>
      </w:r>
      <w:r>
        <w:rPr>
          <w:rFonts w:ascii="Times New Roman" w:eastAsia="Times New Roman" w:hAnsi="Times New Roman" w:cs="Times New Roman"/>
        </w:rPr>
        <w:lastRenderedPageBreak/>
        <w:t>moments of an experience when evaluating it overall (Fredrickson, 2000). This cognitive bias highlights the importance of ensuring volunteers have positive peak experiences and meaningful conclusions to their shifts.</w:t>
      </w:r>
    </w:p>
    <w:p w14:paraId="4A794A7C"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Key principles of the peak-end effect in volunteer retention include:</w:t>
      </w:r>
    </w:p>
    <w:p w14:paraId="2A2B632C" w14:textId="77777777" w:rsidR="00A003C6" w:rsidRDefault="00AD7092" w:rsidP="001C30F9">
      <w:pPr>
        <w:numPr>
          <w:ilvl w:val="0"/>
          <w:numId w:val="7"/>
        </w:numPr>
        <w:spacing w:after="0" w:line="523" w:lineRule="auto"/>
        <w:contextualSpacing/>
        <w:rPr>
          <w:rFonts w:ascii="Arial" w:eastAsia="Arial" w:hAnsi="Arial" w:cs="Arial"/>
        </w:rPr>
      </w:pPr>
      <w:r>
        <w:rPr>
          <w:rFonts w:ascii="Times New Roman" w:eastAsia="Times New Roman" w:hAnsi="Times New Roman" w:cs="Times New Roman"/>
        </w:rPr>
        <w:t>Memory bias: Volunteers are likely to recall the most emotionally intense moments and how their experience ended, influencing their overall perception of volunteering.</w:t>
      </w:r>
    </w:p>
    <w:p w14:paraId="5D884694" w14:textId="77777777" w:rsidR="00A003C6" w:rsidRDefault="00AD7092" w:rsidP="001C30F9">
      <w:pPr>
        <w:numPr>
          <w:ilvl w:val="0"/>
          <w:numId w:val="7"/>
        </w:numPr>
        <w:spacing w:after="0" w:line="523" w:lineRule="auto"/>
        <w:contextualSpacing/>
        <w:rPr>
          <w:rFonts w:ascii="Arial" w:eastAsia="Arial" w:hAnsi="Arial" w:cs="Arial"/>
        </w:rPr>
      </w:pPr>
      <w:r>
        <w:rPr>
          <w:rFonts w:ascii="Times New Roman" w:eastAsia="Times New Roman" w:hAnsi="Times New Roman" w:cs="Times New Roman"/>
        </w:rPr>
        <w:t>Impact on retention: Volunteers who have a memorable and uplifting experience at the end of their shift are more likely to return and remain engaged.</w:t>
      </w:r>
    </w:p>
    <w:p w14:paraId="5008936D" w14:textId="77777777" w:rsidR="00A003C6" w:rsidRDefault="00AD7092" w:rsidP="001C30F9">
      <w:pPr>
        <w:numPr>
          <w:ilvl w:val="0"/>
          <w:numId w:val="7"/>
        </w:numPr>
        <w:spacing w:line="523" w:lineRule="auto"/>
        <w:contextualSpacing/>
        <w:rPr>
          <w:rFonts w:ascii="Arial" w:eastAsia="Arial" w:hAnsi="Arial" w:cs="Arial"/>
        </w:rPr>
      </w:pPr>
      <w:r>
        <w:rPr>
          <w:rFonts w:ascii="Times New Roman" w:eastAsia="Times New Roman" w:hAnsi="Times New Roman" w:cs="Times New Roman"/>
        </w:rPr>
        <w:t>The role of positive closure: Ensuring that volunteers feel appreciated and acknowledged after their shift strengthens their emotional connection to the organization.</w:t>
      </w:r>
    </w:p>
    <w:p w14:paraId="740C9982"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Strategies for applying the peak-end effect in volunteer management include:</w:t>
      </w:r>
    </w:p>
    <w:p w14:paraId="2269F30F" w14:textId="77777777" w:rsidR="00A003C6" w:rsidRDefault="00AD7092" w:rsidP="001C30F9">
      <w:pPr>
        <w:numPr>
          <w:ilvl w:val="0"/>
          <w:numId w:val="1"/>
        </w:numPr>
        <w:spacing w:after="0" w:line="523" w:lineRule="auto"/>
        <w:contextualSpacing/>
        <w:rPr>
          <w:rFonts w:ascii="Arial" w:eastAsia="Arial" w:hAnsi="Arial" w:cs="Arial"/>
        </w:rPr>
      </w:pPr>
      <w:r>
        <w:rPr>
          <w:rFonts w:ascii="Times New Roman" w:eastAsia="Times New Roman" w:hAnsi="Times New Roman" w:cs="Times New Roman"/>
        </w:rPr>
        <w:t>Highlighting positive moments: Intentionally recognizing volunteers' contributions throughout their shift, particularly during challenging tasks.</w:t>
      </w:r>
    </w:p>
    <w:p w14:paraId="559E5067" w14:textId="77777777" w:rsidR="00A003C6" w:rsidRDefault="00AD7092" w:rsidP="001C30F9">
      <w:pPr>
        <w:numPr>
          <w:ilvl w:val="0"/>
          <w:numId w:val="1"/>
        </w:numPr>
        <w:spacing w:after="0" w:line="523" w:lineRule="auto"/>
        <w:contextualSpacing/>
        <w:rPr>
          <w:rFonts w:ascii="Arial" w:eastAsia="Arial" w:hAnsi="Arial" w:cs="Arial"/>
        </w:rPr>
      </w:pPr>
      <w:r>
        <w:rPr>
          <w:rFonts w:ascii="Times New Roman" w:eastAsia="Times New Roman" w:hAnsi="Times New Roman" w:cs="Times New Roman"/>
        </w:rPr>
        <w:t>Creating meaningful endings: Ending volunteer sessions on a high note—this can include a personalized thank-you message, a small appreciation gesture, or a structured debrief.</w:t>
      </w:r>
    </w:p>
    <w:p w14:paraId="357F63F9" w14:textId="77777777" w:rsidR="00A003C6" w:rsidRDefault="00AD7092" w:rsidP="001C30F9">
      <w:pPr>
        <w:numPr>
          <w:ilvl w:val="0"/>
          <w:numId w:val="1"/>
        </w:numPr>
        <w:spacing w:line="523" w:lineRule="auto"/>
        <w:contextualSpacing/>
        <w:rPr>
          <w:rFonts w:ascii="Arial" w:eastAsia="Arial" w:hAnsi="Arial" w:cs="Arial"/>
        </w:rPr>
      </w:pPr>
      <w:r>
        <w:rPr>
          <w:rFonts w:ascii="Times New Roman" w:eastAsia="Times New Roman" w:hAnsi="Times New Roman" w:cs="Times New Roman"/>
        </w:rPr>
        <w:t>Designing impactful tasks: Structuring volunteer roles so they experience a “peak” moment, such as a meaningful interaction with a guest or a visible impact of their work.</w:t>
      </w:r>
    </w:p>
    <w:p w14:paraId="732B1827" w14:textId="77777777" w:rsidR="00A003C6" w:rsidRDefault="00AD7092" w:rsidP="001C30F9">
      <w:pPr>
        <w:spacing w:line="523" w:lineRule="auto"/>
        <w:ind w:firstLine="720"/>
        <w:contextualSpacing/>
        <w:rPr>
          <w:rFonts w:ascii="Arial" w:eastAsia="Arial" w:hAnsi="Arial" w:cs="Arial"/>
          <w:sz w:val="16"/>
          <w:szCs w:val="16"/>
        </w:rPr>
      </w:pPr>
      <w:r>
        <w:rPr>
          <w:rFonts w:ascii="Times New Roman" w:eastAsia="Times New Roman" w:hAnsi="Times New Roman" w:cs="Times New Roman"/>
        </w:rPr>
        <w:lastRenderedPageBreak/>
        <w:t>By implementing these retention strategies—providing structured toolkits, fostering feedback mechanisms, and leveraging the peak-end effect—Face to Face can build a stronger, more engaged volunteer base. These initiatives ensure that volunteers contribute meaningfully and feel invigorated by their roles.</w:t>
      </w:r>
    </w:p>
    <w:p w14:paraId="574A820F" w14:textId="77777777" w:rsidR="00A003C6" w:rsidRDefault="00AD7092" w:rsidP="002E6AAC">
      <w:pPr>
        <w:pStyle w:val="Heading2"/>
      </w:pPr>
      <w:bookmarkStart w:id="9" w:name="_Toc197457479"/>
      <w:r>
        <w:t>Conclusion</w:t>
      </w:r>
      <w:bookmarkEnd w:id="9"/>
    </w:p>
    <w:p w14:paraId="606C56E2" w14:textId="77777777" w:rsidR="00A003C6" w:rsidRDefault="00AD7092" w:rsidP="001C30F9">
      <w:pPr>
        <w:spacing w:line="523" w:lineRule="auto"/>
        <w:ind w:firstLine="720"/>
        <w:contextualSpacing/>
        <w:rPr>
          <w:rFonts w:ascii="Times New Roman" w:eastAsia="Times New Roman" w:hAnsi="Times New Roman" w:cs="Times New Roman"/>
        </w:rPr>
      </w:pPr>
      <w:r>
        <w:rPr>
          <w:rFonts w:ascii="Times New Roman" w:eastAsia="Times New Roman" w:hAnsi="Times New Roman" w:cs="Times New Roman"/>
        </w:rPr>
        <w:t>Fulfilling evidence-based recommendations can promote an environment where volunteers feel valued, engaged, and united with the organization's mission. Strengthening volunteer programs will optimize operational efficiency and guarantee that Face to Face continues to have a meaningful impact on the community it serves. Through strategic improvements, the organization can foster a sustainable and thriving volunteer culture that upholds its core values of hospitality, mutuality, and transformation.</w:t>
      </w:r>
    </w:p>
    <w:p w14:paraId="374E0959" w14:textId="77777777" w:rsidR="00A003C6" w:rsidRPr="001C30F9" w:rsidRDefault="00AD7092" w:rsidP="002E6AAC">
      <w:pPr>
        <w:pStyle w:val="Heading1"/>
      </w:pPr>
      <w:bookmarkStart w:id="10" w:name="_Toc197457480"/>
      <w:r w:rsidRPr="001C30F9">
        <w:t>Final Application Plan</w:t>
      </w:r>
      <w:bookmarkEnd w:id="10"/>
    </w:p>
    <w:p w14:paraId="47C96EBA" w14:textId="77777777"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Effective communication and engagement are indispensable for building a strong, connected volunteer community. At Face to Face, volunteers dedicate their time and effort to support the organization's mission, yet there are limited opportunities for structured communication and ongoing recognition. A thoughtful and engaging approach to communication can enhance volunteer satisfaction, strengthen their sense of belonging, and encourage long-term commitment. Through our literature review, in-person and weekly virtual meetings with Ally, onsite volunteering in the kitchen and dining room at Face to Face, and interviews with staff and volunteers, Team Black refined its proposed interventions into a selection of options. The goal was to engage in deep, relational listening characterized by presence, attentiveness, and the </w:t>
      </w:r>
      <w:r>
        <w:rPr>
          <w:rFonts w:ascii="Times New Roman" w:eastAsia="Times New Roman" w:hAnsi="Times New Roman" w:cs="Times New Roman"/>
        </w:rPr>
        <w:lastRenderedPageBreak/>
        <w:t>suspension of judgment (Hinz et al., 2022). Furthermore, having personally experienced Ally's hospitality and kindness, Team Black aligned its proposed interventions with her strengths (Peterson &amp; Seligman, 2004).</w:t>
      </w:r>
    </w:p>
    <w:p w14:paraId="15A9B5C8" w14:textId="77777777" w:rsidR="00A003C6" w:rsidRDefault="00AD7092" w:rsidP="001C30F9">
      <w:pPr>
        <w:spacing w:after="0" w:line="480" w:lineRule="auto"/>
        <w:ind w:firstLine="360"/>
        <w:contextualSpacing/>
        <w:rPr>
          <w:rFonts w:ascii="Times New Roman" w:eastAsia="Times New Roman" w:hAnsi="Times New Roman" w:cs="Times New Roman"/>
        </w:rPr>
      </w:pPr>
      <w:r>
        <w:rPr>
          <w:rFonts w:ascii="Times New Roman" w:eastAsia="Times New Roman" w:hAnsi="Times New Roman" w:cs="Times New Roman"/>
        </w:rPr>
        <w:t>First, it is essential to clarify the key considerations for each proposed intervention. These considerations follow the Four T's framework:</w:t>
      </w:r>
    </w:p>
    <w:p w14:paraId="2AAF75D3" w14:textId="77777777" w:rsidR="00A003C6" w:rsidRDefault="00AD7092" w:rsidP="001C30F9">
      <w:pPr>
        <w:numPr>
          <w:ilvl w:val="0"/>
          <w:numId w:val="3"/>
        </w:numPr>
        <w:spacing w:after="0" w:line="480" w:lineRule="auto"/>
        <w:contextualSpacing/>
        <w:rPr>
          <w:rFonts w:ascii="Times New Roman" w:eastAsia="Times New Roman" w:hAnsi="Times New Roman" w:cs="Times New Roman"/>
        </w:rPr>
      </w:pPr>
      <w:r>
        <w:rPr>
          <w:rFonts w:ascii="Times New Roman" w:eastAsia="Times New Roman" w:hAnsi="Times New Roman" w:cs="Times New Roman"/>
        </w:rPr>
        <w:t>Time: Does this proposal align with the reality of Face to Face’s operational structure?</w:t>
      </w:r>
    </w:p>
    <w:p w14:paraId="2847F406" w14:textId="77777777" w:rsidR="00A003C6" w:rsidRDefault="00AD7092" w:rsidP="001C30F9">
      <w:pPr>
        <w:numPr>
          <w:ilvl w:val="0"/>
          <w:numId w:val="3"/>
        </w:numPr>
        <w:spacing w:after="0" w:line="480" w:lineRule="auto"/>
        <w:contextualSpacing/>
        <w:rPr>
          <w:rFonts w:ascii="Times New Roman" w:eastAsia="Times New Roman" w:hAnsi="Times New Roman" w:cs="Times New Roman"/>
        </w:rPr>
      </w:pPr>
      <w:r>
        <w:rPr>
          <w:rFonts w:ascii="Times New Roman" w:eastAsia="Times New Roman" w:hAnsi="Times New Roman" w:cs="Times New Roman"/>
        </w:rPr>
        <w:t>Talent: Does Face to Face possess the necessary skills and capacity to implement the project?</w:t>
      </w:r>
    </w:p>
    <w:p w14:paraId="6B6951E2" w14:textId="77777777" w:rsidR="00A003C6" w:rsidRDefault="00AD7092" w:rsidP="001C30F9">
      <w:pPr>
        <w:numPr>
          <w:ilvl w:val="0"/>
          <w:numId w:val="3"/>
        </w:numPr>
        <w:spacing w:after="0" w:line="480" w:lineRule="auto"/>
        <w:contextualSpacing/>
        <w:rPr>
          <w:rFonts w:ascii="Times New Roman" w:eastAsia="Times New Roman" w:hAnsi="Times New Roman" w:cs="Times New Roman"/>
        </w:rPr>
      </w:pPr>
      <w:r>
        <w:rPr>
          <w:rFonts w:ascii="Times New Roman" w:eastAsia="Times New Roman" w:hAnsi="Times New Roman" w:cs="Times New Roman"/>
        </w:rPr>
        <w:t>Technology: Are the required technological resources available to support the initiative?</w:t>
      </w:r>
    </w:p>
    <w:p w14:paraId="427744C9" w14:textId="77777777" w:rsidR="00A003C6" w:rsidRDefault="00AD7092" w:rsidP="001C30F9">
      <w:pPr>
        <w:numPr>
          <w:ilvl w:val="0"/>
          <w:numId w:val="3"/>
        </w:numPr>
        <w:spacing w:after="0" w:line="480" w:lineRule="auto"/>
        <w:contextualSpacing/>
        <w:rPr>
          <w:rFonts w:ascii="Times New Roman" w:eastAsia="Times New Roman" w:hAnsi="Times New Roman" w:cs="Times New Roman"/>
        </w:rPr>
      </w:pPr>
      <w:r>
        <w:rPr>
          <w:rFonts w:ascii="Times New Roman" w:eastAsia="Times New Roman" w:hAnsi="Times New Roman" w:cs="Times New Roman"/>
        </w:rPr>
        <w:t>Treasure: Are financial resources accessible to facilitate project execution? (Brandwene, 2025).</w:t>
      </w:r>
    </w:p>
    <w:p w14:paraId="7496AC42" w14:textId="77777777" w:rsidR="00A003C6" w:rsidRPr="001C30F9" w:rsidRDefault="00AD7092" w:rsidP="002E6AAC">
      <w:pPr>
        <w:pStyle w:val="Heading2"/>
      </w:pPr>
      <w:bookmarkStart w:id="11" w:name="_Toc197457481"/>
      <w:r w:rsidRPr="001C30F9">
        <w:t>Positive Application #1: A Structured Template for a Quarterly Email</w:t>
      </w:r>
      <w:bookmarkEnd w:id="11"/>
    </w:p>
    <w:p w14:paraId="535B46A1" w14:textId="25B3F5DC"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Team Black generated a quarterly email with a playful tone to reflect one of the four pathways Dutton and Worline (2023) identify as shaping high-quality connections. This intervention prioritized the well-being of Face to Face leadership, recognizing that leadership often focuses on addressing challenges and maintaining relationships, leaving little room for structured engagement with volunteers. Informative emails can </w:t>
      </w:r>
      <w:r w:rsidR="007D39F9">
        <w:rPr>
          <w:rFonts w:ascii="Times New Roman" w:eastAsia="Times New Roman" w:hAnsi="Times New Roman" w:cs="Times New Roman"/>
        </w:rPr>
        <w:t xml:space="preserve">thus </w:t>
      </w:r>
      <w:r>
        <w:rPr>
          <w:rFonts w:ascii="Times New Roman" w:eastAsia="Times New Roman" w:hAnsi="Times New Roman" w:cs="Times New Roman"/>
        </w:rPr>
        <w:t xml:space="preserve">provide updates about happenings at Face to Face and among volunteers—efforts aimed at cultivating connection, which Alfes et al. (2016) state can enhance organizational culture and increase volunteers' sense of support. </w:t>
      </w:r>
    </w:p>
    <w:p w14:paraId="6FB1627B" w14:textId="2A7F8DA6"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As volunteer attention is often dispersed across various kitchen and dining room activities, this email </w:t>
      </w:r>
      <w:r w:rsidR="007D39F9">
        <w:rPr>
          <w:rFonts w:ascii="Times New Roman" w:eastAsia="Times New Roman" w:hAnsi="Times New Roman" w:cs="Times New Roman"/>
        </w:rPr>
        <w:t>can</w:t>
      </w:r>
      <w:r>
        <w:rPr>
          <w:rFonts w:ascii="Times New Roman" w:eastAsia="Times New Roman" w:hAnsi="Times New Roman" w:cs="Times New Roman"/>
        </w:rPr>
        <w:t xml:space="preserve"> serve as a structured yet engaging touchpoint to facilitate high-quality connections through positive regard, appreciation, and shared purpose (Dutton &amp; Worline, </w:t>
      </w:r>
      <w:r>
        <w:rPr>
          <w:rFonts w:ascii="Times New Roman" w:eastAsia="Times New Roman" w:hAnsi="Times New Roman" w:cs="Times New Roman"/>
        </w:rPr>
        <w:lastRenderedPageBreak/>
        <w:t xml:space="preserve">2023). The template was customized to align with Ally's strengths and communication style, informed by a VIA Character Strengths survey (Niemiec, 2017). The goal was to spread the </w:t>
      </w:r>
      <w:r>
        <w:rPr>
          <w:rFonts w:ascii="Times New Roman" w:eastAsia="Times New Roman" w:hAnsi="Times New Roman" w:cs="Times New Roman"/>
          <w:i/>
        </w:rPr>
        <w:t>heliotropic effect</w:t>
      </w:r>
      <w:r>
        <w:rPr>
          <w:rFonts w:ascii="Times New Roman" w:eastAsia="Times New Roman" w:hAnsi="Times New Roman" w:cs="Times New Roman"/>
        </w:rPr>
        <w:t>—helping Ally and the volunteers flourish and feel uplifted (Cameron, 2013).</w:t>
      </w:r>
    </w:p>
    <w:p w14:paraId="031BFA47" w14:textId="77777777" w:rsidR="00A003C6" w:rsidRDefault="00AD7092" w:rsidP="001C30F9">
      <w:pPr>
        <w:spacing w:after="0" w:line="480" w:lineRule="auto"/>
        <w:ind w:firstLine="360"/>
        <w:contextualSpacing/>
        <w:rPr>
          <w:rFonts w:ascii="Times New Roman" w:eastAsia="Times New Roman" w:hAnsi="Times New Roman" w:cs="Times New Roman"/>
        </w:rPr>
      </w:pPr>
      <w:r>
        <w:rPr>
          <w:rFonts w:ascii="Times New Roman" w:eastAsia="Times New Roman" w:hAnsi="Times New Roman" w:cs="Times New Roman"/>
        </w:rPr>
        <w:t>Key elements of the email template include:</w:t>
      </w:r>
    </w:p>
    <w:p w14:paraId="635D375A" w14:textId="77777777" w:rsidR="00A003C6" w:rsidRDefault="00AD7092" w:rsidP="001C30F9">
      <w:pPr>
        <w:numPr>
          <w:ilvl w:val="0"/>
          <w:numId w:val="4"/>
        </w:numPr>
        <w:spacing w:after="0" w:line="480" w:lineRule="auto"/>
        <w:contextualSpacing/>
        <w:rPr>
          <w:rFonts w:ascii="Times New Roman" w:eastAsia="Times New Roman" w:hAnsi="Times New Roman" w:cs="Times New Roman"/>
        </w:rPr>
      </w:pPr>
      <w:r>
        <w:rPr>
          <w:rFonts w:ascii="Times New Roman" w:eastAsia="Times New Roman" w:hAnsi="Times New Roman" w:cs="Times New Roman"/>
        </w:rPr>
        <w:t>Playfulness &amp; Engagement: Fun facts, birthdays, trivia questions with small incentives (e.g., a $5 gift card from Uncle Bobbie’s), and uplifting images from Face to Face (Dutton &amp; Worline, 2023).</w:t>
      </w:r>
    </w:p>
    <w:p w14:paraId="0A21756E" w14:textId="77777777" w:rsidR="00A003C6" w:rsidRDefault="00AD7092" w:rsidP="001C30F9">
      <w:pPr>
        <w:numPr>
          <w:ilvl w:val="0"/>
          <w:numId w:val="4"/>
        </w:numPr>
        <w:spacing w:after="0" w:line="480" w:lineRule="auto"/>
        <w:contextualSpacing/>
        <w:rPr>
          <w:rFonts w:ascii="Times New Roman" w:eastAsia="Times New Roman" w:hAnsi="Times New Roman" w:cs="Times New Roman"/>
        </w:rPr>
      </w:pPr>
      <w:r>
        <w:rPr>
          <w:rFonts w:ascii="Times New Roman" w:eastAsia="Times New Roman" w:hAnsi="Times New Roman" w:cs="Times New Roman"/>
        </w:rPr>
        <w:t>Appropriate Self-Disclosure: Selective sharing of personal stories or updates from staff, volunteers, or guests (Dutton, 2003).</w:t>
      </w:r>
    </w:p>
    <w:p w14:paraId="40A2BF7F" w14:textId="77777777" w:rsidR="00A003C6" w:rsidRDefault="00AD7092" w:rsidP="001C30F9">
      <w:pPr>
        <w:numPr>
          <w:ilvl w:val="0"/>
          <w:numId w:val="4"/>
        </w:numPr>
        <w:spacing w:after="0" w:line="480" w:lineRule="auto"/>
        <w:contextualSpacing/>
        <w:rPr>
          <w:rFonts w:ascii="Times New Roman" w:eastAsia="Times New Roman" w:hAnsi="Times New Roman" w:cs="Times New Roman"/>
        </w:rPr>
      </w:pPr>
      <w:r>
        <w:rPr>
          <w:rFonts w:ascii="Times New Roman" w:eastAsia="Times New Roman" w:hAnsi="Times New Roman" w:cs="Times New Roman"/>
        </w:rPr>
        <w:t>Brevity: A concise format, limited to one page, with an engaging subject line (Kyrylova et al., 2024).</w:t>
      </w:r>
    </w:p>
    <w:p w14:paraId="3E99505E" w14:textId="77777777" w:rsidR="00A003C6" w:rsidRDefault="00AD7092" w:rsidP="001C30F9">
      <w:pPr>
        <w:numPr>
          <w:ilvl w:val="0"/>
          <w:numId w:val="4"/>
        </w:numPr>
        <w:spacing w:after="0" w:line="480" w:lineRule="auto"/>
        <w:contextualSpacing/>
        <w:rPr>
          <w:rFonts w:ascii="Times New Roman" w:eastAsia="Times New Roman" w:hAnsi="Times New Roman" w:cs="Times New Roman"/>
        </w:rPr>
      </w:pPr>
      <w:r>
        <w:rPr>
          <w:rFonts w:ascii="Times New Roman" w:eastAsia="Times New Roman" w:hAnsi="Times New Roman" w:cs="Times New Roman"/>
        </w:rPr>
        <w:t>Gratitude &amp; Appreciation Section: Practicing gratitude and appreciation has reciprocal benefits for the well-being of both the giver and the receiver (Emmons, 2007). This includes a dedicated section expressing gratitude to volunteers.</w:t>
      </w:r>
    </w:p>
    <w:p w14:paraId="1AACE8D6" w14:textId="77777777" w:rsidR="00A003C6" w:rsidRDefault="00AD7092" w:rsidP="001C30F9">
      <w:pPr>
        <w:numPr>
          <w:ilvl w:val="0"/>
          <w:numId w:val="4"/>
        </w:numPr>
        <w:spacing w:after="0" w:line="480" w:lineRule="auto"/>
        <w:contextualSpacing/>
        <w:rPr>
          <w:rFonts w:ascii="Times New Roman" w:eastAsia="Times New Roman" w:hAnsi="Times New Roman" w:cs="Times New Roman"/>
        </w:rPr>
      </w:pPr>
      <w:r>
        <w:rPr>
          <w:rFonts w:ascii="Times New Roman" w:eastAsia="Times New Roman" w:hAnsi="Times New Roman" w:cs="Times New Roman"/>
        </w:rPr>
        <w:t>Surprise Element: A hidden prize or unexpected reward to encourage engagement.</w:t>
      </w:r>
    </w:p>
    <w:p w14:paraId="766D268A" w14:textId="77777777" w:rsidR="00A003C6" w:rsidRDefault="00AD7092" w:rsidP="001C30F9">
      <w:pPr>
        <w:numPr>
          <w:ilvl w:val="0"/>
          <w:numId w:val="4"/>
        </w:numPr>
        <w:spacing w:after="0" w:line="480" w:lineRule="auto"/>
        <w:contextualSpacing/>
        <w:rPr>
          <w:rFonts w:ascii="Times New Roman" w:eastAsia="Times New Roman" w:hAnsi="Times New Roman" w:cs="Times New Roman"/>
        </w:rPr>
      </w:pPr>
      <w:r>
        <w:rPr>
          <w:rFonts w:ascii="Times New Roman" w:eastAsia="Times New Roman" w:hAnsi="Times New Roman" w:cs="Times New Roman"/>
        </w:rPr>
        <w:t>Opt-Out Option: A mechanism for volunteers to manage their email preferences.</w:t>
      </w:r>
    </w:p>
    <w:p w14:paraId="546C834D" w14:textId="77777777" w:rsidR="00A003C6" w:rsidRDefault="00AD7092" w:rsidP="001C30F9">
      <w:pPr>
        <w:numPr>
          <w:ilvl w:val="0"/>
          <w:numId w:val="4"/>
        </w:numPr>
        <w:spacing w:after="0" w:line="480" w:lineRule="auto"/>
        <w:contextualSpacing/>
        <w:rPr>
          <w:rFonts w:ascii="Times New Roman" w:eastAsia="Times New Roman" w:hAnsi="Times New Roman" w:cs="Times New Roman"/>
        </w:rPr>
      </w:pPr>
      <w:r>
        <w:rPr>
          <w:rFonts w:ascii="Times New Roman" w:eastAsia="Times New Roman" w:hAnsi="Times New Roman" w:cs="Times New Roman"/>
        </w:rPr>
        <w:t>Appreciative Inquiry Prompt: A rotating question to elicit positive reflections, pride, and engagement (Cooperrider, 2008).</w:t>
      </w:r>
    </w:p>
    <w:p w14:paraId="61F614E3" w14:textId="77777777" w:rsidR="00A003C6" w:rsidRPr="001C30F9" w:rsidRDefault="00AD7092" w:rsidP="002E6AAC">
      <w:pPr>
        <w:pStyle w:val="Heading2"/>
      </w:pPr>
      <w:bookmarkStart w:id="12" w:name="_Toc197457482"/>
      <w:r w:rsidRPr="001C30F9">
        <w:t>Positive Application #2: Enhancing Start and End Rituals</w:t>
      </w:r>
      <w:bookmarkEnd w:id="12"/>
    </w:p>
    <w:p w14:paraId="388C223B" w14:textId="77777777"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This application sought to enhance shift transitions by integrating high-quality connections through meaningful interactions among volunteers and staff—an approach grounded in Dutton’s (2017) work on fostering positive relational dynamics. Additionally, the intervention </w:t>
      </w:r>
      <w:r>
        <w:rPr>
          <w:rFonts w:ascii="Times New Roman" w:eastAsia="Times New Roman" w:hAnsi="Times New Roman" w:cs="Times New Roman"/>
        </w:rPr>
        <w:lastRenderedPageBreak/>
        <w:t>included strategies that promote mutual support and respectful engagement, as emphasized by Stephens et al. (2011).</w:t>
      </w:r>
    </w:p>
    <w:p w14:paraId="7309FC22" w14:textId="7A69EB59"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Rolling shift schedules present logistical challenges for formal group connections among kitchen volunteers. For connections to flourish, feelings of respect must be cultivated between people (Stephens et al., 2011). To this end, playful, helpful, respectful, reliable, relatable, and affirming micro-rituals were included to help build connections (Dutton &amp; Worline, 2023). These rituals create brief but meaningful moments of opening and closure during shifts. Deep connection also occurs when names are known and used; hearing one's name activates the brain and promotes connection (Carmody &amp; Lewis, 2006).</w:t>
      </w:r>
    </w:p>
    <w:p w14:paraId="611AA839" w14:textId="7FE37394"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One proposed ritual was a postcard-based "Pick 2: Rose, Bud, Thorn" activity, where volunteers and staff share a highlight of the day, a promising development, or a challenge they encountered. As ongoing input, these postcards </w:t>
      </w:r>
      <w:r w:rsidR="007D39F9">
        <w:rPr>
          <w:rFonts w:ascii="Times New Roman" w:eastAsia="Times New Roman" w:hAnsi="Times New Roman" w:cs="Times New Roman"/>
        </w:rPr>
        <w:t>could</w:t>
      </w:r>
      <w:r>
        <w:rPr>
          <w:rFonts w:ascii="Times New Roman" w:eastAsia="Times New Roman" w:hAnsi="Times New Roman" w:cs="Times New Roman"/>
        </w:rPr>
        <w:t xml:space="preserve"> be collected and shared with staff and the Face to Face Board. This mini appreciative inquiry tactic encourages the asset-based approach that Barrett (2017) describes—a method for discovering what is working and where adjustments are needed. The application also provides accessible supplies and space for small thank-you notes or personalized acknowledgments, which can help facilitate expressions of gratitude and appreciation. Practicing gratitude offers reciprocal benefits for both the giver and the receiver (Emmons, 2007). Furthermore, a brief structured reflection at the end of shifts enables staff and volunteers to share their experiences and foster connection and growth (Stephens et al., 2011).</w:t>
      </w:r>
    </w:p>
    <w:p w14:paraId="56B486EB" w14:textId="38EF229F"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Even as volunteers come and go at staggered times, these rituals promote a sense of continuity and belonging (Carmeli &amp; Gittell, 2009). Implementing meaningful micro-interactions cultivates an environment where every volunteer feels valued and inspired to continue contributing (Hinz et al., 2022). Inviting volunteers to </w:t>
      </w:r>
      <w:r w:rsidR="007D39F9">
        <w:rPr>
          <w:rFonts w:ascii="Times New Roman" w:eastAsia="Times New Roman" w:hAnsi="Times New Roman" w:cs="Times New Roman"/>
        </w:rPr>
        <w:t xml:space="preserve">occasionally </w:t>
      </w:r>
      <w:r>
        <w:rPr>
          <w:rFonts w:ascii="Times New Roman" w:eastAsia="Times New Roman" w:hAnsi="Times New Roman" w:cs="Times New Roman"/>
        </w:rPr>
        <w:t xml:space="preserve">reflect on their strengths </w:t>
      </w:r>
      <w:r>
        <w:rPr>
          <w:rFonts w:ascii="Times New Roman" w:eastAsia="Times New Roman" w:hAnsi="Times New Roman" w:cs="Times New Roman"/>
        </w:rPr>
        <w:lastRenderedPageBreak/>
        <w:t>further supports a culture of alignment between individual preferences and organizational needs, helping to build stronger, more productive teams (Wrzesniewski et al., 2010).</w:t>
      </w:r>
    </w:p>
    <w:p w14:paraId="66A8DB02" w14:textId="39615EF3"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Here, Team Black suggests that the Volunteer Manager delegates daily tasks among lead Face to Face staff to maintain visibility and engagement with volunteers, guests, and kitchen staff. Rotating leadership responsibilities ensures that no single person bears the whole burden and helps nurture a shared sense of connection (Hinz et al., 2022). As needed for the fluidity of Face to Face culture, volunteers could be trained through a variety of modalities: Mini Training (first Fridays of the month) or Micro Training (Face to Face fellow staff as daily Ambassadors, arriving 15 minutes early) or Onboard On-the-Spot (veteran volunteer paired with a rookie). Each training involves a kitchen tour, The Fab 5 </w:t>
      </w:r>
      <w:r>
        <w:rPr>
          <w:rFonts w:ascii="Times New Roman" w:eastAsia="Times New Roman" w:hAnsi="Times New Roman" w:cs="Times New Roman"/>
          <w:i/>
        </w:rPr>
        <w:t>Face IN</w:t>
      </w:r>
      <w:r>
        <w:rPr>
          <w:rFonts w:ascii="Times New Roman" w:eastAsia="Times New Roman" w:hAnsi="Times New Roman" w:cs="Times New Roman"/>
        </w:rPr>
        <w:t xml:space="preserve"> and </w:t>
      </w:r>
      <w:r>
        <w:rPr>
          <w:rFonts w:ascii="Times New Roman" w:eastAsia="Times New Roman" w:hAnsi="Times New Roman" w:cs="Times New Roman"/>
          <w:i/>
        </w:rPr>
        <w:t>Face OUT</w:t>
      </w:r>
      <w:r>
        <w:rPr>
          <w:rFonts w:ascii="Times New Roman" w:eastAsia="Times New Roman" w:hAnsi="Times New Roman" w:cs="Times New Roman"/>
        </w:rPr>
        <w:t xml:space="preserve"> Protocols, an introduction to the mission, and DIY name tags. As requested by the Volunteer Manager, the stored name tags </w:t>
      </w:r>
      <w:r w:rsidR="007D39F9">
        <w:rPr>
          <w:rFonts w:ascii="Times New Roman" w:eastAsia="Times New Roman" w:hAnsi="Times New Roman" w:cs="Times New Roman"/>
        </w:rPr>
        <w:t>could</w:t>
      </w:r>
      <w:r>
        <w:rPr>
          <w:rFonts w:ascii="Times New Roman" w:eastAsia="Times New Roman" w:hAnsi="Times New Roman" w:cs="Times New Roman"/>
        </w:rPr>
        <w:t xml:space="preserve"> be alphabetized in a tidy, organized fashion and pinned to four retired aprons hanging on the wall.</w:t>
      </w:r>
    </w:p>
    <w:p w14:paraId="76E6BC4E" w14:textId="18D5D860" w:rsidR="00A003C6" w:rsidRDefault="00AD7092" w:rsidP="001C30F9">
      <w:pPr>
        <w:spacing w:before="240" w:after="24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The Fab 5 </w:t>
      </w:r>
      <w:r>
        <w:rPr>
          <w:rFonts w:ascii="Times New Roman" w:eastAsia="Times New Roman" w:hAnsi="Times New Roman" w:cs="Times New Roman"/>
          <w:i/>
        </w:rPr>
        <w:t>Face IN</w:t>
      </w:r>
      <w:r>
        <w:rPr>
          <w:rFonts w:ascii="Times New Roman" w:eastAsia="Times New Roman" w:hAnsi="Times New Roman" w:cs="Times New Roman"/>
        </w:rPr>
        <w:t xml:space="preserve"> and </w:t>
      </w:r>
      <w:r>
        <w:rPr>
          <w:rFonts w:ascii="Times New Roman" w:eastAsia="Times New Roman" w:hAnsi="Times New Roman" w:cs="Times New Roman"/>
          <w:i/>
        </w:rPr>
        <w:t>Face OUT</w:t>
      </w:r>
      <w:r>
        <w:rPr>
          <w:rFonts w:ascii="Times New Roman" w:eastAsia="Times New Roman" w:hAnsi="Times New Roman" w:cs="Times New Roman"/>
        </w:rPr>
        <w:t xml:space="preserve"> Protocols are structured rituals designed to foster consistency, connection, and a sense of shared purpose among volunteers at Face to Face. The </w:t>
      </w:r>
      <w:r>
        <w:rPr>
          <w:rFonts w:ascii="Times New Roman" w:eastAsia="Times New Roman" w:hAnsi="Times New Roman" w:cs="Times New Roman"/>
          <w:i/>
        </w:rPr>
        <w:t>Face IN</w:t>
      </w:r>
      <w:r>
        <w:rPr>
          <w:rFonts w:ascii="Times New Roman" w:eastAsia="Times New Roman" w:hAnsi="Times New Roman" w:cs="Times New Roman"/>
        </w:rPr>
        <w:t xml:space="preserve"> Protocol includes the following steps: (1) put on a nametag; (2) wear an apron; (3) wash hands while repeating the organizational values—</w:t>
      </w:r>
      <w:r>
        <w:rPr>
          <w:rFonts w:ascii="Times New Roman" w:eastAsia="Times New Roman" w:hAnsi="Times New Roman" w:cs="Times New Roman"/>
          <w:i/>
        </w:rPr>
        <w:t>Hospitality, Mutuality, Transformation</w:t>
      </w:r>
      <w:r>
        <w:rPr>
          <w:rFonts w:ascii="Times New Roman" w:eastAsia="Times New Roman" w:hAnsi="Times New Roman" w:cs="Times New Roman"/>
        </w:rPr>
        <w:t xml:space="preserve">—five times; (4) complete a 30-second check-in with a lead staff member, including an elbow bump and response to the “Question of the Day”; and (5) ask, “How can I help?” The </w:t>
      </w:r>
      <w:r>
        <w:rPr>
          <w:rFonts w:ascii="Times New Roman" w:eastAsia="Times New Roman" w:hAnsi="Times New Roman" w:cs="Times New Roman"/>
          <w:i/>
        </w:rPr>
        <w:t>Face OUT</w:t>
      </w:r>
      <w:r>
        <w:rPr>
          <w:rFonts w:ascii="Times New Roman" w:eastAsia="Times New Roman" w:hAnsi="Times New Roman" w:cs="Times New Roman"/>
        </w:rPr>
        <w:t xml:space="preserve"> Protocol mirrors this structure and includes: (1) a 30-second check-out with a lead, including an elbow bump and sharing one thing that brought joy that day; (2) pinning the nametag to the appropriately labeled apron; (3) placing the apron in the designated hamper; (4) completing a gratitude card or a “Rose, Bud, or Thorn” reflection; and (5) washing hands while again </w:t>
      </w:r>
      <w:r>
        <w:rPr>
          <w:rFonts w:ascii="Times New Roman" w:eastAsia="Times New Roman" w:hAnsi="Times New Roman" w:cs="Times New Roman"/>
        </w:rPr>
        <w:lastRenderedPageBreak/>
        <w:t xml:space="preserve">repeating the organizational values five times. Additionally, the </w:t>
      </w:r>
      <w:r>
        <w:rPr>
          <w:rFonts w:ascii="Times New Roman" w:eastAsia="Times New Roman" w:hAnsi="Times New Roman" w:cs="Times New Roman"/>
          <w:i/>
        </w:rPr>
        <w:t>Daily Whiteboard</w:t>
      </w:r>
      <w:r>
        <w:rPr>
          <w:rFonts w:ascii="Times New Roman" w:eastAsia="Times New Roman" w:hAnsi="Times New Roman" w:cs="Times New Roman"/>
        </w:rPr>
        <w:t>, maintained by a rotating Volunteer Ambassador, includes key information such as names and roles of lead staff members</w:t>
      </w:r>
      <w:r w:rsidR="000C088A">
        <w:rPr>
          <w:rFonts w:ascii="Times New Roman" w:eastAsia="Times New Roman" w:hAnsi="Times New Roman" w:cs="Times New Roman"/>
        </w:rPr>
        <w:t xml:space="preserve"> (</w:t>
      </w:r>
      <w:r w:rsidR="00027A3B">
        <w:rPr>
          <w:rFonts w:ascii="Times New Roman" w:eastAsia="Times New Roman" w:hAnsi="Times New Roman" w:cs="Times New Roman"/>
        </w:rPr>
        <w:t>e.g.</w:t>
      </w:r>
      <w:r w:rsidR="000C088A">
        <w:rPr>
          <w:rFonts w:ascii="Times New Roman" w:eastAsia="Times New Roman" w:hAnsi="Times New Roman" w:cs="Times New Roman"/>
        </w:rPr>
        <w:t xml:space="preserve"> Head chef, kitchen assistant, dining room coordinator, </w:t>
      </w:r>
      <w:r w:rsidR="00027A3B">
        <w:rPr>
          <w:rFonts w:ascii="Times New Roman" w:eastAsia="Times New Roman" w:hAnsi="Times New Roman" w:cs="Times New Roman"/>
        </w:rPr>
        <w:t>donations coordinator, volunteer manager)</w:t>
      </w:r>
      <w:r>
        <w:rPr>
          <w:rFonts w:ascii="Times New Roman" w:eastAsia="Times New Roman" w:hAnsi="Times New Roman" w:cs="Times New Roman"/>
        </w:rPr>
        <w:t>, the name of the day’s Ambassador, any visiting school groups, and the day’s featured content—such as a joke, quote, word, trivia fact, or the “Question of the Day.”</w:t>
      </w:r>
    </w:p>
    <w:p w14:paraId="0CD301B6" w14:textId="77777777" w:rsidR="00A003C6" w:rsidRPr="001C30F9" w:rsidRDefault="00AD7092" w:rsidP="002E6AAC">
      <w:pPr>
        <w:pStyle w:val="Heading2"/>
      </w:pPr>
      <w:bookmarkStart w:id="13" w:name="_Toc197457483"/>
      <w:r w:rsidRPr="001C30F9">
        <w:t>Positive Application #3: Volunteer Appreciation Event</w:t>
      </w:r>
      <w:bookmarkEnd w:id="13"/>
    </w:p>
    <w:p w14:paraId="15F562E2" w14:textId="5A4FFBF4"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Recognition is a fundamental human need, signifying that one's presence and contributions matter within a community (Prilleltensky, 2014). To acknowledge the invaluable contributions of volunteers at Face to Face, Team Black propose</w:t>
      </w:r>
      <w:r w:rsidR="007D39F9">
        <w:rPr>
          <w:rFonts w:ascii="Times New Roman" w:eastAsia="Times New Roman" w:hAnsi="Times New Roman" w:cs="Times New Roman"/>
        </w:rPr>
        <w:t>d</w:t>
      </w:r>
      <w:r>
        <w:rPr>
          <w:rFonts w:ascii="Times New Roman" w:eastAsia="Times New Roman" w:hAnsi="Times New Roman" w:cs="Times New Roman"/>
        </w:rPr>
        <w:t xml:space="preserve"> a volunteer appreciation event that fosters connection, recognition, and engagement. Many volunteers have expressed that while they connect with others who volunteer on the same days, they are often unfamiliar with volunteers from other shifts (A. Monteiro &amp; Volunteers, personal communication, March 6, 2025). Additionally, volunteers reported that aligning with the organization's mission is a key factor in their sustained engagement (A. Monteiro &amp; Volunteers, personal communication, March 6, 2025).</w:t>
      </w:r>
    </w:p>
    <w:p w14:paraId="01DF41AF" w14:textId="77777777"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Empirical research supports the notion that recognition enhances volunteer commitment and engagement (Oh, 2019). Thus, this event would allow volunteers to share their experiences and stories, fostering a more profound sense of community and belonging. Furthermore, the organization can use this platform to share data on the collective impact of volunteers, which has been shown to reinforce the significance of contributions (Ata et al., 2024). Transparency from the organization is a component that can foster engagement (Ilyas et al., 2020). To promote transparency, it would be ideal for the event to focus solely on recognition, appreciation, and enjoyment without any underlying intention of soliciting donations or recruiting additional </w:t>
      </w:r>
      <w:r>
        <w:rPr>
          <w:rFonts w:ascii="Times New Roman" w:eastAsia="Times New Roman" w:hAnsi="Times New Roman" w:cs="Times New Roman"/>
        </w:rPr>
        <w:lastRenderedPageBreak/>
        <w:t>volunteers. In addition to recognition and storytelling, the event can incorporate interactive activities to facilitate play and enjoyment. Research suggests that play is a powerful mechanism for cultivating high-quality connections—positive interactions that enhance workplace relationships (Stephens et al., 2011). Such connections contribute to a positive organizational culture and increased volunteer retention (Stephens et al., 2011).</w:t>
      </w:r>
    </w:p>
    <w:p w14:paraId="0BCA0DD4" w14:textId="2F7098B8"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Although Face to Face has neither previously held a formal volunteer appreciation event nor has had an explicit demand for one, research underscores the importance of recognition in fostering mattering and belonging (Prilleltensky, 2014). This event is envisioned as a space where volunteers can receive acknowledgment for their time and efforts, gain insights into their collective impact, and engage in meaningful social interactions. Given the emotionally demanding nature of their work, providing a moment for appreciation, play, and connection can serve as a valuable opportunity for renewal and sustained engagement.</w:t>
      </w:r>
      <w:r w:rsidR="007D39F9">
        <w:rPr>
          <w:rFonts w:ascii="Times New Roman" w:eastAsia="Times New Roman" w:hAnsi="Times New Roman" w:cs="Times New Roman"/>
        </w:rPr>
        <w:t xml:space="preserve"> </w:t>
      </w:r>
      <w:r>
        <w:rPr>
          <w:rFonts w:ascii="Times New Roman" w:eastAsia="Times New Roman" w:hAnsi="Times New Roman" w:cs="Times New Roman"/>
        </w:rPr>
        <w:t xml:space="preserve">Team Black provided Face to Face with a comprehensive plan for the appreciation event, which included a budget plan, an invitation to distribute to volunteers and staff, and an agenda outlining activities, announcements, and volunteer recognition. </w:t>
      </w:r>
    </w:p>
    <w:p w14:paraId="6181383C" w14:textId="77777777" w:rsidR="00A003C6" w:rsidRPr="001C30F9" w:rsidRDefault="00AD7092" w:rsidP="002E6AAC">
      <w:pPr>
        <w:pStyle w:val="Heading2"/>
      </w:pPr>
      <w:bookmarkStart w:id="14" w:name="_Toc197457484"/>
      <w:r w:rsidRPr="001C30F9">
        <w:t>Supplemental Operational Proposal: Volunteer Directory</w:t>
      </w:r>
      <w:bookmarkEnd w:id="14"/>
    </w:p>
    <w:p w14:paraId="355734CF" w14:textId="77777777"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Face to Face's volunteer roster is sizable, and its most active volunteers are largely siloed by which days they work, so a volunteer directory could be a valuable tool for facilitating connection. While gathering relevant contact information such as email addresses and phone numbers, the directory team can also collect data on shift preferences—identifying which shifts volunteers are consistently available for, occasionally available for, or unable to cover. Additionally, volunteers can be encouraged to share skills they believe could contribute to Face to Face's mission.</w:t>
      </w:r>
    </w:p>
    <w:p w14:paraId="6D91A8F6" w14:textId="2FA00AFC"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lastRenderedPageBreak/>
        <w:t xml:space="preserve">To ensure efficiency, the first edition of the directory </w:t>
      </w:r>
      <w:r w:rsidR="007D39F9">
        <w:rPr>
          <w:rFonts w:ascii="Times New Roman" w:eastAsia="Times New Roman" w:hAnsi="Times New Roman" w:cs="Times New Roman"/>
        </w:rPr>
        <w:t>could</w:t>
      </w:r>
      <w:r>
        <w:rPr>
          <w:rFonts w:ascii="Times New Roman" w:eastAsia="Times New Roman" w:hAnsi="Times New Roman" w:cs="Times New Roman"/>
        </w:rPr>
        <w:t xml:space="preserve"> focus on active volunteers before expanding efforts to include the less active and inactive volunteer populations. Volunteers whom Team Black interviewed reported knowing few volunteers outside of their own shifts. By providing direct communication channels, the directory </w:t>
      </w:r>
      <w:r w:rsidR="007D39F9">
        <w:rPr>
          <w:rFonts w:ascii="Times New Roman" w:eastAsia="Times New Roman" w:hAnsi="Times New Roman" w:cs="Times New Roman"/>
        </w:rPr>
        <w:t>can</w:t>
      </w:r>
      <w:r>
        <w:rPr>
          <w:rFonts w:ascii="Times New Roman" w:eastAsia="Times New Roman" w:hAnsi="Times New Roman" w:cs="Times New Roman"/>
        </w:rPr>
        <w:t xml:space="preserve"> enable volunteers to reach out to one another for shift coverage or swaps as needed. This increased flexibility </w:t>
      </w:r>
      <w:r w:rsidR="007D39F9">
        <w:rPr>
          <w:rFonts w:ascii="Times New Roman" w:eastAsia="Times New Roman" w:hAnsi="Times New Roman" w:cs="Times New Roman"/>
        </w:rPr>
        <w:t>can</w:t>
      </w:r>
      <w:r>
        <w:rPr>
          <w:rFonts w:ascii="Times New Roman" w:eastAsia="Times New Roman" w:hAnsi="Times New Roman" w:cs="Times New Roman"/>
        </w:rPr>
        <w:t xml:space="preserve"> foster a greater sense of community and reduce the current shift-based silos. Improving workforce-to-demand alignment—ensuring shifts are adequately staffed and minimizing the impact of unexpected absences—is an operational support that can strengthen the overall volunteer experience. Such alignment, as Ata et al. (2024) suggest, contributes to smoother organizational functioning and volunteer satisfaction. Additionally, rotating volunteers across different tasks and teams can promote flexibility and reduce rigid expectations, creating an environment more conducive to adaptability and engagement.</w:t>
      </w:r>
    </w:p>
    <w:p w14:paraId="080BD550" w14:textId="77777777" w:rsidR="00A003C6" w:rsidRPr="001C30F9" w:rsidRDefault="00AD7092" w:rsidP="002E6AAC">
      <w:pPr>
        <w:pStyle w:val="Heading2"/>
      </w:pPr>
      <w:bookmarkStart w:id="15" w:name="_Toc197457485"/>
      <w:r w:rsidRPr="001C30F9">
        <w:t>Supplemental Operational Proposal: Volunteer Committee Structure and Meetings</w:t>
      </w:r>
      <w:bookmarkEnd w:id="15"/>
    </w:p>
    <w:p w14:paraId="49031FC6" w14:textId="46AFD10F" w:rsidR="00A003C6" w:rsidRDefault="007D39F9"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Team Black also proposed establishing a volunteer committee composed of one nominated volunteer per shift to meet monthly. The Volunteer Manager would attend each meeting alongside a rotating leadership team member, ensuring representation across various leadership roles. The designated leadership member would provide a brief update on Face to Face operations and their specific area of focus, allowing time for volunteer questions and discussion.</w:t>
      </w:r>
    </w:p>
    <w:p w14:paraId="17E6D43C" w14:textId="227AACE3"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To maintain continuity in representation, committee members may designate a substitute volunteer from their shift when they cannot attend. Each committee member will be encouraged to collect feedback from their fellow volunteers, and the Volunteer Manager will send reminder emails to all volunteers, prompting them to share input with their designated committee </w:t>
      </w:r>
      <w:r>
        <w:rPr>
          <w:rFonts w:ascii="Times New Roman" w:eastAsia="Times New Roman" w:hAnsi="Times New Roman" w:cs="Times New Roman"/>
        </w:rPr>
        <w:lastRenderedPageBreak/>
        <w:t xml:space="preserve">representative. Meeting notes </w:t>
      </w:r>
      <w:r w:rsidR="007D39F9">
        <w:rPr>
          <w:rFonts w:ascii="Times New Roman" w:eastAsia="Times New Roman" w:hAnsi="Times New Roman" w:cs="Times New Roman"/>
        </w:rPr>
        <w:t>can</w:t>
      </w:r>
      <w:r>
        <w:rPr>
          <w:rFonts w:ascii="Times New Roman" w:eastAsia="Times New Roman" w:hAnsi="Times New Roman" w:cs="Times New Roman"/>
        </w:rPr>
        <w:t xml:space="preserve"> be distributed to all volunteers to ensure transparency. One committee member </w:t>
      </w:r>
      <w:r w:rsidR="007D39F9">
        <w:rPr>
          <w:rFonts w:ascii="Times New Roman" w:eastAsia="Times New Roman" w:hAnsi="Times New Roman" w:cs="Times New Roman"/>
        </w:rPr>
        <w:t>can</w:t>
      </w:r>
      <w:r>
        <w:rPr>
          <w:rFonts w:ascii="Times New Roman" w:eastAsia="Times New Roman" w:hAnsi="Times New Roman" w:cs="Times New Roman"/>
        </w:rPr>
        <w:t xml:space="preserve"> also be invited to attend the greater board meeting. This role could be filled by an elected committee chair or rotated among committee members.</w:t>
      </w:r>
    </w:p>
    <w:p w14:paraId="0D68CB74" w14:textId="29B0CF1A"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This initiative is expected to strengthen trust, communication, and transparency, ultimately increasing volunteer engagement (Ilyas et al., 2020). Offering volunteers a structured platform to voice concerns and contribute ideas </w:t>
      </w:r>
      <w:r w:rsidR="007D39F9">
        <w:rPr>
          <w:rFonts w:ascii="Times New Roman" w:eastAsia="Times New Roman" w:hAnsi="Times New Roman" w:cs="Times New Roman"/>
        </w:rPr>
        <w:t xml:space="preserve">can </w:t>
      </w:r>
      <w:r>
        <w:rPr>
          <w:rFonts w:ascii="Times New Roman" w:eastAsia="Times New Roman" w:hAnsi="Times New Roman" w:cs="Times New Roman"/>
        </w:rPr>
        <w:t>promote volunteer agency, which has been shown to enhance engagement (Harp et al., 2017). Providing updates from the greater board to the volunteer committee and from the volunteer committee to the broader volunteer population will reinforce volunteers' sense of involvement and investment in the organization (Ata et al., 2024). However, for this initiative to be successful, it must be implemented with sincerity and follow-through. Feeling valued is associated with well-being, which is related to increased retention rates (Prilleltensky &amp; Prilleltensky, 2021).</w:t>
      </w:r>
    </w:p>
    <w:p w14:paraId="0851E9D3" w14:textId="7E04DF7D"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To ensure the committee is grounded in Positive Psychology principles rather than functioning solely as a structural or operational body, the intervention tool could include a Committee Charter and an initial meeting agenda explicitly shaped by PP-informed practices. The Charter would articulate the committee's goals and the values guiding its work—such as fostering meaning, belonging, gratitude, and a sense of accomplishment, drawing on frameworks like PERMA (Seligman, 2011). The inaugural meeting </w:t>
      </w:r>
      <w:r w:rsidR="007D39F9">
        <w:rPr>
          <w:rFonts w:ascii="Times New Roman" w:eastAsia="Times New Roman" w:hAnsi="Times New Roman" w:cs="Times New Roman"/>
        </w:rPr>
        <w:t>can</w:t>
      </w:r>
      <w:r>
        <w:rPr>
          <w:rFonts w:ascii="Times New Roman" w:eastAsia="Times New Roman" w:hAnsi="Times New Roman" w:cs="Times New Roman"/>
        </w:rPr>
        <w:t xml:space="preserve"> incorporate </w:t>
      </w:r>
      <w:r>
        <w:rPr>
          <w:rFonts w:ascii="Times New Roman" w:eastAsia="Times New Roman" w:hAnsi="Times New Roman" w:cs="Times New Roman"/>
          <w:i/>
        </w:rPr>
        <w:t>positive introductions</w:t>
      </w:r>
      <w:r>
        <w:rPr>
          <w:rFonts w:ascii="Times New Roman" w:eastAsia="Times New Roman" w:hAnsi="Times New Roman" w:cs="Times New Roman"/>
        </w:rPr>
        <w:t xml:space="preserve">, where members reflect on a meaningful volunteer moment or a strength they bring to the team (Seligman et al., 2005). Additionally, the group </w:t>
      </w:r>
      <w:r w:rsidR="007D39F9">
        <w:rPr>
          <w:rFonts w:ascii="Times New Roman" w:eastAsia="Times New Roman" w:hAnsi="Times New Roman" w:cs="Times New Roman"/>
        </w:rPr>
        <w:t>can</w:t>
      </w:r>
      <w:r>
        <w:rPr>
          <w:rFonts w:ascii="Times New Roman" w:eastAsia="Times New Roman" w:hAnsi="Times New Roman" w:cs="Times New Roman"/>
        </w:rPr>
        <w:t xml:space="preserve"> co-create shared values and norms through a strengths-based discussion (Niemiec, 2018) and an appreciative inquiry process (Cooperrider &amp; Srivastva, 1987) that begins with identifying what's already working well in the volunteer experience. By embedding these evidence-based practices into the formation and ongoing </w:t>
      </w:r>
      <w:r>
        <w:rPr>
          <w:rFonts w:ascii="Times New Roman" w:eastAsia="Times New Roman" w:hAnsi="Times New Roman" w:cs="Times New Roman"/>
        </w:rPr>
        <w:lastRenderedPageBreak/>
        <w:t>functioning of the committee, the intervention aims to improve communication and feedback loops and enhance volunteers' sense of purpose, contribution, and connection—core psychological drivers of sustained engagement and well-being.</w:t>
      </w:r>
    </w:p>
    <w:p w14:paraId="4983FE79" w14:textId="77777777" w:rsidR="00A003C6" w:rsidRDefault="00AD7092" w:rsidP="002E6AAC">
      <w:pPr>
        <w:pStyle w:val="Heading2"/>
      </w:pPr>
      <w:bookmarkStart w:id="16" w:name="_Toc197457486"/>
      <w:r>
        <w:t>Summary and Limitations</w:t>
      </w:r>
      <w:bookmarkEnd w:id="16"/>
    </w:p>
    <w:p w14:paraId="67C631FC" w14:textId="70957668"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This proposal outlines a series of research-backed interventions designed to enhance volunteer engagement, strengthen communication, and foster a culture of recognition at Face to Face. Rooted in literature, in-person meetings, and hands-on volunteering experiences, these initiatives aim to build meaningful connections and align with leadership strengths. Proposed interventions include a quarterly email to promote engagement, structured shift transition rituals to create continuity, a volunteer appreciation event to celebrate contributions, a volunteer directory to facilitate collaboration, committee meetings to amplify volunteer voices, and leadership check-ins to build trust and support. Evaluated through the Four T’s framework—time, talent, technology, and treasure—these initiatives are designed to be practical, impactful, and sustainable. When implemented thoughtfully, they have the potential to cultivate a thriving, connected volunteer community where individuals feel valued, supported, and inspired to contribute. Ultimately, th</w:t>
      </w:r>
      <w:r w:rsidR="007D39F9">
        <w:rPr>
          <w:rFonts w:ascii="Times New Roman" w:eastAsia="Times New Roman" w:hAnsi="Times New Roman" w:cs="Times New Roman"/>
        </w:rPr>
        <w:t>is</w:t>
      </w:r>
      <w:r>
        <w:rPr>
          <w:rFonts w:ascii="Times New Roman" w:eastAsia="Times New Roman" w:hAnsi="Times New Roman" w:cs="Times New Roman"/>
        </w:rPr>
        <w:t xml:space="preserve"> series of positive psychology interventions was compiled into a practical resource booklet for the Volunteer Manager, titled </w:t>
      </w:r>
      <w:r>
        <w:rPr>
          <w:rFonts w:ascii="Times New Roman" w:eastAsia="Times New Roman" w:hAnsi="Times New Roman" w:cs="Times New Roman"/>
          <w:i/>
        </w:rPr>
        <w:t>The Connection Cookbook</w:t>
      </w:r>
      <w:r>
        <w:rPr>
          <w:rFonts w:ascii="Times New Roman" w:eastAsia="Times New Roman" w:hAnsi="Times New Roman" w:cs="Times New Roman"/>
        </w:rPr>
        <w:t>, to serve as an ongoing guide and reference.</w:t>
      </w:r>
    </w:p>
    <w:p w14:paraId="39787C12" w14:textId="77777777" w:rsidR="00A003C6" w:rsidRDefault="00AD7092" w:rsidP="001C30F9">
      <w:pPr>
        <w:spacing w:after="0"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The proposed interventions, however, face several limitations, including resource constraints, as they require time, funding, and technological support that may not always be available. Volunteer and staff participation could be inconsistent, with some viewing these initiatives as additional responsibilities rather than sources of support. Long-term engagement may be challenging if initial enthusiasm fades, and structured rituals risk becoming routine </w:t>
      </w:r>
      <w:r>
        <w:rPr>
          <w:rFonts w:ascii="Times New Roman" w:eastAsia="Times New Roman" w:hAnsi="Times New Roman" w:cs="Times New Roman"/>
        </w:rPr>
        <w:lastRenderedPageBreak/>
        <w:t>without active reinforcement. Additionally, perceived authenticity is crucial—if check-ins or recognition efforts feel forced, they may undermine trust rather than build it. Lastly, organizational resistance to change could limit adoption, requiring strong leadership support and ongoing refinement to ensure these initiatives are effectively integrated into Face to Face's culture.</w:t>
      </w:r>
    </w:p>
    <w:p w14:paraId="5E3C8B1D" w14:textId="77777777" w:rsidR="00A003C6" w:rsidRDefault="00A003C6">
      <w:pPr>
        <w:spacing w:after="0" w:line="480" w:lineRule="auto"/>
      </w:pPr>
    </w:p>
    <w:p w14:paraId="53B1C9CD" w14:textId="77777777" w:rsidR="00A003C6" w:rsidRDefault="00A003C6">
      <w:pPr>
        <w:spacing w:after="0" w:line="480" w:lineRule="auto"/>
        <w:jc w:val="center"/>
        <w:rPr>
          <w:rFonts w:ascii="Times New Roman" w:eastAsia="Times New Roman" w:hAnsi="Times New Roman" w:cs="Times New Roman"/>
          <w:b/>
        </w:rPr>
      </w:pPr>
    </w:p>
    <w:p w14:paraId="66979762" w14:textId="77777777" w:rsidR="00A003C6" w:rsidRDefault="00A003C6">
      <w:pPr>
        <w:spacing w:after="0" w:line="480" w:lineRule="auto"/>
        <w:jc w:val="center"/>
        <w:rPr>
          <w:rFonts w:ascii="Times New Roman" w:eastAsia="Times New Roman" w:hAnsi="Times New Roman" w:cs="Times New Roman"/>
          <w:b/>
        </w:rPr>
      </w:pPr>
    </w:p>
    <w:p w14:paraId="12640909" w14:textId="77777777" w:rsidR="00A003C6" w:rsidRDefault="00A003C6">
      <w:pPr>
        <w:spacing w:after="0" w:line="480" w:lineRule="auto"/>
        <w:rPr>
          <w:rFonts w:ascii="Times New Roman" w:eastAsia="Times New Roman" w:hAnsi="Times New Roman" w:cs="Times New Roman"/>
          <w:b/>
        </w:rPr>
      </w:pPr>
    </w:p>
    <w:p w14:paraId="06A054B0" w14:textId="77777777" w:rsidR="002E6AAC" w:rsidRDefault="002E6AAC" w:rsidP="002E6AAC">
      <w:pPr>
        <w:pStyle w:val="Style1"/>
      </w:pPr>
    </w:p>
    <w:p w14:paraId="05D52EDA" w14:textId="77777777" w:rsidR="002E6AAC" w:rsidRDefault="002E6AAC" w:rsidP="002E6AAC">
      <w:pPr>
        <w:pStyle w:val="Style1"/>
      </w:pPr>
    </w:p>
    <w:p w14:paraId="00B0535E" w14:textId="77777777" w:rsidR="002E6AAC" w:rsidRDefault="002E6AAC" w:rsidP="002E6AAC">
      <w:pPr>
        <w:pStyle w:val="Style1"/>
      </w:pPr>
    </w:p>
    <w:p w14:paraId="109C50C1" w14:textId="77777777" w:rsidR="002E6AAC" w:rsidRDefault="002E6AAC" w:rsidP="002E6AAC">
      <w:pPr>
        <w:pStyle w:val="Style1"/>
      </w:pPr>
    </w:p>
    <w:p w14:paraId="46DF6A06" w14:textId="77777777" w:rsidR="002E6AAC" w:rsidRDefault="002E6AAC" w:rsidP="002E6AAC">
      <w:pPr>
        <w:pStyle w:val="Style1"/>
      </w:pPr>
    </w:p>
    <w:p w14:paraId="292C897A" w14:textId="77777777" w:rsidR="002E6AAC" w:rsidRDefault="002E6AAC" w:rsidP="002E6AAC">
      <w:pPr>
        <w:pStyle w:val="Style1"/>
      </w:pPr>
    </w:p>
    <w:p w14:paraId="7F06D306" w14:textId="77777777" w:rsidR="002E6AAC" w:rsidRDefault="002E6AAC" w:rsidP="002E6AAC">
      <w:pPr>
        <w:pStyle w:val="Style1"/>
      </w:pPr>
    </w:p>
    <w:p w14:paraId="2F807C2E" w14:textId="77777777" w:rsidR="002E6AAC" w:rsidRDefault="002E6AAC" w:rsidP="002E6AAC">
      <w:pPr>
        <w:pStyle w:val="Style1"/>
      </w:pPr>
    </w:p>
    <w:p w14:paraId="076B9D61" w14:textId="77777777" w:rsidR="002E6AAC" w:rsidRDefault="002E6AAC" w:rsidP="002E6AAC">
      <w:pPr>
        <w:pStyle w:val="Style1"/>
      </w:pPr>
    </w:p>
    <w:p w14:paraId="662328C2" w14:textId="77777777" w:rsidR="002E6AAC" w:rsidRDefault="002E6AAC" w:rsidP="002E6AAC">
      <w:pPr>
        <w:pStyle w:val="Style1"/>
      </w:pPr>
    </w:p>
    <w:p w14:paraId="22BB678D" w14:textId="468136E1" w:rsidR="00A003C6" w:rsidRDefault="00AD7092" w:rsidP="00AD7092">
      <w:pPr>
        <w:pStyle w:val="Heading1"/>
      </w:pPr>
      <w:bookmarkStart w:id="17" w:name="_Toc197457487"/>
      <w:r>
        <w:lastRenderedPageBreak/>
        <w:t>References</w:t>
      </w:r>
      <w:bookmarkEnd w:id="17"/>
    </w:p>
    <w:p w14:paraId="0A80586E"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Alfes, K., Shantz, A., &amp; Bailey, C. (2016). Enhancing volunteer engagement to achieve desirable outcomes: What can non-profit employers do? </w:t>
      </w:r>
      <w:r>
        <w:rPr>
          <w:rFonts w:ascii="Times New Roman" w:eastAsia="Times New Roman" w:hAnsi="Times New Roman" w:cs="Times New Roman"/>
          <w:i/>
        </w:rPr>
        <w:t>VOLUNTAS: International Journal of Voluntary and Nonprofit Organizations, 27</w:t>
      </w:r>
      <w:r>
        <w:rPr>
          <w:rFonts w:ascii="Times New Roman" w:eastAsia="Times New Roman" w:hAnsi="Times New Roman" w:cs="Times New Roman"/>
        </w:rPr>
        <w:t xml:space="preserve">(2), 595–617. </w:t>
      </w:r>
      <w:hyperlink r:id="rId9">
        <w:r w:rsidR="00A003C6">
          <w:rPr>
            <w:rFonts w:ascii="Times New Roman" w:eastAsia="Times New Roman" w:hAnsi="Times New Roman" w:cs="Times New Roman"/>
            <w:color w:val="0000FF"/>
            <w:u w:val="single"/>
          </w:rPr>
          <w:t>https://doi.org/10.1007/s11266-015-9601-3</w:t>
        </w:r>
      </w:hyperlink>
    </w:p>
    <w:p w14:paraId="78CD1D05"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Ambady, N., &amp; Rosenthal, R. (1993). Half a minute: Predicting teacher evaluations from thin slices of nonverbal behavior and physical attractiveness. </w:t>
      </w:r>
      <w:r>
        <w:rPr>
          <w:rFonts w:ascii="Times New Roman" w:eastAsia="Times New Roman" w:hAnsi="Times New Roman" w:cs="Times New Roman"/>
          <w:i/>
        </w:rPr>
        <w:t>Journal of Personality and Social Psychology, 64</w:t>
      </w:r>
      <w:r>
        <w:rPr>
          <w:rFonts w:ascii="Times New Roman" w:eastAsia="Times New Roman" w:hAnsi="Times New Roman" w:cs="Times New Roman"/>
        </w:rPr>
        <w:t>(3), 431–441.</w:t>
      </w:r>
      <w:hyperlink r:id="rId10">
        <w:r w:rsidR="00A003C6">
          <w:rPr>
            <w:rFonts w:ascii="Times New Roman" w:eastAsia="Times New Roman" w:hAnsi="Times New Roman" w:cs="Times New Roman"/>
          </w:rPr>
          <w:t xml:space="preserve"> </w:t>
        </w:r>
      </w:hyperlink>
      <w:hyperlink r:id="rId11">
        <w:r w:rsidR="00A003C6">
          <w:rPr>
            <w:rFonts w:ascii="Times New Roman" w:eastAsia="Times New Roman" w:hAnsi="Times New Roman" w:cs="Times New Roman"/>
            <w:color w:val="467886"/>
            <w:u w:val="single"/>
          </w:rPr>
          <w:t>https://doi.org/10.1037/0022-3514.64.3.431</w:t>
        </w:r>
      </w:hyperlink>
    </w:p>
    <w:p w14:paraId="6FDF3755"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Ata, B., Tongarlak, M. H., Lee, D., &amp; Field, J. (2024). A dynamic model for managing volunteer engagement. </w:t>
      </w:r>
      <w:r>
        <w:rPr>
          <w:rFonts w:ascii="Times New Roman" w:eastAsia="Times New Roman" w:hAnsi="Times New Roman" w:cs="Times New Roman"/>
          <w:i/>
        </w:rPr>
        <w:t>Operations Research, 72</w:t>
      </w:r>
      <w:r>
        <w:rPr>
          <w:rFonts w:ascii="Times New Roman" w:eastAsia="Times New Roman" w:hAnsi="Times New Roman" w:cs="Times New Roman"/>
        </w:rPr>
        <w:t xml:space="preserve">(5), 1958–1975. </w:t>
      </w:r>
      <w:hyperlink r:id="rId12">
        <w:r w:rsidR="00A003C6">
          <w:rPr>
            <w:rFonts w:ascii="Times New Roman" w:eastAsia="Times New Roman" w:hAnsi="Times New Roman" w:cs="Times New Roman"/>
            <w:color w:val="0000FF"/>
            <w:u w:val="single"/>
          </w:rPr>
          <w:t>https://doi.org/10.1287/opre.2021.0419</w:t>
        </w:r>
      </w:hyperlink>
    </w:p>
    <w:p w14:paraId="615AB515"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Axios. (2024, September 23). </w:t>
      </w:r>
      <w:r>
        <w:rPr>
          <w:rFonts w:ascii="Times New Roman" w:eastAsia="Times New Roman" w:hAnsi="Times New Roman" w:cs="Times New Roman"/>
          <w:i/>
        </w:rPr>
        <w:t>Homelessness rises in Philadelphia as shelters hit capacity</w:t>
      </w:r>
      <w:r>
        <w:rPr>
          <w:rFonts w:ascii="Times New Roman" w:eastAsia="Times New Roman" w:hAnsi="Times New Roman" w:cs="Times New Roman"/>
        </w:rPr>
        <w:t>.</w:t>
      </w:r>
      <w:hyperlink r:id="rId13">
        <w:r w:rsidR="00A003C6">
          <w:rPr>
            <w:rFonts w:ascii="Times New Roman" w:eastAsia="Times New Roman" w:hAnsi="Times New Roman" w:cs="Times New Roman"/>
          </w:rPr>
          <w:t xml:space="preserve"> </w:t>
        </w:r>
      </w:hyperlink>
      <w:hyperlink r:id="rId14">
        <w:r w:rsidR="00A003C6">
          <w:rPr>
            <w:rFonts w:ascii="Times New Roman" w:eastAsia="Times New Roman" w:hAnsi="Times New Roman" w:cs="Times New Roman"/>
            <w:color w:val="467886"/>
            <w:u w:val="single"/>
          </w:rPr>
          <w:t>https://www.axios.com/local/philadelphia/2024/09/23/homelessness-rise-philly-shelters</w:t>
        </w:r>
      </w:hyperlink>
    </w:p>
    <w:p w14:paraId="6FE1D48C"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Barrett, F. J. (2017). David L. Cooperrider: The articulator of appreciative inquiry. In D. B. Szabla, W. A. Pasmore, M. A. Barnes, &amp; A. N. Gipson (Eds.), </w:t>
      </w:r>
      <w:r>
        <w:rPr>
          <w:rFonts w:ascii="Times New Roman" w:eastAsia="Times New Roman" w:hAnsi="Times New Roman" w:cs="Times New Roman"/>
          <w:i/>
        </w:rPr>
        <w:t>The Palgrave handbook of organizational change thinkers</w:t>
      </w:r>
      <w:r>
        <w:rPr>
          <w:rFonts w:ascii="Times New Roman" w:eastAsia="Times New Roman" w:hAnsi="Times New Roman" w:cs="Times New Roman"/>
        </w:rPr>
        <w:t xml:space="preserve"> (pp. 315–336). Springer International Publishing. </w:t>
      </w:r>
      <w:hyperlink r:id="rId15">
        <w:r w:rsidR="00A003C6">
          <w:rPr>
            <w:rFonts w:ascii="Times New Roman" w:eastAsia="Times New Roman" w:hAnsi="Times New Roman" w:cs="Times New Roman"/>
            <w:color w:val="0000FF"/>
            <w:u w:val="single"/>
          </w:rPr>
          <w:t>https://doi.org/10.1007/978-3-319-52878-6_36</w:t>
        </w:r>
      </w:hyperlink>
    </w:p>
    <w:p w14:paraId="45A3EA9B"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Baumeister, R. F., &amp; Leary, M. R. (1995). The need to belong: Desire for interpersonal attachments as a fundamental human motivation. </w:t>
      </w:r>
      <w:r>
        <w:rPr>
          <w:rFonts w:ascii="Times New Roman" w:eastAsia="Times New Roman" w:hAnsi="Times New Roman" w:cs="Times New Roman"/>
          <w:i/>
        </w:rPr>
        <w:t>Psychological Bulletin, 117</w:t>
      </w:r>
      <w:r>
        <w:rPr>
          <w:rFonts w:ascii="Times New Roman" w:eastAsia="Times New Roman" w:hAnsi="Times New Roman" w:cs="Times New Roman"/>
        </w:rPr>
        <w:t xml:space="preserve">(3), 497–529. </w:t>
      </w:r>
      <w:hyperlink r:id="rId16">
        <w:r w:rsidR="00A003C6">
          <w:rPr>
            <w:rFonts w:ascii="Times New Roman" w:eastAsia="Times New Roman" w:hAnsi="Times New Roman" w:cs="Times New Roman"/>
            <w:color w:val="0000FF"/>
            <w:u w:val="single"/>
          </w:rPr>
          <w:t>https://doi.org/10.1037/0033-2909.117.3.497</w:t>
        </w:r>
      </w:hyperlink>
    </w:p>
    <w:p w14:paraId="3C6C1DCA" w14:textId="77777777" w:rsidR="00A003C6" w:rsidRDefault="00A003C6">
      <w:pPr>
        <w:spacing w:after="0" w:line="480" w:lineRule="auto"/>
        <w:ind w:left="720" w:hanging="720"/>
        <w:rPr>
          <w:rFonts w:ascii="Times New Roman" w:eastAsia="Times New Roman" w:hAnsi="Times New Roman" w:cs="Times New Roman"/>
        </w:rPr>
      </w:pPr>
    </w:p>
    <w:p w14:paraId="1ABFB44A" w14:textId="77777777" w:rsidR="00A003C6" w:rsidRDefault="00A003C6">
      <w:pPr>
        <w:spacing w:after="0" w:line="480" w:lineRule="auto"/>
        <w:ind w:left="720" w:hanging="720"/>
        <w:rPr>
          <w:rFonts w:ascii="Times New Roman" w:eastAsia="Times New Roman" w:hAnsi="Times New Roman" w:cs="Times New Roman"/>
        </w:rPr>
      </w:pPr>
    </w:p>
    <w:p w14:paraId="47742F8F"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Brandwene, L. (2025). </w:t>
      </w:r>
      <w:r>
        <w:rPr>
          <w:rFonts w:ascii="Times New Roman" w:eastAsia="Times New Roman" w:hAnsi="Times New Roman" w:cs="Times New Roman"/>
          <w:i/>
        </w:rPr>
        <w:t xml:space="preserve">714 MAPP Spring 2025 Applying Positive Interventions in Institutions </w:t>
      </w:r>
      <w:r>
        <w:rPr>
          <w:rFonts w:ascii="Times New Roman" w:eastAsia="Times New Roman" w:hAnsi="Times New Roman" w:cs="Times New Roman"/>
        </w:rPr>
        <w:t>[Syllabus]. The College of Liberal and Professional Studies, University of Pennsylvania.</w:t>
      </w:r>
    </w:p>
    <w:p w14:paraId="4F514F06"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Bratty, A. J., &amp; Dennis, N. C. (2024). The efficacy of employee strengths interventions on desirable workplace outcomes. </w:t>
      </w:r>
      <w:r>
        <w:rPr>
          <w:rFonts w:ascii="Times New Roman" w:eastAsia="Times New Roman" w:hAnsi="Times New Roman" w:cs="Times New Roman"/>
          <w:i/>
        </w:rPr>
        <w:t>Current Psychology, 43</w:t>
      </w:r>
      <w:r>
        <w:rPr>
          <w:rFonts w:ascii="Times New Roman" w:eastAsia="Times New Roman" w:hAnsi="Times New Roman" w:cs="Times New Roman"/>
        </w:rPr>
        <w:t xml:space="preserve">(18), 16514–16532. </w:t>
      </w:r>
      <w:hyperlink r:id="rId17">
        <w:r w:rsidR="00A003C6">
          <w:rPr>
            <w:rFonts w:ascii="Times New Roman" w:eastAsia="Times New Roman" w:hAnsi="Times New Roman" w:cs="Times New Roman"/>
            <w:color w:val="0000FF"/>
            <w:u w:val="single"/>
          </w:rPr>
          <w:t>https://doi.org/10.1007/s12144-023-05607-9</w:t>
        </w:r>
      </w:hyperlink>
    </w:p>
    <w:p w14:paraId="7D517D5B"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Brueller, D., &amp; Carmeli, A. (2011). Linking capacities of high‐quality relationships to team learning and performance in service organizations. </w:t>
      </w:r>
      <w:r>
        <w:rPr>
          <w:rFonts w:ascii="Times New Roman" w:eastAsia="Times New Roman" w:hAnsi="Times New Roman" w:cs="Times New Roman"/>
          <w:i/>
        </w:rPr>
        <w:t>Human Resource Management, 50</w:t>
      </w:r>
      <w:r>
        <w:rPr>
          <w:rFonts w:ascii="Times New Roman" w:eastAsia="Times New Roman" w:hAnsi="Times New Roman" w:cs="Times New Roman"/>
        </w:rPr>
        <w:t xml:space="preserve">(4), 455–477. </w:t>
      </w:r>
      <w:hyperlink r:id="rId18">
        <w:r w:rsidR="00A003C6">
          <w:rPr>
            <w:rFonts w:ascii="Times New Roman" w:eastAsia="Times New Roman" w:hAnsi="Times New Roman" w:cs="Times New Roman"/>
            <w:color w:val="0000FF"/>
            <w:u w:val="single"/>
          </w:rPr>
          <w:t>https://doi.org/10.1002/hrm.20435</w:t>
        </w:r>
      </w:hyperlink>
    </w:p>
    <w:p w14:paraId="3A4306A4"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Cameron, K. (2013). </w:t>
      </w:r>
      <w:r>
        <w:rPr>
          <w:rFonts w:ascii="Times New Roman" w:eastAsia="Times New Roman" w:hAnsi="Times New Roman" w:cs="Times New Roman"/>
          <w:i/>
        </w:rPr>
        <w:t>Practicing positive leadership: Tools and techniques that create extraordinary results</w:t>
      </w:r>
      <w:r>
        <w:rPr>
          <w:rFonts w:ascii="Times New Roman" w:eastAsia="Times New Roman" w:hAnsi="Times New Roman" w:cs="Times New Roman"/>
        </w:rPr>
        <w:t>. Berrett-Koehler Publishers.</w:t>
      </w:r>
    </w:p>
    <w:p w14:paraId="3862A1B6"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Carmeli, A., Dutton, J. E., &amp; Hardin, A. E. (2015). Respect as an engine for new ideas: Linking respectful engagement, relational information processing, and creativity among employees and teams. </w:t>
      </w:r>
      <w:r>
        <w:rPr>
          <w:rFonts w:ascii="Times New Roman" w:eastAsia="Times New Roman" w:hAnsi="Times New Roman" w:cs="Times New Roman"/>
          <w:i/>
        </w:rPr>
        <w:t>Human Relations, 68</w:t>
      </w:r>
      <w:r>
        <w:rPr>
          <w:rFonts w:ascii="Times New Roman" w:eastAsia="Times New Roman" w:hAnsi="Times New Roman" w:cs="Times New Roman"/>
        </w:rPr>
        <w:t xml:space="preserve">(6), 1021–1047. </w:t>
      </w:r>
      <w:hyperlink r:id="rId19">
        <w:r w:rsidR="00A003C6">
          <w:rPr>
            <w:rFonts w:ascii="Times New Roman" w:eastAsia="Times New Roman" w:hAnsi="Times New Roman" w:cs="Times New Roman"/>
            <w:color w:val="0000FF"/>
            <w:u w:val="single"/>
          </w:rPr>
          <w:t>https://doi.org/10.1177/0018726714550256</w:t>
        </w:r>
      </w:hyperlink>
    </w:p>
    <w:p w14:paraId="3AE29EAE" w14:textId="77777777" w:rsidR="00A003C6" w:rsidRDefault="00AD7092">
      <w:pPr>
        <w:spacing w:line="523"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Carmeli, A., &amp; Gittell, J. H. (2009). High‐quality relationships, psychological safety, and learning from failures in work organizations. </w:t>
      </w:r>
      <w:r>
        <w:rPr>
          <w:rFonts w:ascii="Times New Roman" w:eastAsia="Times New Roman" w:hAnsi="Times New Roman" w:cs="Times New Roman"/>
          <w:i/>
        </w:rPr>
        <w:t>Journal of Organizational Behavior, 30</w:t>
      </w:r>
      <w:r>
        <w:rPr>
          <w:rFonts w:ascii="Times New Roman" w:eastAsia="Times New Roman" w:hAnsi="Times New Roman" w:cs="Times New Roman"/>
        </w:rPr>
        <w:t>(6), 709–729.</w:t>
      </w:r>
      <w:hyperlink r:id="rId20">
        <w:r w:rsidR="00A003C6">
          <w:rPr>
            <w:rFonts w:ascii="Times New Roman" w:eastAsia="Times New Roman" w:hAnsi="Times New Roman" w:cs="Times New Roman"/>
          </w:rPr>
          <w:t xml:space="preserve"> </w:t>
        </w:r>
      </w:hyperlink>
      <w:hyperlink r:id="rId21">
        <w:r w:rsidR="00A003C6">
          <w:rPr>
            <w:rFonts w:ascii="Times New Roman" w:eastAsia="Times New Roman" w:hAnsi="Times New Roman" w:cs="Times New Roman"/>
            <w:color w:val="467886"/>
            <w:u w:val="single"/>
          </w:rPr>
          <w:t>https://doi.org/10.1002/job.565</w:t>
        </w:r>
      </w:hyperlink>
    </w:p>
    <w:p w14:paraId="22EE51B4" w14:textId="77777777" w:rsidR="00A003C6" w:rsidRDefault="00AD7092">
      <w:pPr>
        <w:spacing w:line="523"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Chacón, F., Vecina, M. L., &amp; Dávila, M. C. (2007). The three-stage model of volunteers’ duration of service. </w:t>
      </w:r>
      <w:r>
        <w:rPr>
          <w:rFonts w:ascii="Times New Roman" w:eastAsia="Times New Roman" w:hAnsi="Times New Roman" w:cs="Times New Roman"/>
          <w:i/>
        </w:rPr>
        <w:t>Social Behavior and Personality: An International Journal</w:t>
      </w:r>
      <w:r>
        <w:rPr>
          <w:rFonts w:ascii="Times New Roman" w:eastAsia="Times New Roman" w:hAnsi="Times New Roman" w:cs="Times New Roman"/>
        </w:rPr>
        <w:t xml:space="preserve">, </w:t>
      </w:r>
      <w:r>
        <w:rPr>
          <w:rFonts w:ascii="Times New Roman" w:eastAsia="Times New Roman" w:hAnsi="Times New Roman" w:cs="Times New Roman"/>
          <w:i/>
        </w:rPr>
        <w:t>35</w:t>
      </w:r>
      <w:r>
        <w:rPr>
          <w:rFonts w:ascii="Times New Roman" w:eastAsia="Times New Roman" w:hAnsi="Times New Roman" w:cs="Times New Roman"/>
        </w:rPr>
        <w:t>(5), 627–642.</w:t>
      </w:r>
      <w:hyperlink r:id="rId22">
        <w:r w:rsidR="00A003C6">
          <w:rPr>
            <w:rFonts w:ascii="Times New Roman" w:eastAsia="Times New Roman" w:hAnsi="Times New Roman" w:cs="Times New Roman"/>
          </w:rPr>
          <w:t xml:space="preserve"> </w:t>
        </w:r>
      </w:hyperlink>
      <w:hyperlink r:id="rId23">
        <w:r w:rsidR="00A003C6">
          <w:rPr>
            <w:rFonts w:ascii="Times New Roman" w:eastAsia="Times New Roman" w:hAnsi="Times New Roman" w:cs="Times New Roman"/>
            <w:color w:val="467886"/>
            <w:u w:val="single"/>
          </w:rPr>
          <w:t>https://doi.org/10.2224/sbp.2007.35.5.627</w:t>
        </w:r>
      </w:hyperlink>
    </w:p>
    <w:p w14:paraId="2BC12DB9"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Chen, C.-C., Lan, Y.-L., &amp; Yan, Y.-H. (2023). Empirical study on the factors influencing the successful aging of the middle-aged and older adult community volunteers. </w:t>
      </w:r>
      <w:r>
        <w:rPr>
          <w:rFonts w:ascii="Times New Roman" w:eastAsia="Times New Roman" w:hAnsi="Times New Roman" w:cs="Times New Roman"/>
          <w:i/>
        </w:rPr>
        <w:t>Frontiers in Public Health, 11,</w:t>
      </w:r>
      <w:r>
        <w:rPr>
          <w:rFonts w:ascii="Times New Roman" w:eastAsia="Times New Roman" w:hAnsi="Times New Roman" w:cs="Times New Roman"/>
        </w:rPr>
        <w:t xml:space="preserve"> 1140965.</w:t>
      </w:r>
      <w:hyperlink r:id="rId24">
        <w:r w:rsidR="00A003C6">
          <w:rPr>
            <w:rFonts w:ascii="Times New Roman" w:eastAsia="Times New Roman" w:hAnsi="Times New Roman" w:cs="Times New Roman"/>
          </w:rPr>
          <w:t xml:space="preserve"> </w:t>
        </w:r>
      </w:hyperlink>
      <w:hyperlink r:id="rId25">
        <w:r w:rsidR="00A003C6">
          <w:rPr>
            <w:rFonts w:ascii="Times New Roman" w:eastAsia="Times New Roman" w:hAnsi="Times New Roman" w:cs="Times New Roman"/>
            <w:color w:val="467886"/>
            <w:u w:val="single"/>
          </w:rPr>
          <w:t>https://doi.org/10.3389/fpubh.2023.1140965</w:t>
        </w:r>
      </w:hyperlink>
    </w:p>
    <w:p w14:paraId="2D03E90D"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City of Philadelphia. (2024). </w:t>
      </w:r>
      <w:r>
        <w:rPr>
          <w:rFonts w:ascii="Times New Roman" w:eastAsia="Times New Roman" w:hAnsi="Times New Roman" w:cs="Times New Roman"/>
          <w:i/>
        </w:rPr>
        <w:t>2024 Point-in-Time Count Summary Report</w:t>
      </w:r>
      <w:r>
        <w:rPr>
          <w:rFonts w:ascii="Times New Roman" w:eastAsia="Times New Roman" w:hAnsi="Times New Roman" w:cs="Times New Roman"/>
        </w:rPr>
        <w:t xml:space="preserve">. Office of Homeless Services. </w:t>
      </w:r>
      <w:hyperlink r:id="rId26">
        <w:r w:rsidR="00A003C6">
          <w:rPr>
            <w:rFonts w:ascii="Times New Roman" w:eastAsia="Times New Roman" w:hAnsi="Times New Roman" w:cs="Times New Roman"/>
            <w:color w:val="1155CC"/>
            <w:u w:val="single"/>
          </w:rPr>
          <w:t>https://www.phila.gov/media/20240923121315/OHS-PIT-Count-Summary-Report-2024.pdf</w:t>
        </w:r>
      </w:hyperlink>
    </w:p>
    <w:p w14:paraId="0A105F35"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Clary, E. G., Snyder, M., Ridge, R. D., Copeland, J., Stukas, A. A., Haugen, J., &amp; Miene, P. (1998). Understanding and assessing the motivations of volunteers: A functional approach. </w:t>
      </w:r>
      <w:r>
        <w:rPr>
          <w:rFonts w:ascii="Times New Roman" w:eastAsia="Times New Roman" w:hAnsi="Times New Roman" w:cs="Times New Roman"/>
          <w:i/>
        </w:rPr>
        <w:t>Journal of Personality and Social Psychology, 74</w:t>
      </w:r>
      <w:r>
        <w:rPr>
          <w:rFonts w:ascii="Times New Roman" w:eastAsia="Times New Roman" w:hAnsi="Times New Roman" w:cs="Times New Roman"/>
        </w:rPr>
        <w:t xml:space="preserve">(6), 1516–1530. </w:t>
      </w:r>
      <w:hyperlink r:id="rId27">
        <w:r w:rsidR="00A003C6">
          <w:rPr>
            <w:rFonts w:ascii="Times New Roman" w:eastAsia="Times New Roman" w:hAnsi="Times New Roman" w:cs="Times New Roman"/>
            <w:color w:val="0000FF"/>
            <w:u w:val="single"/>
          </w:rPr>
          <w:t>https://doi.org/10.1037/0022-3514.74.6.1516</w:t>
        </w:r>
      </w:hyperlink>
    </w:p>
    <w:p w14:paraId="312132AC"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Cooperrider, D. L. (2008). </w:t>
      </w:r>
      <w:r>
        <w:rPr>
          <w:rFonts w:ascii="Times New Roman" w:eastAsia="Times New Roman" w:hAnsi="Times New Roman" w:cs="Times New Roman"/>
          <w:i/>
        </w:rPr>
        <w:t>The appreciative inquiry handbook: For leaders of change</w:t>
      </w:r>
      <w:r>
        <w:rPr>
          <w:rFonts w:ascii="Times New Roman" w:eastAsia="Times New Roman" w:hAnsi="Times New Roman" w:cs="Times New Roman"/>
        </w:rPr>
        <w:t xml:space="preserve"> (2nd ed.). Berrett-Koehler Publishers. </w:t>
      </w:r>
      <w:hyperlink r:id="rId28">
        <w:r w:rsidR="00A003C6">
          <w:rPr>
            <w:rFonts w:ascii="Times New Roman" w:eastAsia="Times New Roman" w:hAnsi="Times New Roman" w:cs="Times New Roman"/>
            <w:color w:val="0000FF"/>
            <w:u w:val="single"/>
          </w:rPr>
          <w:t>https://www.bkconnection.com/static/Appreciative-Inquiry-EXCERPT.pdf</w:t>
        </w:r>
      </w:hyperlink>
    </w:p>
    <w:p w14:paraId="61A1AFB9"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Connors, T. D. (2012). </w:t>
      </w:r>
      <w:r>
        <w:rPr>
          <w:rFonts w:ascii="Times New Roman" w:eastAsia="Times New Roman" w:hAnsi="Times New Roman" w:cs="Times New Roman"/>
          <w:i/>
        </w:rPr>
        <w:t>The volunteer management handbook: Leadership strategies for success</w:t>
      </w:r>
      <w:r>
        <w:rPr>
          <w:rFonts w:ascii="Times New Roman" w:eastAsia="Times New Roman" w:hAnsi="Times New Roman" w:cs="Times New Roman"/>
        </w:rPr>
        <w:t xml:space="preserve"> (2nd ed.). Wiley.</w:t>
      </w:r>
    </w:p>
    <w:p w14:paraId="12DF31BD"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Cooperrider, D. L., &amp; Srivastva, S. (1987). Appreciative inquiry in organizational life. In W. A. Pasmore &amp; R. W. Woodman (Eds.), </w:t>
      </w:r>
      <w:r>
        <w:rPr>
          <w:rFonts w:ascii="Times New Roman" w:eastAsia="Times New Roman" w:hAnsi="Times New Roman" w:cs="Times New Roman"/>
          <w:i/>
        </w:rPr>
        <w:t>Research in organizational change and development</w:t>
      </w:r>
      <w:r>
        <w:rPr>
          <w:rFonts w:ascii="Times New Roman" w:eastAsia="Times New Roman" w:hAnsi="Times New Roman" w:cs="Times New Roman"/>
        </w:rPr>
        <w:t xml:space="preserve"> (Vol. 1, pp. 129–169). JAI Press.</w:t>
      </w:r>
    </w:p>
    <w:p w14:paraId="1783D7DC"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Cooperrider, D. L., Whitney, D. K., &amp; Stavros, J. M. (2008). </w:t>
      </w:r>
      <w:r>
        <w:rPr>
          <w:rFonts w:ascii="Times New Roman" w:eastAsia="Times New Roman" w:hAnsi="Times New Roman" w:cs="Times New Roman"/>
          <w:i/>
        </w:rPr>
        <w:t>Essentials of appreciative inquiry</w:t>
      </w:r>
      <w:r>
        <w:rPr>
          <w:rFonts w:ascii="Times New Roman" w:eastAsia="Times New Roman" w:hAnsi="Times New Roman" w:cs="Times New Roman"/>
        </w:rPr>
        <w:t xml:space="preserve"> (1st ed.). Crown Custom Publishing.</w:t>
      </w:r>
    </w:p>
    <w:p w14:paraId="37FCCF3D"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Creswell, J. W., &amp; Plano Clark, V. L. (2018). </w:t>
      </w:r>
      <w:r>
        <w:rPr>
          <w:rFonts w:ascii="Times New Roman" w:eastAsia="Times New Roman" w:hAnsi="Times New Roman" w:cs="Times New Roman"/>
          <w:i/>
        </w:rPr>
        <w:t>Designing and conducting mixed methods research</w:t>
      </w:r>
      <w:r>
        <w:rPr>
          <w:rFonts w:ascii="Times New Roman" w:eastAsia="Times New Roman" w:hAnsi="Times New Roman" w:cs="Times New Roman"/>
        </w:rPr>
        <w:t xml:space="preserve"> (3rd ed.). SAGE.</w:t>
      </w:r>
    </w:p>
    <w:p w14:paraId="78A73977" w14:textId="77777777" w:rsidR="00A003C6" w:rsidRDefault="00A003C6">
      <w:pPr>
        <w:spacing w:after="0" w:line="480" w:lineRule="auto"/>
        <w:ind w:left="720" w:hanging="720"/>
        <w:rPr>
          <w:rFonts w:ascii="Times New Roman" w:eastAsia="Times New Roman" w:hAnsi="Times New Roman" w:cs="Times New Roman"/>
        </w:rPr>
      </w:pPr>
    </w:p>
    <w:p w14:paraId="4254700F"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Culhane, D. P., &amp; An, S. (2022). Estimated revenue of the nonprofit homeless shelter industry in the United States: Implications for a more comprehensive approach to unmet shelter demand. </w:t>
      </w:r>
      <w:r>
        <w:rPr>
          <w:rFonts w:ascii="Times New Roman" w:eastAsia="Times New Roman" w:hAnsi="Times New Roman" w:cs="Times New Roman"/>
          <w:i/>
        </w:rPr>
        <w:t>Housing Policy Debate, 32</w:t>
      </w:r>
      <w:r>
        <w:rPr>
          <w:rFonts w:ascii="Times New Roman" w:eastAsia="Times New Roman" w:hAnsi="Times New Roman" w:cs="Times New Roman"/>
        </w:rPr>
        <w:t>(6), 823–836.</w:t>
      </w:r>
      <w:hyperlink r:id="rId29">
        <w:r w:rsidR="00A003C6">
          <w:rPr>
            <w:rFonts w:ascii="Times New Roman" w:eastAsia="Times New Roman" w:hAnsi="Times New Roman" w:cs="Times New Roman"/>
          </w:rPr>
          <w:t xml:space="preserve"> </w:t>
        </w:r>
      </w:hyperlink>
      <w:hyperlink r:id="rId30">
        <w:r w:rsidR="00A003C6">
          <w:rPr>
            <w:rFonts w:ascii="Times New Roman" w:eastAsia="Times New Roman" w:hAnsi="Times New Roman" w:cs="Times New Roman"/>
            <w:color w:val="467886"/>
            <w:u w:val="single"/>
          </w:rPr>
          <w:t>https://doi.org/10.1080/10511482.2021.1905024</w:t>
        </w:r>
      </w:hyperlink>
    </w:p>
    <w:p w14:paraId="3C5BC398"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Deci, E. L., &amp; Ryan, R. M. (2000). The “what” and “why” of goal pursuits: Human needs and the self-determination of behavior. </w:t>
      </w:r>
      <w:r>
        <w:rPr>
          <w:rFonts w:ascii="Times New Roman" w:eastAsia="Times New Roman" w:hAnsi="Times New Roman" w:cs="Times New Roman"/>
          <w:i/>
        </w:rPr>
        <w:t>Psychological Inquiry, 11</w:t>
      </w:r>
      <w:r>
        <w:rPr>
          <w:rFonts w:ascii="Times New Roman" w:eastAsia="Times New Roman" w:hAnsi="Times New Roman" w:cs="Times New Roman"/>
        </w:rPr>
        <w:t xml:space="preserve">(4), 227–268. </w:t>
      </w:r>
      <w:hyperlink r:id="rId31">
        <w:r w:rsidR="00A003C6">
          <w:rPr>
            <w:rFonts w:ascii="Times New Roman" w:eastAsia="Times New Roman" w:hAnsi="Times New Roman" w:cs="Times New Roman"/>
            <w:color w:val="0000FF"/>
            <w:u w:val="single"/>
          </w:rPr>
          <w:t>https://doi.org/10.1207/S15327965PLI1104_01</w:t>
        </w:r>
      </w:hyperlink>
    </w:p>
    <w:p w14:paraId="276B7763"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deSousa, T., &amp; Henry, M. (2024). </w:t>
      </w:r>
      <w:r>
        <w:rPr>
          <w:rFonts w:ascii="Times New Roman" w:eastAsia="Times New Roman" w:hAnsi="Times New Roman" w:cs="Times New Roman"/>
          <w:i/>
        </w:rPr>
        <w:t>2024 Annual Homelessness Assessment Report</w:t>
      </w:r>
      <w:r>
        <w:rPr>
          <w:rFonts w:ascii="Times New Roman" w:eastAsia="Times New Roman" w:hAnsi="Times New Roman" w:cs="Times New Roman"/>
        </w:rPr>
        <w:t xml:space="preserve"> (p. 117). The U.S. Department of Housing and Urban Development Office of Community Planning and Development.</w:t>
      </w:r>
      <w:hyperlink r:id="rId32">
        <w:r w:rsidR="00A003C6">
          <w:rPr>
            <w:rFonts w:ascii="Times New Roman" w:eastAsia="Times New Roman" w:hAnsi="Times New Roman" w:cs="Times New Roman"/>
          </w:rPr>
          <w:t xml:space="preserve"> </w:t>
        </w:r>
      </w:hyperlink>
      <w:hyperlink r:id="rId33">
        <w:r w:rsidR="00A003C6">
          <w:rPr>
            <w:rFonts w:ascii="Times New Roman" w:eastAsia="Times New Roman" w:hAnsi="Times New Roman" w:cs="Times New Roman"/>
            <w:color w:val="467886"/>
            <w:u w:val="single"/>
          </w:rPr>
          <w:t>https://www.huduser.gov/portal/sites/default/files/pdf/2024-AHAR-Part-1.pdf</w:t>
        </w:r>
      </w:hyperlink>
    </w:p>
    <w:p w14:paraId="60CFCA49"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Durlak, J. A., &amp; DuPre, E. P. (2008). Implementation matters: A review of research on the influence of implementation on program outcomes and the factors affecting implementation. </w:t>
      </w:r>
      <w:r>
        <w:rPr>
          <w:rFonts w:ascii="Times New Roman" w:eastAsia="Times New Roman" w:hAnsi="Times New Roman" w:cs="Times New Roman"/>
          <w:i/>
        </w:rPr>
        <w:t>American Journal of Community Psychology, 41</w:t>
      </w:r>
      <w:r>
        <w:rPr>
          <w:rFonts w:ascii="Times New Roman" w:eastAsia="Times New Roman" w:hAnsi="Times New Roman" w:cs="Times New Roman"/>
        </w:rPr>
        <w:t xml:space="preserve">(3–4), 327–350. </w:t>
      </w:r>
      <w:hyperlink r:id="rId34">
        <w:r w:rsidR="00A003C6">
          <w:rPr>
            <w:rFonts w:ascii="Times New Roman" w:eastAsia="Times New Roman" w:hAnsi="Times New Roman" w:cs="Times New Roman"/>
            <w:color w:val="0000FF"/>
            <w:u w:val="single"/>
          </w:rPr>
          <w:t>https://doi.org/10.1007/s10464-008-9165-0</w:t>
        </w:r>
      </w:hyperlink>
    </w:p>
    <w:p w14:paraId="1E902AA3"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Dutton, J. E. (2003). </w:t>
      </w:r>
      <w:r>
        <w:rPr>
          <w:rFonts w:ascii="Times New Roman" w:eastAsia="Times New Roman" w:hAnsi="Times New Roman" w:cs="Times New Roman"/>
          <w:i/>
        </w:rPr>
        <w:t>Energize your workplace: How to create and sustain high-quality connections at work</w:t>
      </w:r>
      <w:r>
        <w:rPr>
          <w:rFonts w:ascii="Times New Roman" w:eastAsia="Times New Roman" w:hAnsi="Times New Roman" w:cs="Times New Roman"/>
        </w:rPr>
        <w:t xml:space="preserve"> (1st ed.). Jossey-Bass.</w:t>
      </w:r>
    </w:p>
    <w:p w14:paraId="4217C9A0" w14:textId="694645C8" w:rsidR="00A003C6" w:rsidRDefault="00AD7092" w:rsidP="001C30F9">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Dutton, J. E. (2017). Let’s bet on high-quality connecting as a path for fostering well-being at work. In M. A. White, G. R. Slemp, &amp; A. S. Murray (Eds.), </w:t>
      </w:r>
      <w:r>
        <w:rPr>
          <w:rFonts w:ascii="Times New Roman" w:eastAsia="Times New Roman" w:hAnsi="Times New Roman" w:cs="Times New Roman"/>
          <w:i/>
        </w:rPr>
        <w:t>Future directions in well-being</w:t>
      </w:r>
      <w:r>
        <w:rPr>
          <w:rFonts w:ascii="Times New Roman" w:eastAsia="Times New Roman" w:hAnsi="Times New Roman" w:cs="Times New Roman"/>
        </w:rPr>
        <w:t xml:space="preserve"> (pp. 111–115). Springer International Publishing. </w:t>
      </w:r>
      <w:hyperlink r:id="rId35">
        <w:r w:rsidR="00A003C6">
          <w:rPr>
            <w:rFonts w:ascii="Times New Roman" w:eastAsia="Times New Roman" w:hAnsi="Times New Roman" w:cs="Times New Roman"/>
            <w:color w:val="0000FF"/>
            <w:u w:val="single"/>
          </w:rPr>
          <w:t>https://doi.org/10.1007/978-3-319-56889-8_20</w:t>
        </w:r>
      </w:hyperlink>
    </w:p>
    <w:p w14:paraId="259EC4BC"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Dutton, J. E., &amp; Spreitzer, G. M. (Eds.). (2014). </w:t>
      </w:r>
      <w:r>
        <w:rPr>
          <w:rFonts w:ascii="Times New Roman" w:eastAsia="Times New Roman" w:hAnsi="Times New Roman" w:cs="Times New Roman"/>
          <w:i/>
        </w:rPr>
        <w:t>How to be a positive leader: Small actions, big impact</w:t>
      </w:r>
      <w:r>
        <w:rPr>
          <w:rFonts w:ascii="Times New Roman" w:eastAsia="Times New Roman" w:hAnsi="Times New Roman" w:cs="Times New Roman"/>
        </w:rPr>
        <w:t xml:space="preserve"> (1st ed.). Berrett-Koehler Publishers.</w:t>
      </w:r>
    </w:p>
    <w:p w14:paraId="56EE3052"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Dutton, J. E., Heaphy, E., &amp; Stephens, J. P. (2011). High-quality connections. In </w:t>
      </w:r>
      <w:r>
        <w:rPr>
          <w:rFonts w:ascii="Times New Roman" w:eastAsia="Times New Roman" w:hAnsi="Times New Roman" w:cs="Times New Roman"/>
          <w:i/>
        </w:rPr>
        <w:t>The Oxford handbook of positive organizational scholarship</w:t>
      </w:r>
      <w:r>
        <w:rPr>
          <w:rFonts w:ascii="Times New Roman" w:eastAsia="Times New Roman" w:hAnsi="Times New Roman" w:cs="Times New Roman"/>
        </w:rPr>
        <w:t xml:space="preserve"> (pp. 385–399). Oxford University Press. </w:t>
      </w:r>
      <w:hyperlink r:id="rId36">
        <w:r w:rsidR="00A003C6">
          <w:rPr>
            <w:rFonts w:ascii="Times New Roman" w:eastAsia="Times New Roman" w:hAnsi="Times New Roman" w:cs="Times New Roman"/>
            <w:color w:val="0000FF"/>
            <w:u w:val="single"/>
          </w:rPr>
          <w:t>https://doi.org/10.1093/oxfordhb/9780199734610.013.0029</w:t>
        </w:r>
      </w:hyperlink>
    </w:p>
    <w:p w14:paraId="0AC09355" w14:textId="77777777" w:rsidR="00A003C6" w:rsidRDefault="00AD7092">
      <w:pPr>
        <w:spacing w:after="0" w:line="480" w:lineRule="auto"/>
        <w:ind w:left="720" w:hanging="720"/>
        <w:rPr>
          <w:rFonts w:ascii="Times New Roman" w:eastAsia="Times New Roman" w:hAnsi="Times New Roman" w:cs="Times New Roman"/>
          <w:i/>
        </w:rPr>
      </w:pPr>
      <w:r>
        <w:rPr>
          <w:rFonts w:ascii="Times New Roman" w:eastAsia="Times New Roman" w:hAnsi="Times New Roman" w:cs="Times New Roman"/>
        </w:rPr>
        <w:t xml:space="preserve">Dutton, J., &amp; Worline, M. (2023, October 24). Four ways to create high-quality connections at work. </w:t>
      </w:r>
      <w:r>
        <w:rPr>
          <w:rFonts w:ascii="Times New Roman" w:eastAsia="Times New Roman" w:hAnsi="Times New Roman" w:cs="Times New Roman"/>
          <w:i/>
        </w:rPr>
        <w:t>Greater Good Science Center.</w:t>
      </w:r>
    </w:p>
    <w:p w14:paraId="18E0D9AE"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Edmondson, A. (1999). Psychological safety and learning behavior in work teams. </w:t>
      </w:r>
      <w:r>
        <w:rPr>
          <w:rFonts w:ascii="Times New Roman" w:eastAsia="Times New Roman" w:hAnsi="Times New Roman" w:cs="Times New Roman"/>
          <w:i/>
        </w:rPr>
        <w:t>Administrative Science Quarterly</w:t>
      </w:r>
      <w:r>
        <w:rPr>
          <w:rFonts w:ascii="Times New Roman" w:eastAsia="Times New Roman" w:hAnsi="Times New Roman" w:cs="Times New Roman"/>
        </w:rPr>
        <w:t xml:space="preserve">, </w:t>
      </w:r>
      <w:r>
        <w:rPr>
          <w:rFonts w:ascii="Times New Roman" w:eastAsia="Times New Roman" w:hAnsi="Times New Roman" w:cs="Times New Roman"/>
          <w:i/>
        </w:rPr>
        <w:t>44</w:t>
      </w:r>
      <w:r>
        <w:rPr>
          <w:rFonts w:ascii="Times New Roman" w:eastAsia="Times New Roman" w:hAnsi="Times New Roman" w:cs="Times New Roman"/>
        </w:rPr>
        <w:t>(2), 350–383. https://doi.org/10.2307/2666999</w:t>
      </w:r>
    </w:p>
    <w:p w14:paraId="050BABBA"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Emmons, R. A. (2007). </w:t>
      </w:r>
      <w:r>
        <w:rPr>
          <w:rFonts w:ascii="Times New Roman" w:eastAsia="Times New Roman" w:hAnsi="Times New Roman" w:cs="Times New Roman"/>
          <w:i/>
        </w:rPr>
        <w:t>Thanks! How practicing gratitude can make you happier</w:t>
      </w:r>
      <w:r>
        <w:rPr>
          <w:rFonts w:ascii="Times New Roman" w:eastAsia="Times New Roman" w:hAnsi="Times New Roman" w:cs="Times New Roman"/>
        </w:rPr>
        <w:t>. HarperOne.</w:t>
      </w:r>
    </w:p>
    <w:p w14:paraId="2BC7A4EF" w14:textId="77777777" w:rsidR="00A003C6" w:rsidRDefault="00AD7092">
      <w:pPr>
        <w:spacing w:line="523" w:lineRule="auto"/>
        <w:rPr>
          <w:rFonts w:ascii="Times New Roman" w:eastAsia="Times New Roman" w:hAnsi="Times New Roman" w:cs="Times New Roman"/>
          <w:color w:val="0000FF"/>
          <w:u w:val="single"/>
        </w:rPr>
      </w:pPr>
      <w:r>
        <w:rPr>
          <w:rFonts w:ascii="Times New Roman" w:eastAsia="Times New Roman" w:hAnsi="Times New Roman" w:cs="Times New Roman"/>
        </w:rPr>
        <w:t xml:space="preserve">Face to Face. (2023). </w:t>
      </w:r>
      <w:r>
        <w:rPr>
          <w:rFonts w:ascii="Times New Roman" w:eastAsia="Times New Roman" w:hAnsi="Times New Roman" w:cs="Times New Roman"/>
          <w:i/>
        </w:rPr>
        <w:t>Mission and programs.</w:t>
      </w:r>
      <w:hyperlink r:id="rId37">
        <w:r w:rsidR="00A003C6">
          <w:rPr>
            <w:rFonts w:ascii="Times New Roman" w:eastAsia="Times New Roman" w:hAnsi="Times New Roman" w:cs="Times New Roman"/>
          </w:rPr>
          <w:t xml:space="preserve"> </w:t>
        </w:r>
      </w:hyperlink>
      <w:hyperlink r:id="rId38">
        <w:r w:rsidR="00A003C6">
          <w:rPr>
            <w:rFonts w:ascii="Times New Roman" w:eastAsia="Times New Roman" w:hAnsi="Times New Roman" w:cs="Times New Roman"/>
            <w:color w:val="0000FF"/>
            <w:u w:val="single"/>
          </w:rPr>
          <w:t>https://facetofacegermantown.org/mission</w:t>
        </w:r>
      </w:hyperlink>
    </w:p>
    <w:p w14:paraId="250F3EAA" w14:textId="77777777" w:rsidR="00A003C6" w:rsidRDefault="00AD7092">
      <w:pPr>
        <w:spacing w:line="523"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Face to Face. (2023). </w:t>
      </w:r>
      <w:r>
        <w:rPr>
          <w:rFonts w:ascii="Times New Roman" w:eastAsia="Times New Roman" w:hAnsi="Times New Roman" w:cs="Times New Roman"/>
          <w:i/>
        </w:rPr>
        <w:t>The trauma of poverty: Face to Face volunteer workshop</w:t>
      </w:r>
      <w:r>
        <w:rPr>
          <w:rFonts w:ascii="Times New Roman" w:eastAsia="Times New Roman" w:hAnsi="Times New Roman" w:cs="Times New Roman"/>
        </w:rPr>
        <w:t xml:space="preserve"> [Volunteer workshop].</w:t>
      </w:r>
    </w:p>
    <w:p w14:paraId="54E3D16E" w14:textId="77777777" w:rsidR="00A003C6" w:rsidRDefault="00AD7092">
      <w:pPr>
        <w:spacing w:line="523" w:lineRule="auto"/>
        <w:rPr>
          <w:rFonts w:ascii="Times New Roman" w:eastAsia="Times New Roman" w:hAnsi="Times New Roman" w:cs="Times New Roman"/>
          <w:color w:val="467886"/>
          <w:u w:val="single"/>
        </w:rPr>
      </w:pPr>
      <w:r>
        <w:rPr>
          <w:rFonts w:ascii="Times New Roman" w:eastAsia="Times New Roman" w:hAnsi="Times New Roman" w:cs="Times New Roman"/>
        </w:rPr>
        <w:t xml:space="preserve">Face to Face. (2025). </w:t>
      </w:r>
      <w:r>
        <w:rPr>
          <w:rFonts w:ascii="Times New Roman" w:eastAsia="Times New Roman" w:hAnsi="Times New Roman" w:cs="Times New Roman"/>
          <w:i/>
        </w:rPr>
        <w:t>Face to Face Germantown.</w:t>
      </w:r>
      <w:hyperlink r:id="rId39">
        <w:r w:rsidR="00A003C6">
          <w:rPr>
            <w:rFonts w:ascii="Times New Roman" w:eastAsia="Times New Roman" w:hAnsi="Times New Roman" w:cs="Times New Roman"/>
          </w:rPr>
          <w:t xml:space="preserve"> </w:t>
        </w:r>
      </w:hyperlink>
      <w:hyperlink r:id="rId40">
        <w:r w:rsidR="00A003C6">
          <w:rPr>
            <w:rFonts w:ascii="Times New Roman" w:eastAsia="Times New Roman" w:hAnsi="Times New Roman" w:cs="Times New Roman"/>
            <w:color w:val="467886"/>
            <w:u w:val="single"/>
          </w:rPr>
          <w:t>https://facetofacegermantown.org/</w:t>
        </w:r>
      </w:hyperlink>
    </w:p>
    <w:p w14:paraId="42E6425A" w14:textId="77777777" w:rsidR="00A003C6" w:rsidRDefault="00AD7092">
      <w:pPr>
        <w:spacing w:after="0" w:line="480" w:lineRule="auto"/>
        <w:rPr>
          <w:rFonts w:ascii="Times New Roman" w:eastAsia="Times New Roman" w:hAnsi="Times New Roman" w:cs="Times New Roman"/>
        </w:rPr>
      </w:pPr>
      <w:r>
        <w:rPr>
          <w:rFonts w:ascii="Times New Roman" w:eastAsia="Times New Roman" w:hAnsi="Times New Roman" w:cs="Times New Roman"/>
        </w:rPr>
        <w:t xml:space="preserve">Face to Face. (2025). </w:t>
      </w:r>
      <w:r>
        <w:rPr>
          <w:rFonts w:ascii="Times New Roman" w:eastAsia="Times New Roman" w:hAnsi="Times New Roman" w:cs="Times New Roman"/>
          <w:i/>
        </w:rPr>
        <w:t>Volunteer engagement data and annual report.</w:t>
      </w:r>
      <w:r>
        <w:rPr>
          <w:rFonts w:ascii="Times New Roman" w:eastAsia="Times New Roman" w:hAnsi="Times New Roman" w:cs="Times New Roman"/>
        </w:rPr>
        <w:t xml:space="preserve"> Internal report.</w:t>
      </w:r>
    </w:p>
    <w:p w14:paraId="2009D064" w14:textId="06EA658B" w:rsidR="00A003C6" w:rsidRDefault="00AD7092" w:rsidP="001C30F9">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Febriani, D. M., &amp; Selamet, J. (2020). College students’ intention to volunteer for non-profit organizations: Does brand image make a difference? </w:t>
      </w:r>
      <w:r>
        <w:rPr>
          <w:rFonts w:ascii="Times New Roman" w:eastAsia="Times New Roman" w:hAnsi="Times New Roman" w:cs="Times New Roman"/>
          <w:i/>
        </w:rPr>
        <w:t>Journal of Nonprofit &amp; Public Sector Marketing, 32</w:t>
      </w:r>
      <w:r>
        <w:rPr>
          <w:rFonts w:ascii="Times New Roman" w:eastAsia="Times New Roman" w:hAnsi="Times New Roman" w:cs="Times New Roman"/>
        </w:rPr>
        <w:t>(2), 166–188.</w:t>
      </w:r>
      <w:hyperlink r:id="rId41">
        <w:r w:rsidR="00A003C6">
          <w:rPr>
            <w:rFonts w:ascii="Times New Roman" w:eastAsia="Times New Roman" w:hAnsi="Times New Roman" w:cs="Times New Roman"/>
          </w:rPr>
          <w:t xml:space="preserve"> </w:t>
        </w:r>
      </w:hyperlink>
      <w:hyperlink r:id="rId42">
        <w:r w:rsidR="00A003C6">
          <w:rPr>
            <w:rFonts w:ascii="Times New Roman" w:eastAsia="Times New Roman" w:hAnsi="Times New Roman" w:cs="Times New Roman"/>
            <w:color w:val="467886"/>
            <w:u w:val="single"/>
          </w:rPr>
          <w:t>https://doi.org/10.1080/10495142.2019.1656136</w:t>
        </w:r>
      </w:hyperlink>
    </w:p>
    <w:p w14:paraId="338C46D9"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Fernandes, T., &amp; Matos, M. A. D. (2023). Towards a better understanding of volunteer engagement: Self-determined motivations, self-expression needs and co-creation outcomes. </w:t>
      </w:r>
      <w:r>
        <w:rPr>
          <w:rFonts w:ascii="Times New Roman" w:eastAsia="Times New Roman" w:hAnsi="Times New Roman" w:cs="Times New Roman"/>
          <w:i/>
        </w:rPr>
        <w:t>Journal of Service Theory and Practice, 33</w:t>
      </w:r>
      <w:r>
        <w:rPr>
          <w:rFonts w:ascii="Times New Roman" w:eastAsia="Times New Roman" w:hAnsi="Times New Roman" w:cs="Times New Roman"/>
        </w:rPr>
        <w:t>(7), 1–27.</w:t>
      </w:r>
      <w:hyperlink r:id="rId43">
        <w:r w:rsidR="00A003C6">
          <w:rPr>
            <w:rFonts w:ascii="Times New Roman" w:eastAsia="Times New Roman" w:hAnsi="Times New Roman" w:cs="Times New Roman"/>
          </w:rPr>
          <w:t xml:space="preserve"> </w:t>
        </w:r>
      </w:hyperlink>
      <w:hyperlink r:id="rId44">
        <w:r w:rsidR="00A003C6">
          <w:rPr>
            <w:rFonts w:ascii="Times New Roman" w:eastAsia="Times New Roman" w:hAnsi="Times New Roman" w:cs="Times New Roman"/>
            <w:color w:val="467886"/>
            <w:u w:val="single"/>
          </w:rPr>
          <w:t>https://doi.org/10.1108/JSTP-09-2022-0215</w:t>
        </w:r>
      </w:hyperlink>
    </w:p>
    <w:p w14:paraId="2786C75A"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Fredrickson, B. L. (2000). Extracting meaning from past affective experiences: The importance of peaks, ends, and specific emotions. </w:t>
      </w:r>
      <w:r>
        <w:rPr>
          <w:rFonts w:ascii="Times New Roman" w:eastAsia="Times New Roman" w:hAnsi="Times New Roman" w:cs="Times New Roman"/>
          <w:i/>
        </w:rPr>
        <w:t>Cognition &amp; Emotion, 14</w:t>
      </w:r>
      <w:r>
        <w:rPr>
          <w:rFonts w:ascii="Times New Roman" w:eastAsia="Times New Roman" w:hAnsi="Times New Roman" w:cs="Times New Roman"/>
        </w:rPr>
        <w:t>(4), 577–606.</w:t>
      </w:r>
      <w:hyperlink r:id="rId45">
        <w:r w:rsidR="00A003C6">
          <w:rPr>
            <w:rFonts w:ascii="Times New Roman" w:eastAsia="Times New Roman" w:hAnsi="Times New Roman" w:cs="Times New Roman"/>
          </w:rPr>
          <w:t xml:space="preserve"> </w:t>
        </w:r>
      </w:hyperlink>
      <w:hyperlink r:id="rId46">
        <w:r w:rsidR="00A003C6">
          <w:rPr>
            <w:rFonts w:ascii="Times New Roman" w:eastAsia="Times New Roman" w:hAnsi="Times New Roman" w:cs="Times New Roman"/>
            <w:color w:val="467886"/>
            <w:u w:val="single"/>
          </w:rPr>
          <w:t>https://doi.org/10.1080/026999300402808</w:t>
        </w:r>
      </w:hyperlink>
    </w:p>
    <w:p w14:paraId="789A9D56"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Gaber, J., Clark, R. E., Lamarche, L., Datta, J., Talat, S., Bomze, S., Marentette‐Brown, S., Parascandalo, F., Di Pelino, S., Oliver, D., Price, D., Geoffrion, L., &amp; Mangin, D. (2022). Understanding volunteer retention in a complex, community‐centered intervention: A mixed methods study in Ontario, Canada. </w:t>
      </w:r>
      <w:r>
        <w:rPr>
          <w:rFonts w:ascii="Times New Roman" w:eastAsia="Times New Roman" w:hAnsi="Times New Roman" w:cs="Times New Roman"/>
          <w:i/>
        </w:rPr>
        <w:t>Health &amp; Social Care in the Community, 30</w:t>
      </w:r>
      <w:r>
        <w:rPr>
          <w:rFonts w:ascii="Times New Roman" w:eastAsia="Times New Roman" w:hAnsi="Times New Roman" w:cs="Times New Roman"/>
        </w:rPr>
        <w:t>(6), 2259–2269.</w:t>
      </w:r>
      <w:hyperlink r:id="rId47">
        <w:r w:rsidR="00A003C6">
          <w:rPr>
            <w:rFonts w:ascii="Times New Roman" w:eastAsia="Times New Roman" w:hAnsi="Times New Roman" w:cs="Times New Roman"/>
          </w:rPr>
          <w:t xml:space="preserve"> </w:t>
        </w:r>
      </w:hyperlink>
      <w:hyperlink r:id="rId48">
        <w:r w:rsidR="00A003C6">
          <w:rPr>
            <w:rFonts w:ascii="Times New Roman" w:eastAsia="Times New Roman" w:hAnsi="Times New Roman" w:cs="Times New Roman"/>
            <w:color w:val="467886"/>
            <w:u w:val="single"/>
          </w:rPr>
          <w:t>https://doi.org/10.1111/hsc.13775</w:t>
        </w:r>
      </w:hyperlink>
    </w:p>
    <w:p w14:paraId="5E92DDAF"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Garner, J. T., &amp; Garner, L. T. (2011). Volunteering an opinion: Organizational voice and volunteer retention in nonprofit organizations. </w:t>
      </w:r>
      <w:r>
        <w:rPr>
          <w:rFonts w:ascii="Times New Roman" w:eastAsia="Times New Roman" w:hAnsi="Times New Roman" w:cs="Times New Roman"/>
          <w:i/>
        </w:rPr>
        <w:t>Nonprofit and Voluntary Sector Quarterly</w:t>
      </w:r>
      <w:r>
        <w:rPr>
          <w:rFonts w:ascii="Times New Roman" w:eastAsia="Times New Roman" w:hAnsi="Times New Roman" w:cs="Times New Roman"/>
        </w:rPr>
        <w:t xml:space="preserve">, </w:t>
      </w:r>
      <w:r>
        <w:rPr>
          <w:rFonts w:ascii="Times New Roman" w:eastAsia="Times New Roman" w:hAnsi="Times New Roman" w:cs="Times New Roman"/>
          <w:i/>
        </w:rPr>
        <w:t>40</w:t>
      </w:r>
      <w:r>
        <w:rPr>
          <w:rFonts w:ascii="Times New Roman" w:eastAsia="Times New Roman" w:hAnsi="Times New Roman" w:cs="Times New Roman"/>
        </w:rPr>
        <w:t>(5), 813–828.</w:t>
      </w:r>
      <w:hyperlink r:id="rId49">
        <w:r w:rsidR="00A003C6">
          <w:rPr>
            <w:rFonts w:ascii="Times New Roman" w:eastAsia="Times New Roman" w:hAnsi="Times New Roman" w:cs="Times New Roman"/>
          </w:rPr>
          <w:t xml:space="preserve"> </w:t>
        </w:r>
      </w:hyperlink>
      <w:hyperlink r:id="rId50">
        <w:r w:rsidR="00A003C6">
          <w:rPr>
            <w:rFonts w:ascii="Times New Roman" w:eastAsia="Times New Roman" w:hAnsi="Times New Roman" w:cs="Times New Roman"/>
            <w:color w:val="467886"/>
            <w:u w:val="single"/>
          </w:rPr>
          <w:t>https://doi.org/10.1177/0899764010366181</w:t>
        </w:r>
      </w:hyperlink>
    </w:p>
    <w:p w14:paraId="434F5C90"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Hager, M. A., &amp; Brudney, J. L. (2004). </w:t>
      </w:r>
      <w:r>
        <w:rPr>
          <w:rFonts w:ascii="Times New Roman" w:eastAsia="Times New Roman" w:hAnsi="Times New Roman" w:cs="Times New Roman"/>
          <w:i/>
        </w:rPr>
        <w:t>Volunteer management practices and retention of volunteers.</w:t>
      </w:r>
      <w:r>
        <w:rPr>
          <w:rFonts w:ascii="Times New Roman" w:eastAsia="Times New Roman" w:hAnsi="Times New Roman" w:cs="Times New Roman"/>
        </w:rPr>
        <w:t xml:space="preserve"> The Urban Institute. </w:t>
      </w:r>
      <w:hyperlink r:id="rId51">
        <w:r w:rsidR="00A003C6">
          <w:rPr>
            <w:rFonts w:ascii="Times New Roman" w:eastAsia="Times New Roman" w:hAnsi="Times New Roman" w:cs="Times New Roman"/>
            <w:color w:val="1155CC"/>
            <w:u w:val="single"/>
          </w:rPr>
          <w:t>https://www.urban.org/research/publication/volunteer-management-practices-and-retention-volunteers</w:t>
        </w:r>
      </w:hyperlink>
    </w:p>
    <w:p w14:paraId="280131E2" w14:textId="646E0B97" w:rsidR="00A003C6" w:rsidRDefault="00AD7092" w:rsidP="001C30F9">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Harp, E. R., Scherer, L. L., &amp; Allen, J. A. (2017). Volunteer engagement and retention: Their relationship to community service self-efficacy. </w:t>
      </w:r>
      <w:r>
        <w:rPr>
          <w:rFonts w:ascii="Times New Roman" w:eastAsia="Times New Roman" w:hAnsi="Times New Roman" w:cs="Times New Roman"/>
          <w:i/>
        </w:rPr>
        <w:t>Nonprofit and Voluntary Sector Quarterly, 46</w:t>
      </w:r>
      <w:r>
        <w:rPr>
          <w:rFonts w:ascii="Times New Roman" w:eastAsia="Times New Roman" w:hAnsi="Times New Roman" w:cs="Times New Roman"/>
        </w:rPr>
        <w:t xml:space="preserve">(2), 442–458. </w:t>
      </w:r>
      <w:hyperlink r:id="rId52">
        <w:r w:rsidR="00A003C6">
          <w:rPr>
            <w:rFonts w:ascii="Times New Roman" w:eastAsia="Times New Roman" w:hAnsi="Times New Roman" w:cs="Times New Roman"/>
            <w:color w:val="0000FF"/>
            <w:u w:val="single"/>
          </w:rPr>
          <w:t>https://doi.org/10.1177/0899764016651335</w:t>
        </w:r>
      </w:hyperlink>
    </w:p>
    <w:p w14:paraId="50E37A13"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Hinz, J., Stephens, J. P., &amp; Van Oosten, E. B. (2022). Toward a pedagogy of connection: A critical view of being relational in listening. </w:t>
      </w:r>
      <w:r>
        <w:rPr>
          <w:rFonts w:ascii="Times New Roman" w:eastAsia="Times New Roman" w:hAnsi="Times New Roman" w:cs="Times New Roman"/>
          <w:i/>
        </w:rPr>
        <w:t>Management Learning, 53</w:t>
      </w:r>
      <w:r>
        <w:rPr>
          <w:rFonts w:ascii="Times New Roman" w:eastAsia="Times New Roman" w:hAnsi="Times New Roman" w:cs="Times New Roman"/>
        </w:rPr>
        <w:t xml:space="preserve">(1), 76–97. </w:t>
      </w:r>
      <w:hyperlink r:id="rId53">
        <w:r w:rsidR="00A003C6">
          <w:rPr>
            <w:rFonts w:ascii="Times New Roman" w:eastAsia="Times New Roman" w:hAnsi="Times New Roman" w:cs="Times New Roman"/>
            <w:color w:val="0000FF"/>
            <w:u w:val="single"/>
          </w:rPr>
          <w:t>https://doi.org/10.1177/13505076211047506</w:t>
        </w:r>
      </w:hyperlink>
    </w:p>
    <w:p w14:paraId="41CF15FA"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Homeless No More. (2024). </w:t>
      </w:r>
      <w:r>
        <w:rPr>
          <w:rFonts w:ascii="Times New Roman" w:eastAsia="Times New Roman" w:hAnsi="Times New Roman" w:cs="Times New Roman"/>
          <w:i/>
        </w:rPr>
        <w:t>Homelessness in Philadelphia: 2024 key statistics, causes, and solutions</w:t>
      </w:r>
      <w:r>
        <w:rPr>
          <w:rFonts w:ascii="Times New Roman" w:eastAsia="Times New Roman" w:hAnsi="Times New Roman" w:cs="Times New Roman"/>
        </w:rPr>
        <w:t xml:space="preserve">. </w:t>
      </w:r>
      <w:hyperlink r:id="rId54">
        <w:r w:rsidR="00A003C6">
          <w:rPr>
            <w:rFonts w:ascii="Times New Roman" w:eastAsia="Times New Roman" w:hAnsi="Times New Roman" w:cs="Times New Roman"/>
            <w:color w:val="1155CC"/>
            <w:u w:val="single"/>
          </w:rPr>
          <w:t>https://homelessnomore.com/homelessness-in-philadelphia-2024-key-statistics-causes-and-solutions</w:t>
        </w:r>
      </w:hyperlink>
    </w:p>
    <w:p w14:paraId="408AE0F3"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Ilyas, S., Butt, M., Ashfaq, F., &amp; Acquadro Maran, D. (2020). Drivers for non-profits’ success: Volunteer engagement and financial sustainability practices through the resource dependence theory. </w:t>
      </w:r>
      <w:r>
        <w:rPr>
          <w:rFonts w:ascii="Times New Roman" w:eastAsia="Times New Roman" w:hAnsi="Times New Roman" w:cs="Times New Roman"/>
          <w:i/>
        </w:rPr>
        <w:t>Economies, 8</w:t>
      </w:r>
      <w:r>
        <w:rPr>
          <w:rFonts w:ascii="Times New Roman" w:eastAsia="Times New Roman" w:hAnsi="Times New Roman" w:cs="Times New Roman"/>
        </w:rPr>
        <w:t xml:space="preserve">(4), 101. </w:t>
      </w:r>
      <w:hyperlink r:id="rId55">
        <w:r w:rsidR="00A003C6">
          <w:rPr>
            <w:rFonts w:ascii="Times New Roman" w:eastAsia="Times New Roman" w:hAnsi="Times New Roman" w:cs="Times New Roman"/>
            <w:color w:val="0000FF"/>
            <w:u w:val="single"/>
          </w:rPr>
          <w:t>https://doi.org/10.3390/economies8040101</w:t>
        </w:r>
      </w:hyperlink>
    </w:p>
    <w:p w14:paraId="2AE4AEE8"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Jung, A. (2015). Interpersonal and societal mattering in work: A review and critique. </w:t>
      </w:r>
      <w:r>
        <w:rPr>
          <w:rFonts w:ascii="Times New Roman" w:eastAsia="Times New Roman" w:hAnsi="Times New Roman" w:cs="Times New Roman"/>
          <w:i/>
        </w:rPr>
        <w:t>The Career Development Quarterly, 63</w:t>
      </w:r>
      <w:r>
        <w:rPr>
          <w:rFonts w:ascii="Times New Roman" w:eastAsia="Times New Roman" w:hAnsi="Times New Roman" w:cs="Times New Roman"/>
        </w:rPr>
        <w:t>(3), 194–208.</w:t>
      </w:r>
      <w:hyperlink r:id="rId56">
        <w:r w:rsidR="00A003C6">
          <w:rPr>
            <w:rFonts w:ascii="Times New Roman" w:eastAsia="Times New Roman" w:hAnsi="Times New Roman" w:cs="Times New Roman"/>
          </w:rPr>
          <w:t xml:space="preserve"> </w:t>
        </w:r>
      </w:hyperlink>
      <w:hyperlink r:id="rId57">
        <w:r w:rsidR="00A003C6">
          <w:rPr>
            <w:rFonts w:ascii="Times New Roman" w:eastAsia="Times New Roman" w:hAnsi="Times New Roman" w:cs="Times New Roman"/>
            <w:color w:val="467886"/>
            <w:u w:val="single"/>
          </w:rPr>
          <w:t>https://doi.org/10.1002/cdq.12013</w:t>
        </w:r>
      </w:hyperlink>
    </w:p>
    <w:p w14:paraId="2216D1F3"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Kaur, V. (2020). </w:t>
      </w:r>
      <w:r>
        <w:rPr>
          <w:rFonts w:ascii="Times New Roman" w:eastAsia="Times New Roman" w:hAnsi="Times New Roman" w:cs="Times New Roman"/>
          <w:i/>
        </w:rPr>
        <w:t>Revolutionary love</w:t>
      </w:r>
      <w:r>
        <w:rPr>
          <w:rFonts w:ascii="Times New Roman" w:eastAsia="Times New Roman" w:hAnsi="Times New Roman" w:cs="Times New Roman"/>
        </w:rPr>
        <w:t xml:space="preserve"> (1st ed.). One World.</w:t>
      </w:r>
    </w:p>
    <w:p w14:paraId="60811EAF"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Kyrylova, O., Myronenko, V., &amp; Harkavenko, Y. (2024). Electronic newsletter in the system of social communications: Prospects for effective use. </w:t>
      </w:r>
      <w:r>
        <w:rPr>
          <w:rFonts w:ascii="Times New Roman" w:eastAsia="Times New Roman" w:hAnsi="Times New Roman" w:cs="Times New Roman"/>
          <w:i/>
        </w:rPr>
        <w:t>Вісник Книжкової Палати, 3</w:t>
      </w:r>
      <w:r>
        <w:rPr>
          <w:rFonts w:ascii="Times New Roman" w:eastAsia="Times New Roman" w:hAnsi="Times New Roman" w:cs="Times New Roman"/>
        </w:rPr>
        <w:t xml:space="preserve">, 12–18. </w:t>
      </w:r>
      <w:hyperlink r:id="rId58">
        <w:r w:rsidR="00A003C6">
          <w:rPr>
            <w:rFonts w:ascii="Times New Roman" w:eastAsia="Times New Roman" w:hAnsi="Times New Roman" w:cs="Times New Roman"/>
            <w:color w:val="0000FF"/>
            <w:u w:val="single"/>
          </w:rPr>
          <w:t>https://doi.org/10.36273/2076-9555.2024.3(332).12-18</w:t>
        </w:r>
      </w:hyperlink>
    </w:p>
    <w:p w14:paraId="5482FD62"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Lambert, N. M., Stillman, T. F., Hicks, J. A., Kamble, S., Baumeister, R. F., &amp; Fincham, F. D. (2013). To belong is to matter: Sense of belonging enhances meaning in life. </w:t>
      </w:r>
      <w:r>
        <w:rPr>
          <w:rFonts w:ascii="Times New Roman" w:eastAsia="Times New Roman" w:hAnsi="Times New Roman" w:cs="Times New Roman"/>
          <w:i/>
        </w:rPr>
        <w:t>Personality and Social Psychology Bulletin, 39</w:t>
      </w:r>
      <w:r>
        <w:rPr>
          <w:rFonts w:ascii="Times New Roman" w:eastAsia="Times New Roman" w:hAnsi="Times New Roman" w:cs="Times New Roman"/>
        </w:rPr>
        <w:t xml:space="preserve">(11), 1418–1427. </w:t>
      </w:r>
      <w:hyperlink r:id="rId59">
        <w:r w:rsidR="00A003C6">
          <w:rPr>
            <w:rFonts w:ascii="Times New Roman" w:eastAsia="Times New Roman" w:hAnsi="Times New Roman" w:cs="Times New Roman"/>
            <w:color w:val="1155CC"/>
            <w:u w:val="single"/>
          </w:rPr>
          <w:t>https://doi.org/10.1177/0146167213499186</w:t>
        </w:r>
      </w:hyperlink>
    </w:p>
    <w:p w14:paraId="403F8253" w14:textId="77777777" w:rsidR="00A003C6" w:rsidRDefault="00AD7092">
      <w:pPr>
        <w:spacing w:line="523"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Mainemelis, C., &amp; Ronson, S. (2006). Ideas are born in fields of play: Towards a theory of play and creativity in organizational settings. </w:t>
      </w:r>
      <w:r>
        <w:rPr>
          <w:rFonts w:ascii="Times New Roman" w:eastAsia="Times New Roman" w:hAnsi="Times New Roman" w:cs="Times New Roman"/>
          <w:i/>
        </w:rPr>
        <w:t>Research in Organizational Behavior</w:t>
      </w:r>
      <w:r>
        <w:rPr>
          <w:rFonts w:ascii="Times New Roman" w:eastAsia="Times New Roman" w:hAnsi="Times New Roman" w:cs="Times New Roman"/>
        </w:rPr>
        <w:t xml:space="preserve">, </w:t>
      </w:r>
      <w:r>
        <w:rPr>
          <w:rFonts w:ascii="Times New Roman" w:eastAsia="Times New Roman" w:hAnsi="Times New Roman" w:cs="Times New Roman"/>
          <w:i/>
        </w:rPr>
        <w:t>27</w:t>
      </w:r>
      <w:r>
        <w:rPr>
          <w:rFonts w:ascii="Times New Roman" w:eastAsia="Times New Roman" w:hAnsi="Times New Roman" w:cs="Times New Roman"/>
        </w:rPr>
        <w:t>, 81–131. https://doi.org/10.1016/S0191-3085(06)27003-5</w:t>
      </w:r>
    </w:p>
    <w:p w14:paraId="5F778F4E"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Metro Philadelphia. (2024, September 25). </w:t>
      </w:r>
      <w:r>
        <w:rPr>
          <w:rFonts w:ascii="Times New Roman" w:eastAsia="Times New Roman" w:hAnsi="Times New Roman" w:cs="Times New Roman"/>
          <w:i/>
        </w:rPr>
        <w:t>Unsheltered homelessness rises in Philly’s Kensington and Center City neighborhoods</w:t>
      </w:r>
      <w:r>
        <w:rPr>
          <w:rFonts w:ascii="Times New Roman" w:eastAsia="Times New Roman" w:hAnsi="Times New Roman" w:cs="Times New Roman"/>
        </w:rPr>
        <w:t xml:space="preserve">. </w:t>
      </w:r>
      <w:hyperlink r:id="rId60">
        <w:r w:rsidR="00A003C6">
          <w:rPr>
            <w:rFonts w:ascii="Times New Roman" w:eastAsia="Times New Roman" w:hAnsi="Times New Roman" w:cs="Times New Roman"/>
            <w:color w:val="1155CC"/>
            <w:u w:val="single"/>
          </w:rPr>
          <w:t>https://metrophiladelphia.com/philly-homeless-count-unsheltered</w:t>
        </w:r>
      </w:hyperlink>
    </w:p>
    <w:p w14:paraId="08C1856C" w14:textId="77777777" w:rsidR="00A003C6" w:rsidRDefault="00AD7092">
      <w:pPr>
        <w:spacing w:after="0" w:line="480" w:lineRule="auto"/>
        <w:rPr>
          <w:rFonts w:ascii="Times New Roman" w:eastAsia="Times New Roman" w:hAnsi="Times New Roman" w:cs="Times New Roman"/>
        </w:rPr>
      </w:pPr>
      <w:r>
        <w:rPr>
          <w:rFonts w:ascii="Times New Roman" w:eastAsia="Times New Roman" w:hAnsi="Times New Roman" w:cs="Times New Roman"/>
        </w:rPr>
        <w:t xml:space="preserve">Monteiro, A. (2025, January 24). </w:t>
      </w:r>
      <w:r>
        <w:rPr>
          <w:rFonts w:ascii="Times New Roman" w:eastAsia="Times New Roman" w:hAnsi="Times New Roman" w:cs="Times New Roman"/>
          <w:i/>
        </w:rPr>
        <w:t>Face to Face interview</w:t>
      </w:r>
      <w:r>
        <w:rPr>
          <w:rFonts w:ascii="Times New Roman" w:eastAsia="Times New Roman" w:hAnsi="Times New Roman" w:cs="Times New Roman"/>
        </w:rPr>
        <w:t xml:space="preserve"> [Zoom].</w:t>
      </w:r>
    </w:p>
    <w:p w14:paraId="01F23F4C" w14:textId="7915C543" w:rsidR="001C30F9" w:rsidRPr="001C30F9" w:rsidRDefault="00AD7092" w:rsidP="001C30F9">
      <w:pPr>
        <w:spacing w:after="0" w:line="480" w:lineRule="auto"/>
        <w:rPr>
          <w:rFonts w:ascii="Times New Roman" w:eastAsia="Times New Roman" w:hAnsi="Times New Roman" w:cs="Times New Roman"/>
        </w:rPr>
      </w:pPr>
      <w:r>
        <w:rPr>
          <w:rFonts w:ascii="Times New Roman" w:eastAsia="Times New Roman" w:hAnsi="Times New Roman" w:cs="Times New Roman"/>
        </w:rPr>
        <w:t>Monteiro, A., &amp; Volunteers. (2025, March 6). Volunteer interviews [Personal communication].</w:t>
      </w:r>
    </w:p>
    <w:p w14:paraId="36FE8E2E" w14:textId="77777777" w:rsidR="00A003C6" w:rsidRDefault="00AD7092">
      <w:pPr>
        <w:spacing w:after="0" w:line="480" w:lineRule="auto"/>
        <w:ind w:left="720" w:hanging="720"/>
        <w:rPr>
          <w:rFonts w:ascii="Times New Roman" w:eastAsia="Times New Roman" w:hAnsi="Times New Roman" w:cs="Times New Roman"/>
          <w:highlight w:val="yellow"/>
        </w:rPr>
      </w:pPr>
      <w:r>
        <w:rPr>
          <w:rFonts w:ascii="Times New Roman" w:eastAsia="Times New Roman" w:hAnsi="Times New Roman" w:cs="Times New Roman"/>
        </w:rPr>
        <w:lastRenderedPageBreak/>
        <w:t xml:space="preserve">National Alliance to End Homelessness. (2023). </w:t>
      </w:r>
      <w:r>
        <w:rPr>
          <w:rFonts w:ascii="Times New Roman" w:eastAsia="Times New Roman" w:hAnsi="Times New Roman" w:cs="Times New Roman"/>
          <w:i/>
        </w:rPr>
        <w:t>State of homelessness: 2023 edition</w:t>
      </w:r>
      <w:r>
        <w:rPr>
          <w:rFonts w:ascii="Times New Roman" w:eastAsia="Times New Roman" w:hAnsi="Times New Roman" w:cs="Times New Roman"/>
        </w:rPr>
        <w:t>.</w:t>
      </w:r>
      <w:hyperlink r:id="rId61">
        <w:r w:rsidR="00A003C6">
          <w:rPr>
            <w:rFonts w:ascii="Times New Roman" w:eastAsia="Times New Roman" w:hAnsi="Times New Roman" w:cs="Times New Roman"/>
          </w:rPr>
          <w:t xml:space="preserve"> </w:t>
        </w:r>
      </w:hyperlink>
      <w:hyperlink r:id="rId62">
        <w:r w:rsidR="00A003C6">
          <w:rPr>
            <w:rFonts w:ascii="Times New Roman" w:eastAsia="Times New Roman" w:hAnsi="Times New Roman" w:cs="Times New Roman"/>
            <w:color w:val="1155CC"/>
            <w:u w:val="single"/>
          </w:rPr>
          <w:t>https://endhomelessness.org/homelessness-in-america/homelessness-statistics/state-of-homelessness/</w:t>
        </w:r>
      </w:hyperlink>
    </w:p>
    <w:p w14:paraId="5EA14BC9"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Next City. (2024, March 15). </w:t>
      </w:r>
      <w:r>
        <w:rPr>
          <w:rFonts w:ascii="Times New Roman" w:eastAsia="Times New Roman" w:hAnsi="Times New Roman" w:cs="Times New Roman"/>
          <w:i/>
        </w:rPr>
        <w:t>Neighborhood renewal by Germantown residents, for Germantown residents</w:t>
      </w:r>
      <w:r>
        <w:rPr>
          <w:rFonts w:ascii="Times New Roman" w:eastAsia="Times New Roman" w:hAnsi="Times New Roman" w:cs="Times New Roman"/>
        </w:rPr>
        <w:t>.</w:t>
      </w:r>
      <w:hyperlink r:id="rId63">
        <w:r w:rsidR="00A003C6">
          <w:rPr>
            <w:rFonts w:ascii="Times New Roman" w:eastAsia="Times New Roman" w:hAnsi="Times New Roman" w:cs="Times New Roman"/>
          </w:rPr>
          <w:t xml:space="preserve"> </w:t>
        </w:r>
      </w:hyperlink>
      <w:hyperlink r:id="rId64">
        <w:r w:rsidR="00A003C6">
          <w:rPr>
            <w:rFonts w:ascii="Times New Roman" w:eastAsia="Times New Roman" w:hAnsi="Times New Roman" w:cs="Times New Roman"/>
            <w:color w:val="0000FF"/>
            <w:u w:val="single"/>
          </w:rPr>
          <w:t>https://nextcity.org/urbanist-news/neighborhood-renewal-by-germantown-residents-for-germantown-residents</w:t>
        </w:r>
      </w:hyperlink>
    </w:p>
    <w:p w14:paraId="6CE53D07"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Nichol, B., Wilson, R., Rodrigues, A., &amp; Haighton, C. (2024). Exploring the effects of volunteering on the social, mental, and physical health and well-being of volunteers: An umbrella review. </w:t>
      </w:r>
      <w:r>
        <w:rPr>
          <w:rFonts w:ascii="Times New Roman" w:eastAsia="Times New Roman" w:hAnsi="Times New Roman" w:cs="Times New Roman"/>
          <w:i/>
        </w:rPr>
        <w:t>VOLUNTAS: International Journal of Voluntary and Nonprofit Organizations, 35</w:t>
      </w:r>
      <w:r>
        <w:rPr>
          <w:rFonts w:ascii="Times New Roman" w:eastAsia="Times New Roman" w:hAnsi="Times New Roman" w:cs="Times New Roman"/>
        </w:rPr>
        <w:t>(1), 97–128.</w:t>
      </w:r>
      <w:hyperlink r:id="rId65">
        <w:r w:rsidR="00A003C6">
          <w:rPr>
            <w:rFonts w:ascii="Times New Roman" w:eastAsia="Times New Roman" w:hAnsi="Times New Roman" w:cs="Times New Roman"/>
          </w:rPr>
          <w:t xml:space="preserve"> </w:t>
        </w:r>
      </w:hyperlink>
      <w:hyperlink r:id="rId66">
        <w:r w:rsidR="00A003C6">
          <w:rPr>
            <w:rFonts w:ascii="Times New Roman" w:eastAsia="Times New Roman" w:hAnsi="Times New Roman" w:cs="Times New Roman"/>
            <w:color w:val="467886"/>
            <w:u w:val="single"/>
          </w:rPr>
          <w:t>https://doi.org/10.1007/s11266-023-00573-z</w:t>
        </w:r>
      </w:hyperlink>
    </w:p>
    <w:p w14:paraId="31631BAC"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Niemiec, R. M. (2018). </w:t>
      </w:r>
      <w:r>
        <w:rPr>
          <w:rFonts w:ascii="Times New Roman" w:eastAsia="Times New Roman" w:hAnsi="Times New Roman" w:cs="Times New Roman"/>
          <w:i/>
        </w:rPr>
        <w:t>Character strengths interventions: A field guide for practitioners</w:t>
      </w:r>
      <w:r>
        <w:rPr>
          <w:rFonts w:ascii="Times New Roman" w:eastAsia="Times New Roman" w:hAnsi="Times New Roman" w:cs="Times New Roman"/>
        </w:rPr>
        <w:t>. Hogrefe Publishing.</w:t>
      </w:r>
    </w:p>
    <w:p w14:paraId="42295F24"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Oh, D.-G. (2019). Analysis of the factors affecting volunteering, satisfaction, continuation will, and loyalty for public library volunteers: An integrated structural equation model. </w:t>
      </w:r>
      <w:r>
        <w:rPr>
          <w:rFonts w:ascii="Times New Roman" w:eastAsia="Times New Roman" w:hAnsi="Times New Roman" w:cs="Times New Roman"/>
          <w:i/>
        </w:rPr>
        <w:t>Journal of Librarianship and Information Science, 51</w:t>
      </w:r>
      <w:r>
        <w:rPr>
          <w:rFonts w:ascii="Times New Roman" w:eastAsia="Times New Roman" w:hAnsi="Times New Roman" w:cs="Times New Roman"/>
        </w:rPr>
        <w:t xml:space="preserve">(4), 894–914. </w:t>
      </w:r>
      <w:hyperlink r:id="rId67">
        <w:r w:rsidR="00A003C6">
          <w:rPr>
            <w:rFonts w:ascii="Times New Roman" w:eastAsia="Times New Roman" w:hAnsi="Times New Roman" w:cs="Times New Roman"/>
            <w:color w:val="0000FF"/>
            <w:u w:val="single"/>
          </w:rPr>
          <w:t>https://doi.org/10.1177/0961000617747338</w:t>
        </w:r>
      </w:hyperlink>
    </w:p>
    <w:p w14:paraId="4833B0C2"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Pawelski, J. (2017, January 4). William James and well-being: The philosophy, psychology, and culture of human flourishing [Presidential address]. </w:t>
      </w:r>
      <w:r>
        <w:rPr>
          <w:rFonts w:ascii="Times New Roman" w:eastAsia="Times New Roman" w:hAnsi="Times New Roman" w:cs="Times New Roman"/>
          <w:i/>
        </w:rPr>
        <w:t>William James Society American Philosophical Association Eastern Division Meeting,</w:t>
      </w:r>
      <w:r>
        <w:rPr>
          <w:rFonts w:ascii="Times New Roman" w:eastAsia="Times New Roman" w:hAnsi="Times New Roman" w:cs="Times New Roman"/>
        </w:rPr>
        <w:t xml:space="preserve"> Baltimore, MD.</w:t>
      </w:r>
    </w:p>
    <w:p w14:paraId="42C06782" w14:textId="6A4FC695" w:rsidR="001C30F9" w:rsidRPr="001C30F9" w:rsidRDefault="00AD7092" w:rsidP="001C30F9">
      <w:pPr>
        <w:spacing w:after="0" w:line="480" w:lineRule="auto"/>
        <w:ind w:left="720" w:hanging="720"/>
        <w:rPr>
          <w:rFonts w:ascii="Times New Roman" w:eastAsia="Times New Roman" w:hAnsi="Times New Roman" w:cs="Times New Roman"/>
          <w:i/>
        </w:rPr>
      </w:pPr>
      <w:r>
        <w:rPr>
          <w:rFonts w:ascii="Times New Roman" w:eastAsia="Times New Roman" w:hAnsi="Times New Roman" w:cs="Times New Roman"/>
        </w:rPr>
        <w:t xml:space="preserve">Peterson, C., &amp; Seligman, M. E. P. (2004). </w:t>
      </w:r>
      <w:r>
        <w:rPr>
          <w:rFonts w:ascii="Times New Roman" w:eastAsia="Times New Roman" w:hAnsi="Times New Roman" w:cs="Times New Roman"/>
          <w:i/>
        </w:rPr>
        <w:t>Character strengths and virtues: A handbook and classification</w:t>
      </w:r>
      <w:r>
        <w:rPr>
          <w:rFonts w:ascii="Times New Roman" w:eastAsia="Times New Roman" w:hAnsi="Times New Roman" w:cs="Times New Roman"/>
        </w:rPr>
        <w:t>. American Psychological Association; Oxford University Press.</w:t>
      </w:r>
    </w:p>
    <w:p w14:paraId="5CFA946C"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Prilleltensky, I. (2014). Meaning-making, mattering, and thriving in community psychology: From co-optation to amelioration and transformation. </w:t>
      </w:r>
      <w:r>
        <w:rPr>
          <w:rFonts w:ascii="Times New Roman" w:eastAsia="Times New Roman" w:hAnsi="Times New Roman" w:cs="Times New Roman"/>
          <w:i/>
        </w:rPr>
        <w:t>Psychosocial Intervention, 23</w:t>
      </w:r>
      <w:r>
        <w:rPr>
          <w:rFonts w:ascii="Times New Roman" w:eastAsia="Times New Roman" w:hAnsi="Times New Roman" w:cs="Times New Roman"/>
        </w:rPr>
        <w:t xml:space="preserve">(2), 151–154. </w:t>
      </w:r>
      <w:hyperlink r:id="rId68">
        <w:r w:rsidR="00A003C6">
          <w:rPr>
            <w:rFonts w:ascii="Times New Roman" w:eastAsia="Times New Roman" w:hAnsi="Times New Roman" w:cs="Times New Roman"/>
            <w:color w:val="0000FF"/>
            <w:u w:val="single"/>
          </w:rPr>
          <w:t>https://doi.org/10.1016/j.psi.2014.07.008</w:t>
        </w:r>
      </w:hyperlink>
    </w:p>
    <w:p w14:paraId="141CDEC3"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Prilleltensky, I. (2020). Mattering at the intersection of psychology, philosophy, and politics. </w:t>
      </w:r>
      <w:r>
        <w:rPr>
          <w:rFonts w:ascii="Times New Roman" w:eastAsia="Times New Roman" w:hAnsi="Times New Roman" w:cs="Times New Roman"/>
          <w:i/>
        </w:rPr>
        <w:t>American Journal of Community Psychology, 65</w:t>
      </w:r>
      <w:r>
        <w:rPr>
          <w:rFonts w:ascii="Times New Roman" w:eastAsia="Times New Roman" w:hAnsi="Times New Roman" w:cs="Times New Roman"/>
        </w:rPr>
        <w:t>(1–2), 16–34.</w:t>
      </w:r>
      <w:hyperlink r:id="rId69">
        <w:r w:rsidR="00A003C6">
          <w:rPr>
            <w:rFonts w:ascii="Times New Roman" w:eastAsia="Times New Roman" w:hAnsi="Times New Roman" w:cs="Times New Roman"/>
          </w:rPr>
          <w:t xml:space="preserve"> </w:t>
        </w:r>
      </w:hyperlink>
      <w:hyperlink r:id="rId70">
        <w:r w:rsidR="00A003C6">
          <w:rPr>
            <w:rFonts w:ascii="Times New Roman" w:eastAsia="Times New Roman" w:hAnsi="Times New Roman" w:cs="Times New Roman"/>
            <w:color w:val="467886"/>
            <w:u w:val="single"/>
          </w:rPr>
          <w:t>https://doi.org/10.1002/ajcp.12368</w:t>
        </w:r>
      </w:hyperlink>
    </w:p>
    <w:p w14:paraId="329A9C0F"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Prilleltensky, I., &amp; Prilleltensky, O. (2021). </w:t>
      </w:r>
      <w:r>
        <w:rPr>
          <w:rFonts w:ascii="Times New Roman" w:eastAsia="Times New Roman" w:hAnsi="Times New Roman" w:cs="Times New Roman"/>
          <w:i/>
        </w:rPr>
        <w:t>How people matter: Why it affects health, happiness, love, work, and society</w:t>
      </w:r>
      <w:r>
        <w:rPr>
          <w:rFonts w:ascii="Times New Roman" w:eastAsia="Times New Roman" w:hAnsi="Times New Roman" w:cs="Times New Roman"/>
        </w:rPr>
        <w:t xml:space="preserve"> (1st ed.). Cambridge University Press. </w:t>
      </w:r>
      <w:hyperlink r:id="rId71">
        <w:r w:rsidR="00A003C6">
          <w:rPr>
            <w:rFonts w:ascii="Times New Roman" w:eastAsia="Times New Roman" w:hAnsi="Times New Roman" w:cs="Times New Roman"/>
            <w:color w:val="0000FF"/>
            <w:u w:val="single"/>
          </w:rPr>
          <w:t>https://doi.org/10.1017/9781108979405</w:t>
        </w:r>
      </w:hyperlink>
    </w:p>
    <w:p w14:paraId="7061AE48"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Reece, A., Yaden, D., Kellerman, G., Robichaux, A., Goldstein, R., Schwartz, B., Seligman, M., &amp; Baumeister, R. (2021). Mattering is an indicator of organizational health and employee success. </w:t>
      </w:r>
      <w:r>
        <w:rPr>
          <w:rFonts w:ascii="Times New Roman" w:eastAsia="Times New Roman" w:hAnsi="Times New Roman" w:cs="Times New Roman"/>
          <w:i/>
        </w:rPr>
        <w:t>The Journal of Positive Psychology, 16</w:t>
      </w:r>
      <w:r>
        <w:rPr>
          <w:rFonts w:ascii="Times New Roman" w:eastAsia="Times New Roman" w:hAnsi="Times New Roman" w:cs="Times New Roman"/>
        </w:rPr>
        <w:t>(2), 228–248.</w:t>
      </w:r>
      <w:hyperlink r:id="rId72">
        <w:r w:rsidR="00A003C6">
          <w:rPr>
            <w:rFonts w:ascii="Times New Roman" w:eastAsia="Times New Roman" w:hAnsi="Times New Roman" w:cs="Times New Roman"/>
          </w:rPr>
          <w:t xml:space="preserve"> </w:t>
        </w:r>
      </w:hyperlink>
      <w:hyperlink r:id="rId73">
        <w:r w:rsidR="00A003C6">
          <w:rPr>
            <w:rFonts w:ascii="Times New Roman" w:eastAsia="Times New Roman" w:hAnsi="Times New Roman" w:cs="Times New Roman"/>
            <w:color w:val="467886"/>
            <w:u w:val="single"/>
          </w:rPr>
          <w:t>https://doi.org/10.1080/17439760.2019.1689416</w:t>
        </w:r>
      </w:hyperlink>
    </w:p>
    <w:p w14:paraId="6E680141"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Rimes, H., Nesbit, R., Christensen, R. K., &amp; Brudney, J. L. (2017). Exploring the dynamics of volunteer and staff interactions: From satisfaction to conflict. </w:t>
      </w:r>
      <w:r>
        <w:rPr>
          <w:rFonts w:ascii="Times New Roman" w:eastAsia="Times New Roman" w:hAnsi="Times New Roman" w:cs="Times New Roman"/>
          <w:i/>
        </w:rPr>
        <w:t>Nonprofit Management and Leadership, 28</w:t>
      </w:r>
      <w:r>
        <w:rPr>
          <w:rFonts w:ascii="Times New Roman" w:eastAsia="Times New Roman" w:hAnsi="Times New Roman" w:cs="Times New Roman"/>
        </w:rPr>
        <w:t>(2), 195–213.</w:t>
      </w:r>
      <w:hyperlink r:id="rId74">
        <w:r w:rsidR="00A003C6">
          <w:rPr>
            <w:rFonts w:ascii="Times New Roman" w:eastAsia="Times New Roman" w:hAnsi="Times New Roman" w:cs="Times New Roman"/>
          </w:rPr>
          <w:t xml:space="preserve"> </w:t>
        </w:r>
      </w:hyperlink>
      <w:hyperlink r:id="rId75">
        <w:r w:rsidR="00A003C6">
          <w:rPr>
            <w:rFonts w:ascii="Times New Roman" w:eastAsia="Times New Roman" w:hAnsi="Times New Roman" w:cs="Times New Roman"/>
            <w:color w:val="467886"/>
            <w:u w:val="single"/>
          </w:rPr>
          <w:t>https://doi.org/10.1002/nml.21277</w:t>
        </w:r>
      </w:hyperlink>
    </w:p>
    <w:p w14:paraId="2705199E"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Schein, E. H. (2010). </w:t>
      </w:r>
      <w:r>
        <w:rPr>
          <w:rFonts w:ascii="Times New Roman" w:eastAsia="Times New Roman" w:hAnsi="Times New Roman" w:cs="Times New Roman"/>
          <w:i/>
        </w:rPr>
        <w:t>Organizational culture and leadership</w:t>
      </w:r>
      <w:r>
        <w:rPr>
          <w:rFonts w:ascii="Times New Roman" w:eastAsia="Times New Roman" w:hAnsi="Times New Roman" w:cs="Times New Roman"/>
        </w:rPr>
        <w:t xml:space="preserve"> (4th ed.). Jossey-Bass.</w:t>
      </w:r>
    </w:p>
    <w:p w14:paraId="09B497BF"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Seligman, M. E. P. (2011). </w:t>
      </w:r>
      <w:r>
        <w:rPr>
          <w:rFonts w:ascii="Times New Roman" w:eastAsia="Times New Roman" w:hAnsi="Times New Roman" w:cs="Times New Roman"/>
          <w:i/>
        </w:rPr>
        <w:t>Flourish: A visionary new understanding of happiness and well-being</w:t>
      </w:r>
      <w:r>
        <w:rPr>
          <w:rFonts w:ascii="Times New Roman" w:eastAsia="Times New Roman" w:hAnsi="Times New Roman" w:cs="Times New Roman"/>
        </w:rPr>
        <w:t>. Free Press.</w:t>
      </w:r>
    </w:p>
    <w:p w14:paraId="702E2997"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Seligman, M. E. P., Steen, T. A., Park, N., &amp; Peterson, C. (2005). Positive psychology progress: Empirical validation of interventions. </w:t>
      </w:r>
      <w:r>
        <w:rPr>
          <w:rFonts w:ascii="Times New Roman" w:eastAsia="Times New Roman" w:hAnsi="Times New Roman" w:cs="Times New Roman"/>
          <w:i/>
        </w:rPr>
        <w:t>American Psychologist, 60</w:t>
      </w:r>
      <w:r>
        <w:rPr>
          <w:rFonts w:ascii="Times New Roman" w:eastAsia="Times New Roman" w:hAnsi="Times New Roman" w:cs="Times New Roman"/>
        </w:rPr>
        <w:t xml:space="preserve">(5), 410–421. </w:t>
      </w:r>
      <w:hyperlink r:id="rId76">
        <w:r w:rsidR="00A003C6">
          <w:rPr>
            <w:rFonts w:ascii="Times New Roman" w:eastAsia="Times New Roman" w:hAnsi="Times New Roman" w:cs="Times New Roman"/>
            <w:color w:val="1155CC"/>
            <w:u w:val="single"/>
          </w:rPr>
          <w:t>https://doi.org/10.1037/0003-066X.60.5.410</w:t>
        </w:r>
      </w:hyperlink>
    </w:p>
    <w:p w14:paraId="35FE7054" w14:textId="77777777" w:rsidR="00A003C6" w:rsidRDefault="00AD7092">
      <w:pPr>
        <w:spacing w:line="523"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Stephens, J. P., Heaphy, E., &amp; Dutton, J. (2011). </w:t>
      </w:r>
      <w:r>
        <w:rPr>
          <w:rFonts w:ascii="Times New Roman" w:eastAsia="Times New Roman" w:hAnsi="Times New Roman" w:cs="Times New Roman"/>
          <w:i/>
        </w:rPr>
        <w:t>High-quality connections</w:t>
      </w:r>
      <w:r>
        <w:rPr>
          <w:rFonts w:ascii="Times New Roman" w:eastAsia="Times New Roman" w:hAnsi="Times New Roman" w:cs="Times New Roman"/>
        </w:rPr>
        <w:t>. Stephen M. Ross School of Business, University of Michigan.</w:t>
      </w:r>
    </w:p>
    <w:p w14:paraId="7D2824B2" w14:textId="77777777" w:rsidR="00A003C6" w:rsidRDefault="00AD7092">
      <w:pPr>
        <w:spacing w:line="523"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Swidler, A. (1986). Culture in action: Symbols and strategies. </w:t>
      </w:r>
      <w:r>
        <w:rPr>
          <w:rFonts w:ascii="Times New Roman" w:eastAsia="Times New Roman" w:hAnsi="Times New Roman" w:cs="Times New Roman"/>
          <w:i/>
        </w:rPr>
        <w:t>American Sociological Review, 51</w:t>
      </w:r>
      <w:r>
        <w:rPr>
          <w:rFonts w:ascii="Times New Roman" w:eastAsia="Times New Roman" w:hAnsi="Times New Roman" w:cs="Times New Roman"/>
        </w:rPr>
        <w:t>(2), 273.</w:t>
      </w:r>
      <w:hyperlink r:id="rId77">
        <w:r w:rsidR="00A003C6">
          <w:rPr>
            <w:rFonts w:ascii="Times New Roman" w:eastAsia="Times New Roman" w:hAnsi="Times New Roman" w:cs="Times New Roman"/>
          </w:rPr>
          <w:t xml:space="preserve"> </w:t>
        </w:r>
      </w:hyperlink>
      <w:hyperlink r:id="rId78">
        <w:r w:rsidR="00A003C6">
          <w:rPr>
            <w:rFonts w:ascii="Times New Roman" w:eastAsia="Times New Roman" w:hAnsi="Times New Roman" w:cs="Times New Roman"/>
            <w:color w:val="467886"/>
            <w:u w:val="single"/>
          </w:rPr>
          <w:t>https://doi.org/10.2307/2095521</w:t>
        </w:r>
      </w:hyperlink>
    </w:p>
    <w:p w14:paraId="0814CD3C" w14:textId="77777777" w:rsidR="00A003C6" w:rsidRDefault="00AD7092">
      <w:pPr>
        <w:spacing w:line="523"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Vecina, M. L., Chacón, F., Sueiro, M., &amp; Barrón, A. (2012). Volunteer engagement: Does engagement predict the degree of satisfaction among new volunteers and the commitment of those who have been active longer? </w:t>
      </w:r>
      <w:r>
        <w:rPr>
          <w:rFonts w:ascii="Times New Roman" w:eastAsia="Times New Roman" w:hAnsi="Times New Roman" w:cs="Times New Roman"/>
          <w:i/>
        </w:rPr>
        <w:t>Applied Psychology</w:t>
      </w:r>
      <w:r>
        <w:rPr>
          <w:rFonts w:ascii="Times New Roman" w:eastAsia="Times New Roman" w:hAnsi="Times New Roman" w:cs="Times New Roman"/>
        </w:rPr>
        <w:t xml:space="preserve">, </w:t>
      </w:r>
      <w:r>
        <w:rPr>
          <w:rFonts w:ascii="Times New Roman" w:eastAsia="Times New Roman" w:hAnsi="Times New Roman" w:cs="Times New Roman"/>
          <w:i/>
        </w:rPr>
        <w:t>61</w:t>
      </w:r>
      <w:r>
        <w:rPr>
          <w:rFonts w:ascii="Times New Roman" w:eastAsia="Times New Roman" w:hAnsi="Times New Roman" w:cs="Times New Roman"/>
        </w:rPr>
        <w:t>(1), 130–148. https://doi.org/10.1111/j.1464-0597.2011.00460.x</w:t>
      </w:r>
    </w:p>
    <w:p w14:paraId="211220FC"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WHYY. (2024, February 10). </w:t>
      </w:r>
      <w:r>
        <w:rPr>
          <w:rFonts w:ascii="Times New Roman" w:eastAsia="Times New Roman" w:hAnsi="Times New Roman" w:cs="Times New Roman"/>
          <w:i/>
        </w:rPr>
        <w:t>Philadelphia is 'America's poorest big city.' Here's what that actually means</w:t>
      </w:r>
      <w:r>
        <w:rPr>
          <w:rFonts w:ascii="Times New Roman" w:eastAsia="Times New Roman" w:hAnsi="Times New Roman" w:cs="Times New Roman"/>
        </w:rPr>
        <w:t>.</w:t>
      </w:r>
      <w:hyperlink r:id="rId79">
        <w:r w:rsidR="00A003C6">
          <w:rPr>
            <w:rFonts w:ascii="Times New Roman" w:eastAsia="Times New Roman" w:hAnsi="Times New Roman" w:cs="Times New Roman"/>
          </w:rPr>
          <w:t xml:space="preserve"> </w:t>
        </w:r>
      </w:hyperlink>
      <w:hyperlink r:id="rId80">
        <w:r w:rsidR="00A003C6">
          <w:rPr>
            <w:rFonts w:ascii="Times New Roman" w:eastAsia="Times New Roman" w:hAnsi="Times New Roman" w:cs="Times New Roman"/>
            <w:color w:val="0000FF"/>
            <w:u w:val="single"/>
          </w:rPr>
          <w:t>https://whyy.org/articles/philadelphia-americas-poorest-big-city-poverty/</w:t>
        </w:r>
      </w:hyperlink>
    </w:p>
    <w:p w14:paraId="4F882123"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Worline, M. C., &amp; Dutton, J. E. (2017). </w:t>
      </w:r>
      <w:r>
        <w:rPr>
          <w:rFonts w:ascii="Times New Roman" w:eastAsia="Times New Roman" w:hAnsi="Times New Roman" w:cs="Times New Roman"/>
          <w:i/>
        </w:rPr>
        <w:t>Awakening compassion at work: The quiet power that elevates people and organizations</w:t>
      </w:r>
      <w:r>
        <w:rPr>
          <w:rFonts w:ascii="Times New Roman" w:eastAsia="Times New Roman" w:hAnsi="Times New Roman" w:cs="Times New Roman"/>
        </w:rPr>
        <w:t>. Berrett-Koehler Publishers.</w:t>
      </w:r>
    </w:p>
    <w:p w14:paraId="346C2165" w14:textId="77777777" w:rsidR="00A003C6" w:rsidRDefault="00AD7092">
      <w:pPr>
        <w:spacing w:after="0"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Wymer, W. W., &amp; Starnes, B. J. (2001). Conceptual foundations and practical guidelines for recruiting volunteers to serve in local nonprofit organizations: Part I. </w:t>
      </w:r>
      <w:r>
        <w:rPr>
          <w:rFonts w:ascii="Times New Roman" w:eastAsia="Times New Roman" w:hAnsi="Times New Roman" w:cs="Times New Roman"/>
          <w:i/>
        </w:rPr>
        <w:t>Journal of Nonprofit &amp; Public Sector Marketing, 9</w:t>
      </w:r>
      <w:r>
        <w:rPr>
          <w:rFonts w:ascii="Times New Roman" w:eastAsia="Times New Roman" w:hAnsi="Times New Roman" w:cs="Times New Roman"/>
        </w:rPr>
        <w:t>(1-2), 63–96. https://doi.org/10.1300/J054v09n01_05</w:t>
      </w:r>
    </w:p>
    <w:p w14:paraId="3349E5D3" w14:textId="77777777" w:rsidR="00A003C6" w:rsidRDefault="00AD7092">
      <w:pPr>
        <w:spacing w:line="523"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Zander, R. S., with Zander, B. (2002). </w:t>
      </w:r>
      <w:r>
        <w:rPr>
          <w:rFonts w:ascii="Times New Roman" w:eastAsia="Times New Roman" w:hAnsi="Times New Roman" w:cs="Times New Roman"/>
          <w:i/>
        </w:rPr>
        <w:t>The art of possibility: Transforming professional and personal life.</w:t>
      </w:r>
      <w:r>
        <w:rPr>
          <w:rFonts w:ascii="Times New Roman" w:eastAsia="Times New Roman" w:hAnsi="Times New Roman" w:cs="Times New Roman"/>
        </w:rPr>
        <w:t xml:space="preserve"> Penguin Publishing Group.</w:t>
      </w:r>
    </w:p>
    <w:p w14:paraId="3502AA17" w14:textId="77777777" w:rsidR="00A003C6" w:rsidRDefault="00AD7092">
      <w:pPr>
        <w:spacing w:after="0" w:line="259" w:lineRule="auto"/>
        <w:rPr>
          <w:rFonts w:ascii="Times New Roman" w:eastAsia="Times New Roman" w:hAnsi="Times New Roman" w:cs="Times New Roman"/>
        </w:rPr>
      </w:pPr>
      <w:r>
        <w:br w:type="page"/>
      </w:r>
    </w:p>
    <w:p w14:paraId="42441769" w14:textId="3DB463F5" w:rsidR="00A003C6" w:rsidRDefault="00AD7092" w:rsidP="00AD7092">
      <w:pPr>
        <w:pStyle w:val="Heading1"/>
      </w:pPr>
      <w:bookmarkStart w:id="18" w:name="_Toc197457488"/>
      <w:r>
        <w:lastRenderedPageBreak/>
        <w:t>Appendix</w:t>
      </w:r>
      <w:r w:rsidR="00E30E8A">
        <w:t xml:space="preserve"> A</w:t>
      </w:r>
      <w:bookmarkEnd w:id="18"/>
    </w:p>
    <w:p w14:paraId="4942F5EE" w14:textId="77777777" w:rsidR="00A003C6" w:rsidRDefault="00AD7092">
      <w:pPr>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Assessing the effectiveness of the proposed interventions at Face to Face is essential to ensuring they achieve their intended goals—enhancing volunteer engagement, fostering communication, and strengthening recognition. Our assessment plan includes process evaluation (measuring implementation success) and outcome evaluation (assessing impact).</w:t>
      </w:r>
    </w:p>
    <w:p w14:paraId="28E17CAF" w14:textId="77777777" w:rsidR="00A003C6" w:rsidRDefault="00AD7092">
      <w:pPr>
        <w:spacing w:after="0" w:line="480" w:lineRule="auto"/>
        <w:rPr>
          <w:rFonts w:ascii="Times New Roman" w:eastAsia="Times New Roman" w:hAnsi="Times New Roman" w:cs="Times New Roman"/>
          <w:u w:val="single"/>
        </w:rPr>
      </w:pPr>
      <w:r>
        <w:rPr>
          <w:rFonts w:ascii="Times New Roman" w:eastAsia="Times New Roman" w:hAnsi="Times New Roman" w:cs="Times New Roman"/>
          <w:u w:val="single"/>
        </w:rPr>
        <w:t>Process Evaluation</w:t>
      </w:r>
    </w:p>
    <w:p w14:paraId="6D791B84" w14:textId="77777777" w:rsidR="00A003C6" w:rsidRDefault="00AD7092">
      <w:pPr>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The process evaluation will monitor the implementation of each intervention to determine whether they are being carried out as planned. Key indicators include:</w:t>
      </w:r>
    </w:p>
    <w:p w14:paraId="5A217DE7" w14:textId="77777777" w:rsidR="00A003C6" w:rsidRDefault="00AD7092">
      <w:pPr>
        <w:numPr>
          <w:ilvl w:val="0"/>
          <w:numId w:val="5"/>
        </w:numPr>
        <w:spacing w:after="0" w:line="480" w:lineRule="auto"/>
        <w:rPr>
          <w:rFonts w:ascii="Times New Roman" w:eastAsia="Times New Roman" w:hAnsi="Times New Roman" w:cs="Times New Roman"/>
        </w:rPr>
      </w:pPr>
      <w:r>
        <w:rPr>
          <w:rFonts w:ascii="Times New Roman" w:eastAsia="Times New Roman" w:hAnsi="Times New Roman" w:cs="Times New Roman"/>
        </w:rPr>
        <w:t>Quarterly Email Implementation: Number of emails sent, volunteer open rates, and engagement (e.g., response rates to prompts or participation in trivia).</w:t>
      </w:r>
    </w:p>
    <w:p w14:paraId="51E7F6C9" w14:textId="77777777" w:rsidR="00A003C6" w:rsidRDefault="00AD7092">
      <w:pPr>
        <w:numPr>
          <w:ilvl w:val="0"/>
          <w:numId w:val="5"/>
        </w:numPr>
        <w:spacing w:after="0" w:line="480" w:lineRule="auto"/>
        <w:rPr>
          <w:rFonts w:ascii="Times New Roman" w:eastAsia="Times New Roman" w:hAnsi="Times New Roman" w:cs="Times New Roman"/>
        </w:rPr>
      </w:pPr>
      <w:r>
        <w:rPr>
          <w:rFonts w:ascii="Times New Roman" w:eastAsia="Times New Roman" w:hAnsi="Times New Roman" w:cs="Times New Roman"/>
        </w:rPr>
        <w:t xml:space="preserve">Shift Transition Rituals: Observational data and volunteer feedback on micro-ritual participation, such as the </w:t>
      </w:r>
      <w:r>
        <w:rPr>
          <w:rFonts w:ascii="Times New Roman" w:eastAsia="Times New Roman" w:hAnsi="Times New Roman" w:cs="Times New Roman"/>
          <w:i/>
        </w:rPr>
        <w:t>Rose, Bud, Thorn</w:t>
      </w:r>
      <w:r>
        <w:rPr>
          <w:rFonts w:ascii="Times New Roman" w:eastAsia="Times New Roman" w:hAnsi="Times New Roman" w:cs="Times New Roman"/>
        </w:rPr>
        <w:t xml:space="preserve"> reflection activity.</w:t>
      </w:r>
    </w:p>
    <w:p w14:paraId="4AF35E20" w14:textId="77777777" w:rsidR="00A003C6" w:rsidRDefault="00AD7092">
      <w:pPr>
        <w:numPr>
          <w:ilvl w:val="0"/>
          <w:numId w:val="5"/>
        </w:numPr>
        <w:spacing w:after="0" w:line="480" w:lineRule="auto"/>
        <w:rPr>
          <w:rFonts w:ascii="Times New Roman" w:eastAsia="Times New Roman" w:hAnsi="Times New Roman" w:cs="Times New Roman"/>
        </w:rPr>
      </w:pPr>
      <w:r>
        <w:rPr>
          <w:rFonts w:ascii="Times New Roman" w:eastAsia="Times New Roman" w:hAnsi="Times New Roman" w:cs="Times New Roman"/>
        </w:rPr>
        <w:t>Volunteer Appreciation Event: Attendance numbers, post-event volunteer satisfaction surveys, and qualitative feedback.</w:t>
      </w:r>
    </w:p>
    <w:p w14:paraId="756EDB0C" w14:textId="77777777" w:rsidR="00A003C6" w:rsidRDefault="00AD7092">
      <w:pPr>
        <w:numPr>
          <w:ilvl w:val="0"/>
          <w:numId w:val="5"/>
        </w:numPr>
        <w:spacing w:after="0" w:line="480" w:lineRule="auto"/>
        <w:rPr>
          <w:rFonts w:ascii="Times New Roman" w:eastAsia="Times New Roman" w:hAnsi="Times New Roman" w:cs="Times New Roman"/>
        </w:rPr>
      </w:pPr>
      <w:r>
        <w:rPr>
          <w:rFonts w:ascii="Times New Roman" w:eastAsia="Times New Roman" w:hAnsi="Times New Roman" w:cs="Times New Roman"/>
        </w:rPr>
        <w:t>Volunteer Directory: Percentage of active volunteers included, frequency of use, and reported ease of shift coordination.</w:t>
      </w:r>
    </w:p>
    <w:p w14:paraId="38D64B01" w14:textId="77777777" w:rsidR="00A003C6" w:rsidRDefault="00AD7092">
      <w:pPr>
        <w:numPr>
          <w:ilvl w:val="0"/>
          <w:numId w:val="5"/>
        </w:numPr>
        <w:spacing w:after="0" w:line="480" w:lineRule="auto"/>
        <w:rPr>
          <w:rFonts w:ascii="Times New Roman" w:eastAsia="Times New Roman" w:hAnsi="Times New Roman" w:cs="Times New Roman"/>
        </w:rPr>
      </w:pPr>
      <w:r>
        <w:rPr>
          <w:rFonts w:ascii="Times New Roman" w:eastAsia="Times New Roman" w:hAnsi="Times New Roman" w:cs="Times New Roman"/>
        </w:rPr>
        <w:t>Committee Meeting Participation: Attendance rates, number of action items completed, and qualitative feedback on perceived effectiveness.</w:t>
      </w:r>
    </w:p>
    <w:p w14:paraId="10083192" w14:textId="77777777" w:rsidR="00A003C6" w:rsidRDefault="00AD7092" w:rsidP="007D39F9">
      <w:pPr>
        <w:spacing w:after="0" w:line="480" w:lineRule="auto"/>
        <w:ind w:firstLine="360"/>
        <w:rPr>
          <w:rFonts w:ascii="Times New Roman" w:eastAsia="Times New Roman" w:hAnsi="Times New Roman" w:cs="Times New Roman"/>
        </w:rPr>
      </w:pPr>
      <w:r>
        <w:rPr>
          <w:rFonts w:ascii="Times New Roman" w:eastAsia="Times New Roman" w:hAnsi="Times New Roman" w:cs="Times New Roman"/>
        </w:rPr>
        <w:t>Data can be collected through tracking metrics (e.g., email open rates, attendance records) and brief surveys/interviews with volunteers and staff. Implementing fidelity measures ensures interventions are executed as designed (Durlak &amp; DuPre, 2008).</w:t>
      </w:r>
    </w:p>
    <w:p w14:paraId="2562571A" w14:textId="77777777" w:rsidR="00A003C6" w:rsidRDefault="00AD7092">
      <w:pPr>
        <w:spacing w:after="0" w:line="480" w:lineRule="auto"/>
        <w:rPr>
          <w:rFonts w:ascii="Times New Roman" w:eastAsia="Times New Roman" w:hAnsi="Times New Roman" w:cs="Times New Roman"/>
          <w:u w:val="single"/>
        </w:rPr>
      </w:pPr>
      <w:r>
        <w:rPr>
          <w:rFonts w:ascii="Times New Roman" w:eastAsia="Times New Roman" w:hAnsi="Times New Roman" w:cs="Times New Roman"/>
          <w:u w:val="single"/>
        </w:rPr>
        <w:t>Outcome Evaluation</w:t>
      </w:r>
    </w:p>
    <w:p w14:paraId="48B4489A" w14:textId="77777777" w:rsidR="00A003C6" w:rsidRDefault="00AD7092">
      <w:pPr>
        <w:spacing w:after="0" w:line="480" w:lineRule="auto"/>
        <w:ind w:firstLine="360"/>
        <w:rPr>
          <w:rFonts w:ascii="Times New Roman" w:eastAsia="Times New Roman" w:hAnsi="Times New Roman" w:cs="Times New Roman"/>
        </w:rPr>
      </w:pPr>
      <w:r>
        <w:rPr>
          <w:rFonts w:ascii="Times New Roman" w:eastAsia="Times New Roman" w:hAnsi="Times New Roman" w:cs="Times New Roman"/>
        </w:rPr>
        <w:lastRenderedPageBreak/>
        <w:t>To assess whether the interventions lead to meaningful improvements in volunteer engagement and organizational culture, outcome evaluation will focus on three key areas:</w:t>
      </w:r>
    </w:p>
    <w:p w14:paraId="475212B6" w14:textId="77777777" w:rsidR="00A003C6" w:rsidRDefault="00AD7092">
      <w:pPr>
        <w:numPr>
          <w:ilvl w:val="0"/>
          <w:numId w:val="6"/>
        </w:numPr>
        <w:spacing w:after="0" w:line="480" w:lineRule="auto"/>
        <w:rPr>
          <w:rFonts w:ascii="Times New Roman" w:eastAsia="Times New Roman" w:hAnsi="Times New Roman" w:cs="Times New Roman"/>
        </w:rPr>
      </w:pPr>
      <w:r>
        <w:rPr>
          <w:rFonts w:ascii="Times New Roman" w:eastAsia="Times New Roman" w:hAnsi="Times New Roman" w:cs="Times New Roman"/>
        </w:rPr>
        <w:t>Volunteer Engagement – Measured through pre- and post-intervention surveys assessing commitment, satisfaction, and intent to continue volunteering. Items can be adapted from validated scales such as the Volunteer Function Inventory (Clary et al., 1998).</w:t>
      </w:r>
    </w:p>
    <w:p w14:paraId="32A4B6FF" w14:textId="77777777" w:rsidR="00A003C6" w:rsidRDefault="00AD7092">
      <w:pPr>
        <w:numPr>
          <w:ilvl w:val="0"/>
          <w:numId w:val="6"/>
        </w:numPr>
        <w:spacing w:after="0" w:line="480" w:lineRule="auto"/>
        <w:rPr>
          <w:rFonts w:ascii="Times New Roman" w:eastAsia="Times New Roman" w:hAnsi="Times New Roman" w:cs="Times New Roman"/>
        </w:rPr>
      </w:pPr>
      <w:r>
        <w:rPr>
          <w:rFonts w:ascii="Times New Roman" w:eastAsia="Times New Roman" w:hAnsi="Times New Roman" w:cs="Times New Roman"/>
        </w:rPr>
        <w:t>Sense of Recognition and Belonging – Assessed using qualitative feedback from volunteers, self-reported perceptions of appreciation, and validated survey items on workplace belonging (Baumeister &amp; Leary, 1995).</w:t>
      </w:r>
    </w:p>
    <w:p w14:paraId="740D172C" w14:textId="77777777" w:rsidR="00A003C6" w:rsidRDefault="00AD7092">
      <w:pPr>
        <w:numPr>
          <w:ilvl w:val="0"/>
          <w:numId w:val="6"/>
        </w:numPr>
        <w:spacing w:after="0" w:line="480" w:lineRule="auto"/>
        <w:rPr>
          <w:rFonts w:ascii="Times New Roman" w:eastAsia="Times New Roman" w:hAnsi="Times New Roman" w:cs="Times New Roman"/>
        </w:rPr>
      </w:pPr>
      <w:r>
        <w:rPr>
          <w:rFonts w:ascii="Times New Roman" w:eastAsia="Times New Roman" w:hAnsi="Times New Roman" w:cs="Times New Roman"/>
        </w:rPr>
        <w:t>Organizational Impact – Examined through volunteer retention rates, frequency of shift coverage/swaps (via the directory), and qualitative feedback on how the interventions affect the volunteer experience.</w:t>
      </w:r>
    </w:p>
    <w:p w14:paraId="353ED837" w14:textId="79716354" w:rsidR="00A003C6" w:rsidRDefault="00AD7092">
      <w:pPr>
        <w:spacing w:after="0" w:line="480" w:lineRule="auto"/>
        <w:ind w:firstLine="360"/>
        <w:rPr>
          <w:rFonts w:ascii="Times New Roman" w:eastAsia="Times New Roman" w:hAnsi="Times New Roman" w:cs="Times New Roman"/>
        </w:rPr>
      </w:pPr>
      <w:r>
        <w:rPr>
          <w:rFonts w:ascii="Times New Roman" w:eastAsia="Times New Roman" w:hAnsi="Times New Roman" w:cs="Times New Roman"/>
        </w:rPr>
        <w:t xml:space="preserve">To ensure reliability and validity, assessments </w:t>
      </w:r>
      <w:r w:rsidR="007D39F9">
        <w:rPr>
          <w:rFonts w:ascii="Times New Roman" w:eastAsia="Times New Roman" w:hAnsi="Times New Roman" w:cs="Times New Roman"/>
        </w:rPr>
        <w:t>can</w:t>
      </w:r>
      <w:r>
        <w:rPr>
          <w:rFonts w:ascii="Times New Roman" w:eastAsia="Times New Roman" w:hAnsi="Times New Roman" w:cs="Times New Roman"/>
        </w:rPr>
        <w:t xml:space="preserve"> be conducted at multiple time points. A mixed-methods approach (quantitative surveys and qualitative interviews) provides a comprehensive evaluation (Creswell &amp; Plano Clark, 2018).</w:t>
      </w:r>
    </w:p>
    <w:p w14:paraId="46F978BE" w14:textId="77777777" w:rsidR="00A003C6" w:rsidRDefault="00AD7092">
      <w:pPr>
        <w:spacing w:after="0" w:line="480" w:lineRule="auto"/>
        <w:rPr>
          <w:rFonts w:ascii="Times New Roman" w:eastAsia="Times New Roman" w:hAnsi="Times New Roman" w:cs="Times New Roman"/>
          <w:u w:val="single"/>
        </w:rPr>
      </w:pPr>
      <w:r>
        <w:rPr>
          <w:rFonts w:ascii="Times New Roman" w:eastAsia="Times New Roman" w:hAnsi="Times New Roman" w:cs="Times New Roman"/>
          <w:u w:val="single"/>
        </w:rPr>
        <w:t>Justification for This Approach</w:t>
      </w:r>
    </w:p>
    <w:p w14:paraId="6B99E4CA" w14:textId="77777777" w:rsidR="00A003C6" w:rsidRDefault="00AD7092">
      <w:pPr>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This assessment plan is grounded in best practices from implementation science and program evaluation research. A process evaluation ensures that interventions are implemented effectively, while an outcome evaluation determines their impact. A mixed-methods approach strengthens validity by capturing numerical trends and personal experiences (Patton, 2015). Additionally, self-determination theory (Deci &amp; Ryan, 2000) supports the importance of measuring volunteer motivation, as feelings of autonomy, competence, and relatedness influence sustained engagement. By systematically evaluating the impact of these initiatives, Face to Face can make data-informed decisions about maintaining, refining or expanding them. This approach </w:t>
      </w:r>
      <w:r>
        <w:rPr>
          <w:rFonts w:ascii="Times New Roman" w:eastAsia="Times New Roman" w:hAnsi="Times New Roman" w:cs="Times New Roman"/>
        </w:rPr>
        <w:lastRenderedPageBreak/>
        <w:t>ensures continuous improvement and maximizes benefits for volunteers, staff, and the organization.</w:t>
      </w:r>
    </w:p>
    <w:p w14:paraId="09EB1C70" w14:textId="77777777" w:rsidR="00A003C6" w:rsidRDefault="00A003C6">
      <w:pPr>
        <w:spacing w:after="0" w:line="480" w:lineRule="auto"/>
        <w:jc w:val="center"/>
        <w:rPr>
          <w:rFonts w:ascii="Times New Roman" w:eastAsia="Times New Roman" w:hAnsi="Times New Roman" w:cs="Times New Roman"/>
          <w:b/>
        </w:rPr>
      </w:pPr>
    </w:p>
    <w:p w14:paraId="56412461" w14:textId="77777777" w:rsidR="00E30E8A" w:rsidRDefault="00E30E8A">
      <w:pPr>
        <w:spacing w:after="0" w:line="480" w:lineRule="auto"/>
        <w:jc w:val="center"/>
        <w:rPr>
          <w:rFonts w:ascii="Times New Roman" w:eastAsia="Times New Roman" w:hAnsi="Times New Roman" w:cs="Times New Roman"/>
          <w:b/>
        </w:rPr>
      </w:pPr>
    </w:p>
    <w:p w14:paraId="31E6C682" w14:textId="77777777" w:rsidR="00E30E8A" w:rsidRDefault="00E30E8A">
      <w:pPr>
        <w:spacing w:after="0" w:line="480" w:lineRule="auto"/>
        <w:jc w:val="center"/>
        <w:rPr>
          <w:rFonts w:ascii="Times New Roman" w:eastAsia="Times New Roman" w:hAnsi="Times New Roman" w:cs="Times New Roman"/>
          <w:b/>
        </w:rPr>
      </w:pPr>
    </w:p>
    <w:p w14:paraId="07C95783" w14:textId="77777777" w:rsidR="00E30E8A" w:rsidRDefault="00E30E8A">
      <w:pPr>
        <w:spacing w:after="0" w:line="480" w:lineRule="auto"/>
        <w:jc w:val="center"/>
        <w:rPr>
          <w:rFonts w:ascii="Times New Roman" w:eastAsia="Times New Roman" w:hAnsi="Times New Roman" w:cs="Times New Roman"/>
          <w:b/>
        </w:rPr>
      </w:pPr>
    </w:p>
    <w:p w14:paraId="6C7A9C54" w14:textId="77777777" w:rsidR="00E30E8A" w:rsidRDefault="00E30E8A">
      <w:pPr>
        <w:spacing w:after="0" w:line="480" w:lineRule="auto"/>
        <w:jc w:val="center"/>
        <w:rPr>
          <w:rFonts w:ascii="Times New Roman" w:eastAsia="Times New Roman" w:hAnsi="Times New Roman" w:cs="Times New Roman"/>
          <w:b/>
        </w:rPr>
      </w:pPr>
    </w:p>
    <w:p w14:paraId="55451D4C" w14:textId="77777777" w:rsidR="00E30E8A" w:rsidRDefault="00E30E8A">
      <w:pPr>
        <w:spacing w:after="0" w:line="480" w:lineRule="auto"/>
        <w:jc w:val="center"/>
        <w:rPr>
          <w:rFonts w:ascii="Times New Roman" w:eastAsia="Times New Roman" w:hAnsi="Times New Roman" w:cs="Times New Roman"/>
          <w:b/>
        </w:rPr>
      </w:pPr>
    </w:p>
    <w:p w14:paraId="2933D51D" w14:textId="77777777" w:rsidR="00E30E8A" w:rsidRDefault="00E30E8A">
      <w:pPr>
        <w:spacing w:after="0" w:line="480" w:lineRule="auto"/>
        <w:jc w:val="center"/>
        <w:rPr>
          <w:rFonts w:ascii="Times New Roman" w:eastAsia="Times New Roman" w:hAnsi="Times New Roman" w:cs="Times New Roman"/>
          <w:b/>
        </w:rPr>
      </w:pPr>
    </w:p>
    <w:p w14:paraId="05244DC9" w14:textId="77777777" w:rsidR="00E30E8A" w:rsidRDefault="00E30E8A">
      <w:pPr>
        <w:spacing w:after="0" w:line="480" w:lineRule="auto"/>
        <w:jc w:val="center"/>
        <w:rPr>
          <w:rFonts w:ascii="Times New Roman" w:eastAsia="Times New Roman" w:hAnsi="Times New Roman" w:cs="Times New Roman"/>
          <w:b/>
        </w:rPr>
      </w:pPr>
    </w:p>
    <w:p w14:paraId="1EF9EFE3" w14:textId="77777777" w:rsidR="00E30E8A" w:rsidRDefault="00E30E8A">
      <w:pPr>
        <w:spacing w:after="0" w:line="480" w:lineRule="auto"/>
        <w:jc w:val="center"/>
        <w:rPr>
          <w:rFonts w:ascii="Times New Roman" w:eastAsia="Times New Roman" w:hAnsi="Times New Roman" w:cs="Times New Roman"/>
          <w:b/>
        </w:rPr>
      </w:pPr>
    </w:p>
    <w:p w14:paraId="16530B13" w14:textId="77777777" w:rsidR="00E30E8A" w:rsidRDefault="00E30E8A">
      <w:pPr>
        <w:spacing w:after="0" w:line="480" w:lineRule="auto"/>
        <w:jc w:val="center"/>
        <w:rPr>
          <w:rFonts w:ascii="Times New Roman" w:eastAsia="Times New Roman" w:hAnsi="Times New Roman" w:cs="Times New Roman"/>
          <w:b/>
        </w:rPr>
      </w:pPr>
    </w:p>
    <w:p w14:paraId="4B9685FE" w14:textId="77777777" w:rsidR="00E30E8A" w:rsidRDefault="00E30E8A">
      <w:pPr>
        <w:spacing w:after="0" w:line="480" w:lineRule="auto"/>
        <w:jc w:val="center"/>
        <w:rPr>
          <w:rFonts w:ascii="Times New Roman" w:eastAsia="Times New Roman" w:hAnsi="Times New Roman" w:cs="Times New Roman"/>
          <w:b/>
        </w:rPr>
      </w:pPr>
    </w:p>
    <w:p w14:paraId="423AFBB9" w14:textId="77777777" w:rsidR="00E30E8A" w:rsidRDefault="00E30E8A">
      <w:pPr>
        <w:spacing w:after="0" w:line="480" w:lineRule="auto"/>
        <w:jc w:val="center"/>
        <w:rPr>
          <w:rFonts w:ascii="Times New Roman" w:eastAsia="Times New Roman" w:hAnsi="Times New Roman" w:cs="Times New Roman"/>
          <w:b/>
        </w:rPr>
      </w:pPr>
    </w:p>
    <w:p w14:paraId="4C567966" w14:textId="77777777" w:rsidR="00E30E8A" w:rsidRDefault="00E30E8A">
      <w:pPr>
        <w:spacing w:after="0" w:line="480" w:lineRule="auto"/>
        <w:jc w:val="center"/>
        <w:rPr>
          <w:rFonts w:ascii="Times New Roman" w:eastAsia="Times New Roman" w:hAnsi="Times New Roman" w:cs="Times New Roman"/>
          <w:b/>
        </w:rPr>
      </w:pPr>
    </w:p>
    <w:p w14:paraId="2DF89186" w14:textId="77777777" w:rsidR="00E30E8A" w:rsidRDefault="00E30E8A">
      <w:pPr>
        <w:spacing w:after="0" w:line="480" w:lineRule="auto"/>
        <w:jc w:val="center"/>
        <w:rPr>
          <w:rFonts w:ascii="Times New Roman" w:eastAsia="Times New Roman" w:hAnsi="Times New Roman" w:cs="Times New Roman"/>
          <w:b/>
        </w:rPr>
      </w:pPr>
    </w:p>
    <w:p w14:paraId="1FB3FC41" w14:textId="77777777" w:rsidR="00E30E8A" w:rsidRDefault="00E30E8A">
      <w:pPr>
        <w:spacing w:after="0" w:line="480" w:lineRule="auto"/>
        <w:jc w:val="center"/>
        <w:rPr>
          <w:rFonts w:ascii="Times New Roman" w:eastAsia="Times New Roman" w:hAnsi="Times New Roman" w:cs="Times New Roman"/>
          <w:b/>
        </w:rPr>
      </w:pPr>
    </w:p>
    <w:p w14:paraId="13B8863C" w14:textId="77777777" w:rsidR="00E30E8A" w:rsidRDefault="00E30E8A">
      <w:pPr>
        <w:spacing w:after="0" w:line="480" w:lineRule="auto"/>
        <w:jc w:val="center"/>
        <w:rPr>
          <w:rFonts w:ascii="Times New Roman" w:eastAsia="Times New Roman" w:hAnsi="Times New Roman" w:cs="Times New Roman"/>
          <w:b/>
        </w:rPr>
      </w:pPr>
    </w:p>
    <w:p w14:paraId="59AF21E1" w14:textId="77777777" w:rsidR="00E30E8A" w:rsidRDefault="00E30E8A">
      <w:pPr>
        <w:spacing w:after="0" w:line="480" w:lineRule="auto"/>
        <w:jc w:val="center"/>
        <w:rPr>
          <w:rFonts w:ascii="Times New Roman" w:eastAsia="Times New Roman" w:hAnsi="Times New Roman" w:cs="Times New Roman"/>
          <w:b/>
        </w:rPr>
      </w:pPr>
    </w:p>
    <w:p w14:paraId="39FB8F3B" w14:textId="77777777" w:rsidR="00E30E8A" w:rsidRDefault="00E30E8A">
      <w:pPr>
        <w:spacing w:after="0" w:line="480" w:lineRule="auto"/>
        <w:jc w:val="center"/>
        <w:rPr>
          <w:rFonts w:ascii="Times New Roman" w:eastAsia="Times New Roman" w:hAnsi="Times New Roman" w:cs="Times New Roman"/>
          <w:b/>
        </w:rPr>
      </w:pPr>
    </w:p>
    <w:p w14:paraId="195DAE3A" w14:textId="77777777" w:rsidR="00E30E8A" w:rsidRDefault="00E30E8A">
      <w:pPr>
        <w:spacing w:after="0" w:line="480" w:lineRule="auto"/>
        <w:jc w:val="center"/>
        <w:rPr>
          <w:rFonts w:ascii="Times New Roman" w:eastAsia="Times New Roman" w:hAnsi="Times New Roman" w:cs="Times New Roman"/>
          <w:b/>
        </w:rPr>
      </w:pPr>
    </w:p>
    <w:p w14:paraId="06104689" w14:textId="77777777" w:rsidR="00E30E8A" w:rsidRDefault="00E30E8A">
      <w:pPr>
        <w:spacing w:after="0" w:line="480" w:lineRule="auto"/>
        <w:jc w:val="center"/>
        <w:rPr>
          <w:rFonts w:ascii="Times New Roman" w:eastAsia="Times New Roman" w:hAnsi="Times New Roman" w:cs="Times New Roman"/>
          <w:b/>
        </w:rPr>
      </w:pPr>
    </w:p>
    <w:p w14:paraId="062509D1" w14:textId="77777777" w:rsidR="00E30E8A" w:rsidRDefault="00E30E8A">
      <w:pPr>
        <w:spacing w:after="0" w:line="480" w:lineRule="auto"/>
        <w:jc w:val="center"/>
        <w:rPr>
          <w:rFonts w:ascii="Times New Roman" w:eastAsia="Times New Roman" w:hAnsi="Times New Roman" w:cs="Times New Roman"/>
          <w:b/>
        </w:rPr>
      </w:pPr>
    </w:p>
    <w:p w14:paraId="47E7700B" w14:textId="4CB9920E" w:rsidR="00E30E8A" w:rsidRDefault="00E30E8A" w:rsidP="00AD7092">
      <w:pPr>
        <w:pStyle w:val="Heading1"/>
      </w:pPr>
      <w:bookmarkStart w:id="19" w:name="_Toc197457489"/>
      <w:r>
        <w:lastRenderedPageBreak/>
        <w:t>Appendix B</w:t>
      </w:r>
      <w:bookmarkEnd w:id="19"/>
    </w:p>
    <w:p w14:paraId="3534F153" w14:textId="0494F391" w:rsidR="00E30E8A" w:rsidRPr="00E30E8A" w:rsidRDefault="00E30E8A" w:rsidP="00E30E8A">
      <w:pPr>
        <w:spacing w:after="0" w:line="480" w:lineRule="auto"/>
        <w:rPr>
          <w:rFonts w:ascii="Times New Roman" w:eastAsia="Times New Roman" w:hAnsi="Times New Roman" w:cs="Times New Roman"/>
          <w:bCs/>
        </w:rPr>
      </w:pPr>
      <w:r>
        <w:rPr>
          <w:rFonts w:ascii="Times New Roman" w:eastAsia="Times New Roman" w:hAnsi="Times New Roman" w:cs="Times New Roman"/>
          <w:b/>
        </w:rPr>
        <w:tab/>
      </w:r>
      <w:r>
        <w:rPr>
          <w:rFonts w:ascii="Times New Roman" w:eastAsia="Times New Roman" w:hAnsi="Times New Roman" w:cs="Times New Roman"/>
          <w:bCs/>
        </w:rPr>
        <w:t xml:space="preserve">The following is </w:t>
      </w:r>
      <w:r w:rsidRPr="00E30E8A">
        <w:rPr>
          <w:rFonts w:ascii="Times New Roman" w:eastAsia="Times New Roman" w:hAnsi="Times New Roman" w:cs="Times New Roman"/>
          <w:bCs/>
          <w:i/>
          <w:iCs/>
        </w:rPr>
        <w:t>The Connection Cookbook for Valuable Volunteers - Hospitality, Mutuality, and Connection: 3 recipes</w:t>
      </w:r>
    </w:p>
    <w:p w14:paraId="5F0F1364" w14:textId="5E8DBBFB" w:rsidR="00E30E8A" w:rsidRDefault="00E30E8A">
      <w:pPr>
        <w:spacing w:after="0" w:line="480" w:lineRule="auto"/>
        <w:jc w:val="center"/>
        <w:rPr>
          <w:rFonts w:ascii="Times New Roman" w:eastAsia="Times New Roman" w:hAnsi="Times New Roman" w:cs="Times New Roman"/>
          <w:b/>
        </w:rPr>
      </w:pPr>
      <w:r>
        <w:rPr>
          <w:rFonts w:ascii="Times New Roman" w:eastAsia="Times New Roman" w:hAnsi="Times New Roman" w:cs="Times New Roman"/>
          <w:b/>
          <w:noProof/>
        </w:rPr>
        <w:lastRenderedPageBreak/>
        <w:drawing>
          <wp:inline distT="0" distB="0" distL="0" distR="0" wp14:anchorId="1B396382" wp14:editId="00186491">
            <wp:extent cx="5943600" cy="7694295"/>
            <wp:effectExtent l="0" t="0" r="0" b="1905"/>
            <wp:docPr id="1459408257" name="Picture 1" descr="A cover of a boo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408257" name="Picture 1" descr="A cover of a book&#10;&#10;AI-generated content may be incorrect."/>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7070B2C3" wp14:editId="395B0627">
            <wp:extent cx="5943600" cy="7694295"/>
            <wp:effectExtent l="0" t="0" r="0" b="1905"/>
            <wp:docPr id="1939405247" name="Picture 2" descr="A green cover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405247" name="Picture 2" descr="A green cover with white text&#10;&#10;AI-generated content may be incorrect."/>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686F1845" wp14:editId="625D88EE">
            <wp:extent cx="5943600" cy="7694295"/>
            <wp:effectExtent l="0" t="0" r="0" b="1905"/>
            <wp:docPr id="1495278127" name="Picture 3" descr="A yellow and black flyer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278127" name="Picture 3" descr="A yellow and black flyer with black text&#10;&#10;AI-generated content may be incorrect."/>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6D84F1D1" wp14:editId="1BF6B3D4">
            <wp:extent cx="5943600" cy="7694295"/>
            <wp:effectExtent l="0" t="0" r="0" b="1905"/>
            <wp:docPr id="786821990" name="Picture 4" descr="A yellow and orange poster with a red apr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821990" name="Picture 4" descr="A yellow and orange poster with a red apron&#10;&#10;AI-generated content may be incorrect."/>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sidR="00A60BF5">
        <w:rPr>
          <w:rFonts w:ascii="Times New Roman" w:eastAsia="Times New Roman" w:hAnsi="Times New Roman" w:cs="Times New Roman"/>
          <w:b/>
          <w:noProof/>
        </w:rPr>
        <w:lastRenderedPageBreak/>
        <mc:AlternateContent>
          <mc:Choice Requires="wpi">
            <w:drawing>
              <wp:anchor distT="0" distB="0" distL="114300" distR="114300" simplePos="0" relativeHeight="251662336" behindDoc="0" locked="0" layoutInCell="1" allowOverlap="1" wp14:anchorId="5819E105" wp14:editId="6844031C">
                <wp:simplePos x="0" y="0"/>
                <wp:positionH relativeFrom="column">
                  <wp:posOffset>2676390</wp:posOffset>
                </wp:positionH>
                <wp:positionV relativeFrom="paragraph">
                  <wp:posOffset>5305305</wp:posOffset>
                </wp:positionV>
                <wp:extent cx="1581480" cy="28800"/>
                <wp:effectExtent l="133350" t="133350" r="76200" b="123825"/>
                <wp:wrapNone/>
                <wp:docPr id="1395295534" name="Ink 5"/>
                <wp:cNvGraphicFramePr/>
                <a:graphic xmlns:a="http://schemas.openxmlformats.org/drawingml/2006/main">
                  <a:graphicData uri="http://schemas.microsoft.com/office/word/2010/wordprocessingInk">
                    <w14:contentPart bwMode="auto" r:id="rId85">
                      <w14:nvContentPartPr>
                        <w14:cNvContentPartPr/>
                      </w14:nvContentPartPr>
                      <w14:xfrm>
                        <a:off x="0" y="0"/>
                        <a:ext cx="1581480" cy="28800"/>
                      </w14:xfrm>
                    </w14:contentPart>
                  </a:graphicData>
                </a:graphic>
              </wp:anchor>
            </w:drawing>
          </mc:Choice>
          <mc:Fallback>
            <w:pict>
              <v:shapetype w14:anchorId="30E900BF"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5" o:spid="_x0000_s1026" type="#_x0000_t75" style="position:absolute;margin-left:205.8pt;margin-top:412.8pt;width:134.45pt;height:12.1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">
                <v:imagedata r:id="rId86" o:title=""/>
              </v:shape>
            </w:pict>
          </mc:Fallback>
        </mc:AlternateContent>
      </w:r>
      <w:r w:rsidR="00A60BF5">
        <w:rPr>
          <w:rFonts w:ascii="Times New Roman" w:eastAsia="Times New Roman" w:hAnsi="Times New Roman" w:cs="Times New Roman"/>
          <w:b/>
          <w:noProof/>
        </w:rPr>
        <mc:AlternateContent>
          <mc:Choice Requires="wpi">
            <w:drawing>
              <wp:anchor distT="0" distB="0" distL="114300" distR="114300" simplePos="0" relativeHeight="251660288" behindDoc="0" locked="0" layoutInCell="1" allowOverlap="1" wp14:anchorId="4F41AC0C" wp14:editId="48AF1E61">
                <wp:simplePos x="0" y="0"/>
                <wp:positionH relativeFrom="column">
                  <wp:posOffset>2647950</wp:posOffset>
                </wp:positionH>
                <wp:positionV relativeFrom="paragraph">
                  <wp:posOffset>5219625</wp:posOffset>
                </wp:positionV>
                <wp:extent cx="1647825" cy="635"/>
                <wp:effectExtent l="133350" t="133350" r="85725" b="132715"/>
                <wp:wrapNone/>
                <wp:docPr id="1952244709" name="Ink 3"/>
                <wp:cNvGraphicFramePr/>
                <a:graphic xmlns:a="http://schemas.openxmlformats.org/drawingml/2006/main">
                  <a:graphicData uri="http://schemas.microsoft.com/office/word/2010/wordprocessingInk">
                    <w14:contentPart bwMode="auto" r:id="rId87">
                      <w14:nvContentPartPr>
                        <w14:cNvContentPartPr/>
                      </w14:nvContentPartPr>
                      <w14:xfrm>
                        <a:off x="0" y="0"/>
                        <a:ext cx="1647825" cy="635"/>
                      </w14:xfrm>
                    </w14:contentPart>
                  </a:graphicData>
                </a:graphic>
                <wp14:sizeRelH relativeFrom="margin">
                  <wp14:pctWidth>0</wp14:pctWidth>
                </wp14:sizeRelH>
                <wp14:sizeRelV relativeFrom="margin">
                  <wp14:pctHeight>0</wp14:pctHeight>
                </wp14:sizeRelV>
              </wp:anchor>
            </w:drawing>
          </mc:Choice>
          <mc:Fallback>
            <w:pict>
              <v:shape w14:anchorId="7D38AE77" id="Ink 3" o:spid="_x0000_s1026" type="#_x0000_t75" style="position:absolute;margin-left:203.55pt;margin-top:402.25pt;width:139.65pt;height: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">
                <v:imagedata r:id="rId88" o:title=""/>
              </v:shape>
            </w:pict>
          </mc:Fallback>
        </mc:AlternateContent>
      </w:r>
      <w:r>
        <w:rPr>
          <w:rFonts w:ascii="Times New Roman" w:eastAsia="Times New Roman" w:hAnsi="Times New Roman" w:cs="Times New Roman"/>
          <w:b/>
          <w:noProof/>
        </w:rPr>
        <w:drawing>
          <wp:inline distT="0" distB="0" distL="0" distR="0" wp14:anchorId="6B4C6760" wp14:editId="52F8558C">
            <wp:extent cx="5943600" cy="7694295"/>
            <wp:effectExtent l="0" t="0" r="0" b="1905"/>
            <wp:docPr id="14658719" name="Picture 5" descr="A yellow and black checklis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8719" name="Picture 5" descr="A yellow and black checklist&#10;&#10;AI-generated content may be incorrect."/>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7E428592" wp14:editId="4100B3A3">
            <wp:extent cx="5943600" cy="7694295"/>
            <wp:effectExtent l="0" t="0" r="0" b="1905"/>
            <wp:docPr id="625662690" name="Picture 6" descr="A yellow and green poster with text and people working in a kitch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662690" name="Picture 6" descr="A yellow and green poster with text and people working in a kitchen&#10;&#10;AI-generated content may be incorrect."/>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496D07BF" wp14:editId="77C44E67">
            <wp:extent cx="5943600" cy="7694295"/>
            <wp:effectExtent l="0" t="0" r="0" b="1905"/>
            <wp:docPr id="1457055870" name="Picture 7" descr="A yellow and black email templa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055870" name="Picture 7" descr="A yellow and black email template&#10;&#10;AI-generated content may be incorrect."/>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1E1E4C53" wp14:editId="7004808B">
            <wp:extent cx="5943600" cy="7694295"/>
            <wp:effectExtent l="0" t="0" r="0" b="1905"/>
            <wp:docPr id="498476568" name="Picture 8"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476568" name="Picture 8" descr="A screenshot of a phone&#10;&#10;AI-generated content may be incorrect."/>
                    <pic:cNvPicPr/>
                  </pic:nvPicPr>
                  <pic:blipFill>
                    <a:blip r:embed="rId92"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575F37AB" wp14:editId="3F1A5390">
            <wp:extent cx="5943600" cy="7694295"/>
            <wp:effectExtent l="0" t="0" r="0" b="1905"/>
            <wp:docPr id="848738907" name="Picture 9" descr="A yellow poster with green paint strokes and white paper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738907" name="Picture 9" descr="A yellow poster with green paint strokes and white paper with black text&#10;&#10;AI-generated content may be incorrect."/>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23380CEC" wp14:editId="4C60F816">
            <wp:extent cx="5943600" cy="7694295"/>
            <wp:effectExtent l="0" t="0" r="0" b="1905"/>
            <wp:docPr id="1069174380" name="Picture 10" descr="A yellow and black text on a yellow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174380" name="Picture 10" descr="A yellow and black text on a yellow background&#10;&#10;AI-generated content may be incorrect."/>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187C5537" wp14:editId="245AD9C4">
            <wp:extent cx="5943600" cy="7694295"/>
            <wp:effectExtent l="0" t="0" r="0" b="1905"/>
            <wp:docPr id="1028669175" name="Picture 11" descr="A green and yellow invit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669175" name="Picture 11" descr="A green and yellow invitation&#10;&#10;AI-generated content may be incorrect."/>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06F8C575" wp14:editId="7415684A">
            <wp:extent cx="5943600" cy="7694295"/>
            <wp:effectExtent l="0" t="0" r="0" b="1905"/>
            <wp:docPr id="1108038487" name="Picture 12" descr="A white card with green and yellow de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038487" name="Picture 12" descr="A white card with green and yellow design&#10;&#10;AI-generated content may be incorrect."/>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7F654144" wp14:editId="3DBD5B0D">
            <wp:extent cx="5943600" cy="7694295"/>
            <wp:effectExtent l="0" t="0" r="0" b="1905"/>
            <wp:docPr id="636776189" name="Picture 13" descr="A screenshot of a gam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776189" name="Picture 13" descr="A screenshot of a game&#10;&#10;AI-generated content may be incorrect."/>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3B421889" wp14:editId="51DA4607">
            <wp:extent cx="5943600" cy="7694295"/>
            <wp:effectExtent l="0" t="0" r="0" b="1905"/>
            <wp:docPr id="106563176" name="Picture 14" descr="A yellow cover with black and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63176" name="Picture 14" descr="A yellow cover with black and white text&#10;&#10;AI-generated content may be incorrect."/>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32AF09E4" wp14:editId="3DD0200B">
            <wp:extent cx="5943600" cy="7694295"/>
            <wp:effectExtent l="0" t="0" r="0" b="1905"/>
            <wp:docPr id="831331138" name="Picture 15"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331138" name="Picture 15" descr="A close-up of a document&#10;&#10;AI-generated content may be incorrect."/>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725691BC" wp14:editId="219E52C6">
            <wp:extent cx="5943600" cy="7694295"/>
            <wp:effectExtent l="0" t="0" r="0" b="1905"/>
            <wp:docPr id="1213378227" name="Picture 16" descr="A yellow paper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378227" name="Picture 16" descr="A yellow paper with black text&#10;&#10;AI-generated content may be incorrect."/>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r>
        <w:rPr>
          <w:rFonts w:ascii="Times New Roman" w:eastAsia="Times New Roman" w:hAnsi="Times New Roman" w:cs="Times New Roman"/>
          <w:b/>
          <w:noProof/>
        </w:rPr>
        <w:lastRenderedPageBreak/>
        <w:drawing>
          <wp:inline distT="0" distB="0" distL="0" distR="0" wp14:anchorId="10E43952" wp14:editId="433D4C20">
            <wp:extent cx="5943600" cy="7694295"/>
            <wp:effectExtent l="0" t="0" r="0" b="1905"/>
            <wp:docPr id="1810929628" name="Picture 17" descr="A group of people posing for a phot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929628" name="Picture 17" descr="A group of people posing for a photo&#10;&#10;AI-generated content may be incorrect."/>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p>
    <w:sectPr w:rsidR="00E30E8A">
      <w:headerReference w:type="default" r:id="rId10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7F6E5A" w14:textId="77777777" w:rsidR="00327064" w:rsidRDefault="00327064">
      <w:pPr>
        <w:spacing w:after="0" w:line="240" w:lineRule="auto"/>
      </w:pPr>
      <w:r>
        <w:separator/>
      </w:r>
    </w:p>
  </w:endnote>
  <w:endnote w:type="continuationSeparator" w:id="0">
    <w:p w14:paraId="01ABED1D" w14:textId="77777777" w:rsidR="00327064" w:rsidRDefault="003270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sig w:usb0="00000000" w:usb1="00000000" w:usb2="00000000" w:usb3="00000000" w:csb0="00000001" w:csb1="00000000"/>
    <w:embedRegular r:id="rId1" w:fontKey="{77B9E787-C18D-480A-9135-D110C50425B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embedRegular r:id="rId2" w:fontKey="{6CD4A76C-5CA2-46A5-AF7B-FB1BF36A595F}"/>
    <w:embedBold r:id="rId3" w:fontKey="{091AAEA1-CB05-4AE2-8116-AE74A84CD0EA}"/>
    <w:embedItalic r:id="rId4" w:fontKey="{708E2EC1-67C3-4FFF-ABB4-FAEE34A474EA}"/>
  </w:font>
  <w:font w:name="Aptos Display">
    <w:charset w:val="00"/>
    <w:family w:val="swiss"/>
    <w:pitch w:val="variable"/>
    <w:sig w:usb0="20000287" w:usb1="00000003" w:usb2="00000000" w:usb3="00000000" w:csb0="0000019F" w:csb1="00000000"/>
    <w:embedRegular r:id="rId5" w:fontKey="{558105E7-0F62-4B39-82A0-B27E1FEB81A9}"/>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10F858" w14:textId="77777777" w:rsidR="00327064" w:rsidRDefault="00327064">
      <w:pPr>
        <w:spacing w:after="0" w:line="240" w:lineRule="auto"/>
      </w:pPr>
      <w:r>
        <w:separator/>
      </w:r>
    </w:p>
  </w:footnote>
  <w:footnote w:type="continuationSeparator" w:id="0">
    <w:p w14:paraId="512191BB" w14:textId="77777777" w:rsidR="00327064" w:rsidRDefault="003270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52E11" w14:textId="77777777" w:rsidR="00A003C6" w:rsidRDefault="00AD7092">
    <w:pPr>
      <w:pBdr>
        <w:top w:val="nil"/>
        <w:left w:val="nil"/>
        <w:bottom w:val="nil"/>
        <w:right w:val="nil"/>
        <w:between w:val="nil"/>
      </w:pBdr>
      <w:tabs>
        <w:tab w:val="center" w:pos="4680"/>
        <w:tab w:val="right" w:pos="9360"/>
      </w:tabs>
      <w:spacing w:after="0" w:line="240" w:lineRule="auto"/>
      <w:ind w:right="360"/>
      <w:rPr>
        <w:rFonts w:ascii="Times New Roman" w:eastAsia="Times New Roman" w:hAnsi="Times New Roman" w:cs="Times New Roman"/>
        <w:color w:val="000000"/>
      </w:rPr>
    </w:pPr>
    <w:r>
      <w:rPr>
        <w:rFonts w:ascii="Times New Roman" w:eastAsia="Times New Roman" w:hAnsi="Times New Roman" w:cs="Times New Roman"/>
        <w:color w:val="000000"/>
      </w:rPr>
      <w:t>714 | DL</w:t>
    </w:r>
    <w:r>
      <w:rPr>
        <w:rFonts w:ascii="Times New Roman" w:eastAsia="Times New Roman" w:hAnsi="Times New Roman" w:cs="Times New Roman"/>
      </w:rPr>
      <w:t>5</w:t>
    </w:r>
    <w:r>
      <w:rPr>
        <w:rFonts w:ascii="Times New Roman" w:eastAsia="Times New Roman" w:hAnsi="Times New Roman" w:cs="Times New Roman"/>
        <w:color w:val="000000"/>
      </w:rPr>
      <w:t xml:space="preserve"> | Black Team: Anderson, Salazar, Siegal, Thiry</w:t>
    </w:r>
    <w:r>
      <w:rPr>
        <w:rFonts w:ascii="Times New Roman" w:eastAsia="Times New Roman" w:hAnsi="Times New Roman" w:cs="Times New Roman"/>
        <w:color w:val="000000"/>
      </w:rPr>
      <w:tab/>
    </w: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071547">
      <w:rPr>
        <w:rFonts w:ascii="Times New Roman" w:eastAsia="Times New Roman" w:hAnsi="Times New Roman" w:cs="Times New Roman"/>
        <w:noProof/>
        <w:color w:val="000000"/>
      </w:rPr>
      <w:t>1</w:t>
    </w:r>
    <w:r>
      <w:rPr>
        <w:rFonts w:ascii="Times New Roman" w:eastAsia="Times New Roman" w:hAnsi="Times New Roman" w:cs="Times New Roman"/>
        <w:color w:val="000000"/>
      </w:rPr>
      <w:fldChar w:fldCharType="end"/>
    </w:r>
  </w:p>
  <w:p w14:paraId="2E253E8F" w14:textId="77777777" w:rsidR="00A003C6" w:rsidRDefault="00A003C6">
    <w:pPr>
      <w:pBdr>
        <w:top w:val="nil"/>
        <w:left w:val="nil"/>
        <w:bottom w:val="nil"/>
        <w:right w:val="nil"/>
        <w:between w:val="nil"/>
      </w:pBdr>
      <w:tabs>
        <w:tab w:val="center" w:pos="4680"/>
        <w:tab w:val="right" w:pos="9360"/>
      </w:tabs>
      <w:spacing w:after="0" w:line="240" w:lineRule="auto"/>
      <w:jc w:val="right"/>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E6494"/>
    <w:multiLevelType w:val="multilevel"/>
    <w:tmpl w:val="C0E00A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DF65918"/>
    <w:multiLevelType w:val="multilevel"/>
    <w:tmpl w:val="563A68E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15:restartNumberingAfterBreak="0">
    <w:nsid w:val="1C1F7B11"/>
    <w:multiLevelType w:val="multilevel"/>
    <w:tmpl w:val="2D7E841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508071D7"/>
    <w:multiLevelType w:val="multilevel"/>
    <w:tmpl w:val="15F48A1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51614CA7"/>
    <w:multiLevelType w:val="multilevel"/>
    <w:tmpl w:val="E55CA5D6"/>
    <w:lvl w:ilvl="0">
      <w:start w:val="1"/>
      <w:numFmt w:val="bullet"/>
      <w:lvlText w:val="●"/>
      <w:lvlJc w:val="left"/>
      <w:pPr>
        <w:ind w:left="1080" w:hanging="360"/>
      </w:pPr>
      <w:rPr>
        <w:rFonts w:ascii="Noto Sans Symbols" w:eastAsia="Noto Sans Symbols" w:hAnsi="Noto Sans Symbols" w:cs="Noto Sans Symbols"/>
        <w:sz w:val="20"/>
        <w:szCs w:val="20"/>
      </w:rPr>
    </w:lvl>
    <w:lvl w:ilvl="1">
      <w:start w:val="1"/>
      <w:numFmt w:val="bullet"/>
      <w:lvlText w:val="o"/>
      <w:lvlJc w:val="left"/>
      <w:pPr>
        <w:ind w:left="1800" w:hanging="360"/>
      </w:pPr>
      <w:rPr>
        <w:rFonts w:ascii="Courier New" w:eastAsia="Courier New" w:hAnsi="Courier New" w:cs="Courier New"/>
        <w:sz w:val="20"/>
        <w:szCs w:val="20"/>
      </w:rPr>
    </w:lvl>
    <w:lvl w:ilvl="2">
      <w:start w:val="1"/>
      <w:numFmt w:val="bullet"/>
      <w:lvlText w:val="▪"/>
      <w:lvlJc w:val="left"/>
      <w:pPr>
        <w:ind w:left="2520" w:hanging="360"/>
      </w:pPr>
      <w:rPr>
        <w:rFonts w:ascii="Noto Sans Symbols" w:eastAsia="Noto Sans Symbols" w:hAnsi="Noto Sans Symbols" w:cs="Noto Sans Symbols"/>
        <w:sz w:val="20"/>
        <w:szCs w:val="20"/>
      </w:rPr>
    </w:lvl>
    <w:lvl w:ilvl="3">
      <w:start w:val="1"/>
      <w:numFmt w:val="bullet"/>
      <w:lvlText w:val="▪"/>
      <w:lvlJc w:val="left"/>
      <w:pPr>
        <w:ind w:left="3240" w:hanging="360"/>
      </w:pPr>
      <w:rPr>
        <w:rFonts w:ascii="Noto Sans Symbols" w:eastAsia="Noto Sans Symbols" w:hAnsi="Noto Sans Symbols" w:cs="Noto Sans Symbols"/>
        <w:sz w:val="20"/>
        <w:szCs w:val="20"/>
      </w:rPr>
    </w:lvl>
    <w:lvl w:ilvl="4">
      <w:start w:val="1"/>
      <w:numFmt w:val="bullet"/>
      <w:lvlText w:val="▪"/>
      <w:lvlJc w:val="left"/>
      <w:pPr>
        <w:ind w:left="3960" w:hanging="360"/>
      </w:pPr>
      <w:rPr>
        <w:rFonts w:ascii="Noto Sans Symbols" w:eastAsia="Noto Sans Symbols" w:hAnsi="Noto Sans Symbols" w:cs="Noto Sans Symbols"/>
        <w:sz w:val="20"/>
        <w:szCs w:val="20"/>
      </w:rPr>
    </w:lvl>
    <w:lvl w:ilvl="5">
      <w:start w:val="1"/>
      <w:numFmt w:val="bullet"/>
      <w:lvlText w:val="▪"/>
      <w:lvlJc w:val="left"/>
      <w:pPr>
        <w:ind w:left="4680" w:hanging="360"/>
      </w:pPr>
      <w:rPr>
        <w:rFonts w:ascii="Noto Sans Symbols" w:eastAsia="Noto Sans Symbols" w:hAnsi="Noto Sans Symbols" w:cs="Noto Sans Symbols"/>
        <w:sz w:val="20"/>
        <w:szCs w:val="20"/>
      </w:rPr>
    </w:lvl>
    <w:lvl w:ilvl="6">
      <w:start w:val="1"/>
      <w:numFmt w:val="bullet"/>
      <w:lvlText w:val="▪"/>
      <w:lvlJc w:val="left"/>
      <w:pPr>
        <w:ind w:left="5400" w:hanging="360"/>
      </w:pPr>
      <w:rPr>
        <w:rFonts w:ascii="Noto Sans Symbols" w:eastAsia="Noto Sans Symbols" w:hAnsi="Noto Sans Symbols" w:cs="Noto Sans Symbols"/>
        <w:sz w:val="20"/>
        <w:szCs w:val="20"/>
      </w:rPr>
    </w:lvl>
    <w:lvl w:ilvl="7">
      <w:start w:val="1"/>
      <w:numFmt w:val="bullet"/>
      <w:lvlText w:val="▪"/>
      <w:lvlJc w:val="left"/>
      <w:pPr>
        <w:ind w:left="6120" w:hanging="360"/>
      </w:pPr>
      <w:rPr>
        <w:rFonts w:ascii="Noto Sans Symbols" w:eastAsia="Noto Sans Symbols" w:hAnsi="Noto Sans Symbols" w:cs="Noto Sans Symbols"/>
        <w:sz w:val="20"/>
        <w:szCs w:val="20"/>
      </w:rPr>
    </w:lvl>
    <w:lvl w:ilvl="8">
      <w:start w:val="1"/>
      <w:numFmt w:val="bullet"/>
      <w:lvlText w:val="▪"/>
      <w:lvlJc w:val="left"/>
      <w:pPr>
        <w:ind w:left="6840" w:hanging="360"/>
      </w:pPr>
      <w:rPr>
        <w:rFonts w:ascii="Noto Sans Symbols" w:eastAsia="Noto Sans Symbols" w:hAnsi="Noto Sans Symbols" w:cs="Noto Sans Symbols"/>
        <w:sz w:val="20"/>
        <w:szCs w:val="20"/>
      </w:rPr>
    </w:lvl>
  </w:abstractNum>
  <w:abstractNum w:abstractNumId="5" w15:restartNumberingAfterBreak="0">
    <w:nsid w:val="5DBF38B2"/>
    <w:multiLevelType w:val="multilevel"/>
    <w:tmpl w:val="76865AE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61D86F4E"/>
    <w:multiLevelType w:val="multilevel"/>
    <w:tmpl w:val="ABDEFEF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6DAA74A5"/>
    <w:multiLevelType w:val="multilevel"/>
    <w:tmpl w:val="41DCF0C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926423795">
    <w:abstractNumId w:val="2"/>
  </w:num>
  <w:num w:numId="2" w16cid:durableId="1594240394">
    <w:abstractNumId w:val="0"/>
  </w:num>
  <w:num w:numId="3" w16cid:durableId="705102069">
    <w:abstractNumId w:val="3"/>
  </w:num>
  <w:num w:numId="4" w16cid:durableId="254628725">
    <w:abstractNumId w:val="4"/>
  </w:num>
  <w:num w:numId="5" w16cid:durableId="1530921254">
    <w:abstractNumId w:val="7"/>
  </w:num>
  <w:num w:numId="6" w16cid:durableId="919683005">
    <w:abstractNumId w:val="6"/>
  </w:num>
  <w:num w:numId="7" w16cid:durableId="1352803605">
    <w:abstractNumId w:val="5"/>
  </w:num>
  <w:num w:numId="8" w16cid:durableId="7461491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03C6"/>
    <w:rsid w:val="00027A3B"/>
    <w:rsid w:val="00071547"/>
    <w:rsid w:val="000C088A"/>
    <w:rsid w:val="000D0375"/>
    <w:rsid w:val="001C30F9"/>
    <w:rsid w:val="00207B43"/>
    <w:rsid w:val="00295CDB"/>
    <w:rsid w:val="002A65ED"/>
    <w:rsid w:val="002E6AAC"/>
    <w:rsid w:val="00327064"/>
    <w:rsid w:val="003E7E67"/>
    <w:rsid w:val="005C26AD"/>
    <w:rsid w:val="00734ACB"/>
    <w:rsid w:val="007D39F9"/>
    <w:rsid w:val="007F1258"/>
    <w:rsid w:val="008F773A"/>
    <w:rsid w:val="009638B9"/>
    <w:rsid w:val="00A003C6"/>
    <w:rsid w:val="00A60BF5"/>
    <w:rsid w:val="00A90266"/>
    <w:rsid w:val="00AD7092"/>
    <w:rsid w:val="00C929A3"/>
    <w:rsid w:val="00E14666"/>
    <w:rsid w:val="00E30E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99F13"/>
  <w15:docId w15:val="{E2CACF36-3B63-2D42-ACF4-D7073AD3D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4"/>
        <w:szCs w:val="24"/>
        <w:lang w:val="en-US"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720C"/>
  </w:style>
  <w:style w:type="paragraph" w:styleId="Heading1">
    <w:name w:val="heading 1"/>
    <w:basedOn w:val="Style1"/>
    <w:next w:val="Normal"/>
    <w:link w:val="Heading1Char"/>
    <w:uiPriority w:val="9"/>
    <w:qFormat/>
    <w:rsid w:val="002E6AAC"/>
    <w:pPr>
      <w:outlineLvl w:val="0"/>
    </w:pPr>
  </w:style>
  <w:style w:type="paragraph" w:styleId="Heading2">
    <w:name w:val="heading 2"/>
    <w:basedOn w:val="Style2"/>
    <w:next w:val="Normal"/>
    <w:link w:val="Heading2Char"/>
    <w:uiPriority w:val="9"/>
    <w:unhideWhenUsed/>
    <w:qFormat/>
    <w:rsid w:val="002E6AAC"/>
    <w:pPr>
      <w:outlineLvl w:val="1"/>
    </w:pPr>
  </w:style>
  <w:style w:type="paragraph" w:styleId="Heading3">
    <w:name w:val="heading 3"/>
    <w:basedOn w:val="Normal"/>
    <w:next w:val="Normal"/>
    <w:link w:val="Heading3Char"/>
    <w:uiPriority w:val="9"/>
    <w:semiHidden/>
    <w:unhideWhenUsed/>
    <w:qFormat/>
    <w:rsid w:val="00E615B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615B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615B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615B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615B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615B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615B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615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2E6AAC"/>
    <w:rPr>
      <w:rFonts w:ascii="Times New Roman" w:hAnsi="Times New Roman" w:cs="Times New Roman"/>
      <w:b/>
    </w:rPr>
  </w:style>
  <w:style w:type="character" w:customStyle="1" w:styleId="Heading2Char">
    <w:name w:val="Heading 2 Char"/>
    <w:basedOn w:val="DefaultParagraphFont"/>
    <w:link w:val="Heading2"/>
    <w:uiPriority w:val="9"/>
    <w:rsid w:val="002E6AAC"/>
    <w:rPr>
      <w:rFonts w:ascii="Times New Roman" w:eastAsia="Times New Roman" w:hAnsi="Times New Roman" w:cs="Times New Roman"/>
      <w:b/>
    </w:rPr>
  </w:style>
  <w:style w:type="character" w:customStyle="1" w:styleId="Heading3Char">
    <w:name w:val="Heading 3 Char"/>
    <w:basedOn w:val="DefaultParagraphFont"/>
    <w:link w:val="Heading3"/>
    <w:uiPriority w:val="9"/>
    <w:semiHidden/>
    <w:rsid w:val="00E615B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615B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615B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615B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615B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615B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615BC"/>
    <w:rPr>
      <w:rFonts w:eastAsiaTheme="majorEastAsia" w:cstheme="majorBidi"/>
      <w:color w:val="272727" w:themeColor="text1" w:themeTint="D8"/>
    </w:rPr>
  </w:style>
  <w:style w:type="character" w:customStyle="1" w:styleId="TitleChar">
    <w:name w:val="Title Char"/>
    <w:basedOn w:val="DefaultParagraphFont"/>
    <w:link w:val="Title"/>
    <w:uiPriority w:val="10"/>
    <w:rsid w:val="00E615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E615B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615BC"/>
    <w:pPr>
      <w:spacing w:before="160"/>
      <w:jc w:val="center"/>
    </w:pPr>
    <w:rPr>
      <w:i/>
      <w:iCs/>
      <w:color w:val="404040" w:themeColor="text1" w:themeTint="BF"/>
    </w:rPr>
  </w:style>
  <w:style w:type="character" w:customStyle="1" w:styleId="QuoteChar">
    <w:name w:val="Quote Char"/>
    <w:basedOn w:val="DefaultParagraphFont"/>
    <w:link w:val="Quote"/>
    <w:uiPriority w:val="29"/>
    <w:rsid w:val="00E615BC"/>
    <w:rPr>
      <w:i/>
      <w:iCs/>
      <w:color w:val="404040" w:themeColor="text1" w:themeTint="BF"/>
    </w:rPr>
  </w:style>
  <w:style w:type="paragraph" w:styleId="ListParagraph">
    <w:name w:val="List Paragraph"/>
    <w:basedOn w:val="Normal"/>
    <w:uiPriority w:val="34"/>
    <w:qFormat/>
    <w:rsid w:val="00E615BC"/>
    <w:pPr>
      <w:ind w:left="720"/>
      <w:contextualSpacing/>
    </w:pPr>
  </w:style>
  <w:style w:type="character" w:styleId="IntenseEmphasis">
    <w:name w:val="Intense Emphasis"/>
    <w:basedOn w:val="DefaultParagraphFont"/>
    <w:uiPriority w:val="21"/>
    <w:qFormat/>
    <w:rsid w:val="00E615BC"/>
    <w:rPr>
      <w:i/>
      <w:iCs/>
      <w:color w:val="0F4761" w:themeColor="accent1" w:themeShade="BF"/>
    </w:rPr>
  </w:style>
  <w:style w:type="paragraph" w:styleId="IntenseQuote">
    <w:name w:val="Intense Quote"/>
    <w:basedOn w:val="Normal"/>
    <w:next w:val="Normal"/>
    <w:link w:val="IntenseQuoteChar"/>
    <w:uiPriority w:val="30"/>
    <w:qFormat/>
    <w:rsid w:val="00E615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615BC"/>
    <w:rPr>
      <w:i/>
      <w:iCs/>
      <w:color w:val="0F4761" w:themeColor="accent1" w:themeShade="BF"/>
    </w:rPr>
  </w:style>
  <w:style w:type="character" w:styleId="IntenseReference">
    <w:name w:val="Intense Reference"/>
    <w:basedOn w:val="DefaultParagraphFont"/>
    <w:uiPriority w:val="32"/>
    <w:qFormat/>
    <w:rsid w:val="00E615BC"/>
    <w:rPr>
      <w:b/>
      <w:bCs/>
      <w:smallCaps/>
      <w:color w:val="0F4761" w:themeColor="accent1" w:themeShade="BF"/>
      <w:spacing w:val="5"/>
    </w:rPr>
  </w:style>
  <w:style w:type="paragraph" w:styleId="Header">
    <w:name w:val="header"/>
    <w:basedOn w:val="Normal"/>
    <w:link w:val="HeaderChar"/>
    <w:uiPriority w:val="99"/>
    <w:unhideWhenUsed/>
    <w:rsid w:val="003A374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3743"/>
  </w:style>
  <w:style w:type="paragraph" w:styleId="Footer">
    <w:name w:val="footer"/>
    <w:basedOn w:val="Normal"/>
    <w:link w:val="FooterChar"/>
    <w:uiPriority w:val="99"/>
    <w:unhideWhenUsed/>
    <w:rsid w:val="003A374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3743"/>
  </w:style>
  <w:style w:type="paragraph" w:styleId="CommentText">
    <w:name w:val="annotation text"/>
    <w:basedOn w:val="Normal"/>
    <w:link w:val="CommentTextChar"/>
    <w:uiPriority w:val="99"/>
    <w:unhideWhenUsed/>
    <w:rsid w:val="003A3743"/>
    <w:pPr>
      <w:spacing w:line="240" w:lineRule="auto"/>
    </w:pPr>
    <w:rPr>
      <w:sz w:val="20"/>
      <w:szCs w:val="20"/>
    </w:rPr>
  </w:style>
  <w:style w:type="character" w:customStyle="1" w:styleId="CommentTextChar">
    <w:name w:val="Comment Text Char"/>
    <w:basedOn w:val="DefaultParagraphFont"/>
    <w:link w:val="CommentText"/>
    <w:uiPriority w:val="99"/>
    <w:rsid w:val="003A3743"/>
    <w:rPr>
      <w:sz w:val="20"/>
      <w:szCs w:val="20"/>
    </w:rPr>
  </w:style>
  <w:style w:type="character" w:styleId="CommentReference">
    <w:name w:val="annotation reference"/>
    <w:basedOn w:val="DefaultParagraphFont"/>
    <w:uiPriority w:val="99"/>
    <w:semiHidden/>
    <w:unhideWhenUsed/>
    <w:rsid w:val="003A3743"/>
    <w:rPr>
      <w:sz w:val="16"/>
      <w:szCs w:val="16"/>
    </w:rPr>
  </w:style>
  <w:style w:type="character" w:styleId="Emphasis">
    <w:name w:val="Emphasis"/>
    <w:basedOn w:val="DefaultParagraphFont"/>
    <w:uiPriority w:val="20"/>
    <w:qFormat/>
    <w:rsid w:val="00EC0499"/>
    <w:rPr>
      <w:i/>
      <w:iCs/>
    </w:rPr>
  </w:style>
  <w:style w:type="character" w:styleId="Hyperlink">
    <w:name w:val="Hyperlink"/>
    <w:basedOn w:val="DefaultParagraphFont"/>
    <w:uiPriority w:val="99"/>
    <w:unhideWhenUsed/>
    <w:rsid w:val="00EC0499"/>
    <w:rPr>
      <w:color w:val="0000FF"/>
      <w:u w:val="single"/>
    </w:rPr>
  </w:style>
  <w:style w:type="character" w:styleId="Strong">
    <w:name w:val="Strong"/>
    <w:basedOn w:val="DefaultParagraphFont"/>
    <w:uiPriority w:val="22"/>
    <w:qFormat/>
    <w:rsid w:val="00E30E8A"/>
    <w:rPr>
      <w:b/>
      <w:bCs/>
    </w:rPr>
  </w:style>
  <w:style w:type="paragraph" w:customStyle="1" w:styleId="Style1">
    <w:name w:val="Style1"/>
    <w:basedOn w:val="Normal"/>
    <w:link w:val="Style1Char"/>
    <w:qFormat/>
    <w:rsid w:val="00E30E8A"/>
    <w:pPr>
      <w:spacing w:before="240" w:after="240" w:line="480" w:lineRule="auto"/>
      <w:jc w:val="center"/>
    </w:pPr>
    <w:rPr>
      <w:rFonts w:ascii="Times New Roman" w:hAnsi="Times New Roman" w:cs="Times New Roman"/>
      <w:b/>
    </w:rPr>
  </w:style>
  <w:style w:type="character" w:customStyle="1" w:styleId="Style1Char">
    <w:name w:val="Style1 Char"/>
    <w:basedOn w:val="DefaultParagraphFont"/>
    <w:link w:val="Style1"/>
    <w:rsid w:val="00E30E8A"/>
    <w:rPr>
      <w:rFonts w:ascii="Times New Roman" w:hAnsi="Times New Roman" w:cs="Times New Roman"/>
      <w:b/>
    </w:rPr>
  </w:style>
  <w:style w:type="paragraph" w:customStyle="1" w:styleId="Style2">
    <w:name w:val="Style2"/>
    <w:basedOn w:val="Normal"/>
    <w:next w:val="Normal"/>
    <w:link w:val="Style2Char"/>
    <w:qFormat/>
    <w:rsid w:val="002E6AAC"/>
    <w:pPr>
      <w:spacing w:line="523" w:lineRule="auto"/>
      <w:contextualSpacing/>
    </w:pPr>
    <w:rPr>
      <w:rFonts w:ascii="Times New Roman" w:eastAsia="Times New Roman" w:hAnsi="Times New Roman" w:cs="Times New Roman"/>
      <w:b/>
    </w:rPr>
  </w:style>
  <w:style w:type="character" w:customStyle="1" w:styleId="Style2Char">
    <w:name w:val="Style2 Char"/>
    <w:basedOn w:val="DefaultParagraphFont"/>
    <w:link w:val="Style2"/>
    <w:rsid w:val="002E6AAC"/>
    <w:rPr>
      <w:rFonts w:ascii="Times New Roman" w:eastAsia="Times New Roman" w:hAnsi="Times New Roman" w:cs="Times New Roman"/>
      <w:b/>
    </w:rPr>
  </w:style>
  <w:style w:type="paragraph" w:styleId="NoSpacing">
    <w:name w:val="No Spacing"/>
    <w:uiPriority w:val="1"/>
    <w:qFormat/>
    <w:rsid w:val="002E6AAC"/>
    <w:pPr>
      <w:spacing w:after="0" w:line="240" w:lineRule="auto"/>
    </w:pPr>
  </w:style>
  <w:style w:type="paragraph" w:styleId="TOCHeading">
    <w:name w:val="TOC Heading"/>
    <w:basedOn w:val="Heading1"/>
    <w:next w:val="Normal"/>
    <w:uiPriority w:val="39"/>
    <w:unhideWhenUsed/>
    <w:qFormat/>
    <w:rsid w:val="002E6AAC"/>
    <w:pPr>
      <w:spacing w:after="0" w:line="259" w:lineRule="auto"/>
      <w:outlineLvl w:val="9"/>
    </w:pPr>
    <w:rPr>
      <w:sz w:val="32"/>
      <w:szCs w:val="32"/>
    </w:rPr>
  </w:style>
  <w:style w:type="paragraph" w:styleId="TOC1">
    <w:name w:val="toc 1"/>
    <w:basedOn w:val="Normal"/>
    <w:next w:val="Normal"/>
    <w:autoRedefine/>
    <w:uiPriority w:val="39"/>
    <w:unhideWhenUsed/>
    <w:rsid w:val="00AD7092"/>
    <w:pPr>
      <w:spacing w:after="100"/>
    </w:pPr>
  </w:style>
  <w:style w:type="paragraph" w:styleId="TOC2">
    <w:name w:val="toc 2"/>
    <w:basedOn w:val="Normal"/>
    <w:next w:val="Normal"/>
    <w:autoRedefine/>
    <w:uiPriority w:val="39"/>
    <w:unhideWhenUsed/>
    <w:rsid w:val="00AD7092"/>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www.phila.gov/media/20240923121315/OHS-PIT-Count-Summary-Report-2024.pdf" TargetMode="External"/><Relationship Id="rId21" Type="http://schemas.openxmlformats.org/officeDocument/2006/relationships/hyperlink" Target="https://doi.org/10.1002/job.565" TargetMode="External"/><Relationship Id="rId42" Type="http://schemas.openxmlformats.org/officeDocument/2006/relationships/hyperlink" Target="https://doi.org/10.1080/10495142.2019.1656136" TargetMode="External"/><Relationship Id="rId47" Type="http://schemas.openxmlformats.org/officeDocument/2006/relationships/hyperlink" Target="https://doi.org/10.1111/hsc.13775" TargetMode="External"/><Relationship Id="rId63" Type="http://schemas.openxmlformats.org/officeDocument/2006/relationships/hyperlink" Target="https://nextcity.org/urbanist-news/neighborhood-renewal-by-germantown-residents-for-germantown-residents" TargetMode="External"/><Relationship Id="rId68" Type="http://schemas.openxmlformats.org/officeDocument/2006/relationships/hyperlink" Target="https://doi.org/10.1016/j.psi.2014.07.008" TargetMode="External"/><Relationship Id="rId84" Type="http://schemas.openxmlformats.org/officeDocument/2006/relationships/image" Target="media/image4.png"/><Relationship Id="rId89" Type="http://schemas.openxmlformats.org/officeDocument/2006/relationships/image" Target="media/image7.png"/><Relationship Id="rId16" Type="http://schemas.openxmlformats.org/officeDocument/2006/relationships/hyperlink" Target="https://doi.org/10.1037/0033-2909.117.3.497" TargetMode="External"/><Relationship Id="rId11" Type="http://schemas.openxmlformats.org/officeDocument/2006/relationships/hyperlink" Target="https://doi.org/10.1037/0022-3514.64.3.431" TargetMode="External"/><Relationship Id="rId32" Type="http://schemas.openxmlformats.org/officeDocument/2006/relationships/hyperlink" Target="https://www.huduser.gov/portal/sites/default/files/pdf/2024-AHAR-Part-1.pdf" TargetMode="External"/><Relationship Id="rId37" Type="http://schemas.openxmlformats.org/officeDocument/2006/relationships/hyperlink" Target="https://facetofacegermantown.org/mission" TargetMode="External"/><Relationship Id="rId53" Type="http://schemas.openxmlformats.org/officeDocument/2006/relationships/hyperlink" Target="https://doi.org/10.1177/13505076211047506" TargetMode="External"/><Relationship Id="rId58" Type="http://schemas.openxmlformats.org/officeDocument/2006/relationships/hyperlink" Target="https://doi.org/10.36273/2076-9555.2024.3(332).12-18" TargetMode="External"/><Relationship Id="rId74" Type="http://schemas.openxmlformats.org/officeDocument/2006/relationships/hyperlink" Target="https://doi.org/10.1002/nml.21277" TargetMode="External"/><Relationship Id="rId79" Type="http://schemas.openxmlformats.org/officeDocument/2006/relationships/hyperlink" Target="https://whyy.org/articles/philadelphia-americas-poorest-big-city-poverty/" TargetMode="External"/><Relationship Id="rId102" Type="http://schemas.openxmlformats.org/officeDocument/2006/relationships/header" Target="header1.xml"/><Relationship Id="rId5" Type="http://schemas.openxmlformats.org/officeDocument/2006/relationships/settings" Target="settings.xml"/><Relationship Id="rId90" Type="http://schemas.openxmlformats.org/officeDocument/2006/relationships/image" Target="media/image8.png"/><Relationship Id="rId95" Type="http://schemas.openxmlformats.org/officeDocument/2006/relationships/image" Target="media/image13.png"/><Relationship Id="rId22" Type="http://schemas.openxmlformats.org/officeDocument/2006/relationships/hyperlink" Target="https://doi.org/10.2224/sbp.2007.35.5.627" TargetMode="External"/><Relationship Id="rId27" Type="http://schemas.openxmlformats.org/officeDocument/2006/relationships/hyperlink" Target="https://doi.org/10.1037/0022-3514.74.6.1516" TargetMode="External"/><Relationship Id="rId43" Type="http://schemas.openxmlformats.org/officeDocument/2006/relationships/hyperlink" Target="https://doi.org/10.1108/JSTP-09-2022-0215" TargetMode="External"/><Relationship Id="rId48" Type="http://schemas.openxmlformats.org/officeDocument/2006/relationships/hyperlink" Target="https://doi.org/10.1111/hsc.13775" TargetMode="External"/><Relationship Id="rId64" Type="http://schemas.openxmlformats.org/officeDocument/2006/relationships/hyperlink" Target="https://nextcity.org/urbanist-news/neighborhood-renewal-by-germantown-residents-for-germantown-residents" TargetMode="External"/><Relationship Id="rId69" Type="http://schemas.openxmlformats.org/officeDocument/2006/relationships/hyperlink" Target="https://doi.org/10.1002/ajcp.12368" TargetMode="External"/><Relationship Id="rId80" Type="http://schemas.openxmlformats.org/officeDocument/2006/relationships/hyperlink" Target="https://whyy.org/articles/philadelphia-americas-poorest-big-city-poverty/" TargetMode="External"/><Relationship Id="rId85" Type="http://schemas.openxmlformats.org/officeDocument/2006/relationships/customXml" Target="ink/ink1.xml"/><Relationship Id="rId12" Type="http://schemas.openxmlformats.org/officeDocument/2006/relationships/hyperlink" Target="https://doi.org/10.1287/opre.2021.0419" TargetMode="External"/><Relationship Id="rId17" Type="http://schemas.openxmlformats.org/officeDocument/2006/relationships/hyperlink" Target="https://doi.org/10.1007/s12144-023-05607-9" TargetMode="External"/><Relationship Id="rId25" Type="http://schemas.openxmlformats.org/officeDocument/2006/relationships/hyperlink" Target="https://doi.org/10.3389/fpubh.2023.1140965" TargetMode="External"/><Relationship Id="rId33" Type="http://schemas.openxmlformats.org/officeDocument/2006/relationships/hyperlink" Target="https://www.huduser.gov/portal/sites/default/files/pdf/2024-AHAR-Part-1.pdf" TargetMode="External"/><Relationship Id="rId38" Type="http://schemas.openxmlformats.org/officeDocument/2006/relationships/hyperlink" Target="https://facetofacegermantown.org/mission" TargetMode="External"/><Relationship Id="rId46" Type="http://schemas.openxmlformats.org/officeDocument/2006/relationships/hyperlink" Target="https://doi.org/10.1080/026999300402808" TargetMode="External"/><Relationship Id="rId59" Type="http://schemas.openxmlformats.org/officeDocument/2006/relationships/hyperlink" Target="https://doi.org/10.1177/0146167213499186" TargetMode="External"/><Relationship Id="rId67" Type="http://schemas.openxmlformats.org/officeDocument/2006/relationships/hyperlink" Target="https://doi.org/10.1177/0961000617747338" TargetMode="External"/><Relationship Id="rId103" Type="http://schemas.openxmlformats.org/officeDocument/2006/relationships/fontTable" Target="fontTable.xml"/><Relationship Id="rId20" Type="http://schemas.openxmlformats.org/officeDocument/2006/relationships/hyperlink" Target="https://doi.org/10.1002/job.565" TargetMode="External"/><Relationship Id="rId41" Type="http://schemas.openxmlformats.org/officeDocument/2006/relationships/hyperlink" Target="https://doi.org/10.1080/10495142.2019.1656136" TargetMode="External"/><Relationship Id="rId54" Type="http://schemas.openxmlformats.org/officeDocument/2006/relationships/hyperlink" Target="https://homelessnomore.com/homelessness-in-philadelphia-2024-key-statistics-causes-and-solutions" TargetMode="External"/><Relationship Id="rId62" Type="http://schemas.openxmlformats.org/officeDocument/2006/relationships/hyperlink" Target="https://endhomelessness.org/homelessness-in-america/homelessness-statistics/state-of-homelessness/" TargetMode="External"/><Relationship Id="rId70" Type="http://schemas.openxmlformats.org/officeDocument/2006/relationships/hyperlink" Target="https://doi.org/10.1002/ajcp.12368" TargetMode="External"/><Relationship Id="rId75" Type="http://schemas.openxmlformats.org/officeDocument/2006/relationships/hyperlink" Target="https://doi.org/10.1002/nml.21277" TargetMode="External"/><Relationship Id="rId83" Type="http://schemas.openxmlformats.org/officeDocument/2006/relationships/image" Target="media/image3.png"/><Relationship Id="rId88" Type="http://schemas.openxmlformats.org/officeDocument/2006/relationships/image" Target="media/image6.png"/><Relationship Id="rId91" Type="http://schemas.openxmlformats.org/officeDocument/2006/relationships/image" Target="media/image9.png"/><Relationship Id="rId96"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oi.org/10.1007/978-3-319-52878-6_36" TargetMode="External"/><Relationship Id="rId23" Type="http://schemas.openxmlformats.org/officeDocument/2006/relationships/hyperlink" Target="https://doi.org/10.2224/sbp.2007.35.5.627" TargetMode="External"/><Relationship Id="rId28" Type="http://schemas.openxmlformats.org/officeDocument/2006/relationships/hyperlink" Target="https://www.bkconnection.com/static/Appreciative-Inquiry-EXCERPT.pdf" TargetMode="External"/><Relationship Id="rId36" Type="http://schemas.openxmlformats.org/officeDocument/2006/relationships/hyperlink" Target="https://doi.org/10.1093/oxfordhb/9780199734610.013.0029" TargetMode="External"/><Relationship Id="rId49" Type="http://schemas.openxmlformats.org/officeDocument/2006/relationships/hyperlink" Target="https://doi.org/10.1177/0899764010366181" TargetMode="External"/><Relationship Id="rId57" Type="http://schemas.openxmlformats.org/officeDocument/2006/relationships/hyperlink" Target="https://doi.org/10.1002/cdq.12013" TargetMode="External"/><Relationship Id="rId10" Type="http://schemas.openxmlformats.org/officeDocument/2006/relationships/hyperlink" Target="https://doi.org/10.1037/0022-3514.64.3.431" TargetMode="External"/><Relationship Id="rId31" Type="http://schemas.openxmlformats.org/officeDocument/2006/relationships/hyperlink" Target="https://doi.org/10.1207/S15327965PLI1104_01" TargetMode="External"/><Relationship Id="rId44" Type="http://schemas.openxmlformats.org/officeDocument/2006/relationships/hyperlink" Target="https://doi.org/10.1108/JSTP-09-2022-0215" TargetMode="External"/><Relationship Id="rId52" Type="http://schemas.openxmlformats.org/officeDocument/2006/relationships/hyperlink" Target="https://doi.org/10.1177/0899764016651335" TargetMode="External"/><Relationship Id="rId60" Type="http://schemas.openxmlformats.org/officeDocument/2006/relationships/hyperlink" Target="https://metrophiladelphia.com/philly-homeless-count-unsheltered" TargetMode="External"/><Relationship Id="rId65" Type="http://schemas.openxmlformats.org/officeDocument/2006/relationships/hyperlink" Target="https://doi.org/10.1007/s11266-023-00573-z" TargetMode="External"/><Relationship Id="rId73" Type="http://schemas.openxmlformats.org/officeDocument/2006/relationships/hyperlink" Target="https://doi.org/10.1080/17439760.2019.1689416" TargetMode="External"/><Relationship Id="rId78" Type="http://schemas.openxmlformats.org/officeDocument/2006/relationships/hyperlink" Target="https://doi.org/10.2307/2095521" TargetMode="External"/><Relationship Id="rId81" Type="http://schemas.openxmlformats.org/officeDocument/2006/relationships/image" Target="media/image1.png"/><Relationship Id="rId86" Type="http://schemas.openxmlformats.org/officeDocument/2006/relationships/image" Target="media/image5.png"/><Relationship Id="rId94" Type="http://schemas.openxmlformats.org/officeDocument/2006/relationships/image" Target="media/image12.png"/><Relationship Id="rId99" Type="http://schemas.openxmlformats.org/officeDocument/2006/relationships/image" Target="media/image17.png"/><Relationship Id="rId101" Type="http://schemas.openxmlformats.org/officeDocument/2006/relationships/image" Target="media/image19.png"/><Relationship Id="rId4" Type="http://schemas.openxmlformats.org/officeDocument/2006/relationships/styles" Target="styles.xml"/><Relationship Id="rId9" Type="http://schemas.openxmlformats.org/officeDocument/2006/relationships/hyperlink" Target="https://doi.org/10.1007/s11266-015-9601-3" TargetMode="External"/><Relationship Id="rId13" Type="http://schemas.openxmlformats.org/officeDocument/2006/relationships/hyperlink" Target="https://www.axios.com/local/philadelphia/2024/09/23/homelessness-rise-philly-shelters" TargetMode="External"/><Relationship Id="rId18" Type="http://schemas.openxmlformats.org/officeDocument/2006/relationships/hyperlink" Target="https://doi.org/10.1002/hrm.20435" TargetMode="External"/><Relationship Id="rId39" Type="http://schemas.openxmlformats.org/officeDocument/2006/relationships/hyperlink" Target="https://facetofacegermantown.org/" TargetMode="External"/><Relationship Id="rId34" Type="http://schemas.openxmlformats.org/officeDocument/2006/relationships/hyperlink" Target="https://doi.org/10.1007/s10464-008-9165-0" TargetMode="External"/><Relationship Id="rId50" Type="http://schemas.openxmlformats.org/officeDocument/2006/relationships/hyperlink" Target="https://doi.org/10.1177/0899764010366181" TargetMode="External"/><Relationship Id="rId55" Type="http://schemas.openxmlformats.org/officeDocument/2006/relationships/hyperlink" Target="https://doi.org/10.3390/economies8040101" TargetMode="External"/><Relationship Id="rId76" Type="http://schemas.openxmlformats.org/officeDocument/2006/relationships/hyperlink" Target="https://doi.org/10.1037/0003-066X.60.5.410" TargetMode="External"/><Relationship Id="rId97" Type="http://schemas.openxmlformats.org/officeDocument/2006/relationships/image" Target="media/image15.png"/><Relationship Id="rId10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s://doi.org/10.1017/9781108979405" TargetMode="External"/><Relationship Id="rId92" Type="http://schemas.openxmlformats.org/officeDocument/2006/relationships/image" Target="media/image10.png"/><Relationship Id="rId2" Type="http://schemas.openxmlformats.org/officeDocument/2006/relationships/customXml" Target="../customXml/item2.xml"/><Relationship Id="rId29" Type="http://schemas.openxmlformats.org/officeDocument/2006/relationships/hyperlink" Target="https://doi.org/10.1080/10511482.2021.1905024" TargetMode="External"/><Relationship Id="rId24" Type="http://schemas.openxmlformats.org/officeDocument/2006/relationships/hyperlink" Target="https://doi.org/10.3389/fpubh.2023.1140965" TargetMode="External"/><Relationship Id="rId40" Type="http://schemas.openxmlformats.org/officeDocument/2006/relationships/hyperlink" Target="https://facetofacegermantown.org/" TargetMode="External"/><Relationship Id="rId45" Type="http://schemas.openxmlformats.org/officeDocument/2006/relationships/hyperlink" Target="https://doi.org/10.1080/026999300402808" TargetMode="External"/><Relationship Id="rId66" Type="http://schemas.openxmlformats.org/officeDocument/2006/relationships/hyperlink" Target="https://doi.org/10.1007/s11266-023-00573-z" TargetMode="External"/><Relationship Id="rId87" Type="http://schemas.openxmlformats.org/officeDocument/2006/relationships/customXml" Target="ink/ink2.xml"/><Relationship Id="rId61" Type="http://schemas.openxmlformats.org/officeDocument/2006/relationships/hyperlink" Target="https://endhomelessness.org/homelessness-in-america/homelessness-statistics/state-of-homelessness/" TargetMode="External"/><Relationship Id="rId82" Type="http://schemas.openxmlformats.org/officeDocument/2006/relationships/image" Target="media/image2.png"/><Relationship Id="rId19" Type="http://schemas.openxmlformats.org/officeDocument/2006/relationships/hyperlink" Target="https://doi.org/10.1177/0018726714550256" TargetMode="External"/><Relationship Id="rId14" Type="http://schemas.openxmlformats.org/officeDocument/2006/relationships/hyperlink" Target="https://www.axios.com/local/philadelphia/2024/09/23/homelessness-rise-philly-shelters" TargetMode="External"/><Relationship Id="rId30" Type="http://schemas.openxmlformats.org/officeDocument/2006/relationships/hyperlink" Target="https://doi.org/10.1080/10511482.2021.1905024" TargetMode="External"/><Relationship Id="rId35" Type="http://schemas.openxmlformats.org/officeDocument/2006/relationships/hyperlink" Target="https://doi.org/10.1007/978-3-319-56889-8_20" TargetMode="External"/><Relationship Id="rId56" Type="http://schemas.openxmlformats.org/officeDocument/2006/relationships/hyperlink" Target="https://doi.org/10.1002/cdq.12013" TargetMode="External"/><Relationship Id="rId77" Type="http://schemas.openxmlformats.org/officeDocument/2006/relationships/hyperlink" Target="https://doi.org/10.2307/2095521" TargetMode="External"/><Relationship Id="rId100" Type="http://schemas.openxmlformats.org/officeDocument/2006/relationships/image" Target="media/image18.png"/><Relationship Id="rId8" Type="http://schemas.openxmlformats.org/officeDocument/2006/relationships/endnotes" Target="endnotes.xml"/><Relationship Id="rId51" Type="http://schemas.openxmlformats.org/officeDocument/2006/relationships/hyperlink" Target="https://www.urban.org/research/publication/volunteer-management-practices-and-retention-volunteers" TargetMode="External"/><Relationship Id="rId72" Type="http://schemas.openxmlformats.org/officeDocument/2006/relationships/hyperlink" Target="https://doi.org/10.1080/17439760.2019.1689416" TargetMode="External"/><Relationship Id="rId93" Type="http://schemas.openxmlformats.org/officeDocument/2006/relationships/image" Target="media/image11.png"/><Relationship Id="rId98" Type="http://schemas.openxmlformats.org/officeDocument/2006/relationships/image" Target="media/image16.png"/><Relationship Id="rId3" Type="http://schemas.openxmlformats.org/officeDocument/2006/relationships/numbering" Target="numbering.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5-07T22:00:15.309"/>
    </inkml:context>
    <inkml:brush xml:id="br0">
      <inkml:brushProperty name="width" value="0.35" units="cm"/>
      <inkml:brushProperty name="height" value="0.35" units="cm"/>
      <inkml:brushProperty name="color" value="#FDE9EB"/>
    </inkml:brush>
  </inkml:definitions>
  <inkml:trace contextRef="#ctx0" brushRef="#br0">0 79 24548,'4392'-79'0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5-07T21:59:58.653"/>
    </inkml:context>
    <inkml:brush xml:id="br0">
      <inkml:brushProperty name="width" value="0.35" units="cm"/>
      <inkml:brushProperty name="height" value="0.35" units="cm"/>
      <inkml:brushProperty name="color" value="#FDE9EB"/>
    </inkml:brush>
  </inkml:definitions>
  <inkml:trace contextRef="#ctx0" brushRef="#br0">0 0 24552,'4578'0'0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I3W21YqTxNfRGPFRn28+jCN1G8Q==">CgMxLjA4AHIhMWlXSnkxMWRIcDVSaWpQNFJxbUptZE43MTktV1hTaGVO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838301E-BE65-44AE-9192-93F83FDD85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62</Pages>
  <Words>10424</Words>
  <Characters>66614</Characters>
  <Application>Microsoft Office Word</Application>
  <DocSecurity>0</DocSecurity>
  <Lines>1092</Lines>
  <Paragraphs>285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Siegal, Taylor</dc:creator>
  <cp:lastModifiedBy>landree salazar</cp:lastModifiedBy>
  <cp:revision>8</cp:revision>
  <dcterms:created xsi:type="dcterms:W3CDTF">2025-05-07T03:01:00Z</dcterms:created>
  <dcterms:modified xsi:type="dcterms:W3CDTF">2025-05-07T22:02:00Z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fyFromBlank">
    <vt:bool>true</vt:bool>
  </property>
  <property fmtid="{D5CDD505-2E9C-101B-9397-08002B2CF9AE}" pid="3" name="TemplafyTemplateId">
    <vt:lpwstr>1001012883652608912</vt:lpwstr>
  </property>
  <property fmtid="{D5CDD505-2E9C-101B-9397-08002B2CF9AE}" pid="4" name="TemplafyTenantId">
    <vt:lpwstr>pennmedicine</vt:lpwstr>
  </property>
  <property fmtid="{D5CDD505-2E9C-101B-9397-08002B2CF9AE}" pid="5" name="TemplafyUserProfileId">
    <vt:lpwstr>1108692997283512375</vt:lpwstr>
  </property>
  <property fmtid="{D5CDD505-2E9C-101B-9397-08002B2CF9AE}" pid="6" name="GrammarlyDocumentId">
    <vt:lpwstr>1a99ec70-2155-4953-aa04-8f62f8bdfde2</vt:lpwstr>
  </property>
</Properties>
</file>