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6FFC95" w14:textId="7CD62E49" w:rsidR="009979C4" w:rsidRDefault="00DB5B70" w:rsidP="00DB5B70">
      <w:pPr>
        <w:jc w:val="center"/>
      </w:pPr>
      <w:r>
        <w:fldChar w:fldCharType="begin"/>
      </w:r>
      <w:r>
        <w:instrText xml:space="preserve"> INCLUDEPICTURE "https://www.dental.upenn.edu/wp-content/uploads/2023/03/logo-4-600x330-1-600x330.jpg" \* MERGEFORMATINET </w:instrText>
      </w:r>
      <w:r>
        <w:fldChar w:fldCharType="separate"/>
      </w:r>
      <w:r>
        <w:rPr>
          <w:noProof/>
        </w:rPr>
        <w:drawing>
          <wp:inline distT="0" distB="0" distL="0" distR="0" wp14:anchorId="7A146C74" wp14:editId="7180D5B4">
            <wp:extent cx="3122762" cy="1716852"/>
            <wp:effectExtent l="0" t="0" r="1905" b="0"/>
            <wp:docPr id="1616043906" name="Picture 1" descr="Patient Care Facilities - Penn Dental Medic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tient Care Facilities - Penn Dental Medicin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146814" cy="1730075"/>
                    </a:xfrm>
                    <a:prstGeom prst="rect">
                      <a:avLst/>
                    </a:prstGeom>
                    <a:noFill/>
                    <a:ln>
                      <a:noFill/>
                    </a:ln>
                  </pic:spPr>
                </pic:pic>
              </a:graphicData>
            </a:graphic>
          </wp:inline>
        </w:drawing>
      </w:r>
      <w:r>
        <w:fldChar w:fldCharType="end"/>
      </w:r>
    </w:p>
    <w:p w14:paraId="32EDA541" w14:textId="77777777" w:rsidR="00DB5B70" w:rsidRPr="00746900" w:rsidRDefault="00DB5B70" w:rsidP="00746900">
      <w:pPr>
        <w:jc w:val="center"/>
        <w:rPr>
          <w:rFonts w:asciiTheme="majorBidi" w:hAnsiTheme="majorBidi" w:cstheme="majorBidi"/>
        </w:rPr>
      </w:pPr>
    </w:p>
    <w:p w14:paraId="3046C8C6" w14:textId="35C133B5" w:rsidR="00746900" w:rsidRPr="00746900" w:rsidRDefault="00746900" w:rsidP="00DD6750">
      <w:pPr>
        <w:spacing w:line="480" w:lineRule="auto"/>
        <w:jc w:val="center"/>
        <w:rPr>
          <w:rFonts w:asciiTheme="majorBidi" w:hAnsiTheme="majorBidi" w:cstheme="majorBidi"/>
          <w:b/>
          <w:bCs/>
        </w:rPr>
      </w:pPr>
      <w:r w:rsidRPr="00746900">
        <w:rPr>
          <w:rFonts w:asciiTheme="majorBidi" w:hAnsiTheme="majorBidi" w:cstheme="majorBidi"/>
        </w:rPr>
        <w:t>Evaluation of peri-implant bone level remodeling after immediate implant placement</w:t>
      </w:r>
      <w:r w:rsidRPr="00746900">
        <w:rPr>
          <w:rFonts w:asciiTheme="majorBidi" w:hAnsiTheme="majorBidi" w:cstheme="majorBidi"/>
          <w:b/>
          <w:bCs/>
        </w:rPr>
        <w:t xml:space="preserve"> – Retrospective Study</w:t>
      </w:r>
    </w:p>
    <w:p w14:paraId="54508AEB" w14:textId="64AD4953" w:rsidR="00DB5B70" w:rsidRPr="00746900" w:rsidRDefault="00DB5B70" w:rsidP="00DD6750">
      <w:pPr>
        <w:spacing w:line="480" w:lineRule="auto"/>
        <w:jc w:val="center"/>
        <w:rPr>
          <w:rFonts w:asciiTheme="majorBidi" w:hAnsiTheme="majorBidi" w:cstheme="majorBidi"/>
        </w:rPr>
      </w:pPr>
      <w:r w:rsidRPr="00746900">
        <w:rPr>
          <w:rFonts w:asciiTheme="majorBidi" w:hAnsiTheme="majorBidi" w:cstheme="majorBidi"/>
        </w:rPr>
        <w:t>Nasser Malek Mohammad, DDS</w:t>
      </w:r>
    </w:p>
    <w:p w14:paraId="56DD5B70" w14:textId="66E2F008" w:rsidR="00DB5B70" w:rsidRPr="00746900" w:rsidRDefault="00DB5B70" w:rsidP="00DD6750">
      <w:pPr>
        <w:spacing w:line="480" w:lineRule="auto"/>
        <w:jc w:val="center"/>
        <w:rPr>
          <w:rFonts w:asciiTheme="majorBidi" w:hAnsiTheme="majorBidi" w:cstheme="majorBidi"/>
        </w:rPr>
      </w:pPr>
      <w:r w:rsidRPr="00746900">
        <w:rPr>
          <w:rFonts w:asciiTheme="majorBidi" w:hAnsiTheme="majorBidi" w:cstheme="majorBidi"/>
        </w:rPr>
        <w:t xml:space="preserve">A Thesis </w:t>
      </w:r>
    </w:p>
    <w:p w14:paraId="064BFE43" w14:textId="4FE9713B" w:rsidR="00DB5B70" w:rsidRPr="00DD6750" w:rsidRDefault="00DB5B70" w:rsidP="00DD6750">
      <w:pPr>
        <w:spacing w:line="480" w:lineRule="auto"/>
        <w:jc w:val="center"/>
        <w:rPr>
          <w:rFonts w:asciiTheme="majorBidi" w:hAnsiTheme="majorBidi" w:cstheme="majorBidi"/>
          <w:b/>
          <w:bCs/>
        </w:rPr>
      </w:pPr>
      <w:r w:rsidRPr="00845E74">
        <w:rPr>
          <w:rFonts w:asciiTheme="majorBidi" w:hAnsiTheme="majorBidi" w:cstheme="majorBidi"/>
          <w:b/>
          <w:bCs/>
        </w:rPr>
        <w:t xml:space="preserve">University of Pennsylvania, School of Dental Medicine </w:t>
      </w:r>
    </w:p>
    <w:p w14:paraId="562D61CC" w14:textId="49A9D367" w:rsidR="00DB5B70" w:rsidRPr="00746900" w:rsidRDefault="00DB5B70" w:rsidP="00DD6750">
      <w:pPr>
        <w:spacing w:line="480" w:lineRule="auto"/>
        <w:jc w:val="center"/>
        <w:rPr>
          <w:rFonts w:asciiTheme="majorBidi" w:hAnsiTheme="majorBidi" w:cstheme="majorBidi"/>
        </w:rPr>
      </w:pPr>
      <w:r w:rsidRPr="00746900">
        <w:rPr>
          <w:rFonts w:asciiTheme="majorBidi" w:hAnsiTheme="majorBidi" w:cstheme="majorBidi"/>
        </w:rPr>
        <w:t>Presented to the faculties of the University of Pennsylvania inn Partial Fulfillment of the Requirements for the Degree of Master of Science in Oral Biology</w:t>
      </w:r>
    </w:p>
    <w:p w14:paraId="1EDC40CF" w14:textId="131FF0A2" w:rsidR="00DB5B70" w:rsidRPr="00DD6750" w:rsidRDefault="00DB5B70" w:rsidP="00DD6750">
      <w:pPr>
        <w:spacing w:line="480" w:lineRule="auto"/>
        <w:jc w:val="center"/>
        <w:rPr>
          <w:rFonts w:asciiTheme="majorBidi" w:hAnsiTheme="majorBidi" w:cstheme="majorBidi"/>
          <w:b/>
          <w:bCs/>
        </w:rPr>
      </w:pPr>
      <w:r w:rsidRPr="00845E74">
        <w:rPr>
          <w:rFonts w:asciiTheme="majorBidi" w:hAnsiTheme="majorBidi" w:cstheme="majorBidi"/>
          <w:b/>
          <w:bCs/>
        </w:rPr>
        <w:t>2025</w:t>
      </w:r>
    </w:p>
    <w:p w14:paraId="1063D58B" w14:textId="14282812" w:rsidR="00DB5B70" w:rsidRPr="00542A98" w:rsidRDefault="00DB5B70" w:rsidP="00DD6750">
      <w:pPr>
        <w:spacing w:line="480" w:lineRule="auto"/>
        <w:rPr>
          <w:rFonts w:asciiTheme="majorBidi" w:hAnsiTheme="majorBidi" w:cstheme="majorBidi"/>
          <w:b/>
          <w:bCs/>
        </w:rPr>
      </w:pPr>
      <w:r w:rsidRPr="00542A98">
        <w:rPr>
          <w:rFonts w:asciiTheme="majorBidi" w:hAnsiTheme="majorBidi" w:cstheme="majorBidi"/>
          <w:b/>
          <w:bCs/>
        </w:rPr>
        <w:t>Advisor:</w:t>
      </w:r>
    </w:p>
    <w:p w14:paraId="16600BE6" w14:textId="49900EF4" w:rsidR="00DB5B70" w:rsidRPr="00746900" w:rsidRDefault="00DB5B70" w:rsidP="00DD6750">
      <w:pPr>
        <w:spacing w:line="480" w:lineRule="auto"/>
        <w:rPr>
          <w:rFonts w:asciiTheme="majorBidi" w:hAnsiTheme="majorBidi" w:cstheme="majorBidi"/>
        </w:rPr>
      </w:pPr>
      <w:r w:rsidRPr="00746900">
        <w:rPr>
          <w:rFonts w:asciiTheme="majorBidi" w:hAnsiTheme="majorBidi" w:cstheme="majorBidi"/>
        </w:rPr>
        <w:t xml:space="preserve">Dr. Joseph P. </w:t>
      </w:r>
      <w:proofErr w:type="spellStart"/>
      <w:r w:rsidRPr="00746900">
        <w:rPr>
          <w:rFonts w:asciiTheme="majorBidi" w:hAnsiTheme="majorBidi" w:cstheme="majorBidi"/>
        </w:rPr>
        <w:t>Fiorillini</w:t>
      </w:r>
      <w:proofErr w:type="spellEnd"/>
      <w:r w:rsidRPr="00746900">
        <w:rPr>
          <w:rFonts w:asciiTheme="majorBidi" w:hAnsiTheme="majorBidi" w:cstheme="majorBidi"/>
        </w:rPr>
        <w:t>, DMD, DMSs</w:t>
      </w:r>
      <w:r w:rsidR="00A63A43">
        <w:rPr>
          <w:rFonts w:asciiTheme="majorBidi" w:hAnsiTheme="majorBidi" w:cstheme="majorBidi"/>
        </w:rPr>
        <w:t xml:space="preserve">              _____________________________________</w:t>
      </w:r>
    </w:p>
    <w:p w14:paraId="646846AC" w14:textId="3FBA3A06" w:rsidR="00DB5B70" w:rsidRPr="00542A98" w:rsidRDefault="00DB5B70" w:rsidP="00DD6750">
      <w:pPr>
        <w:spacing w:line="480" w:lineRule="auto"/>
        <w:rPr>
          <w:rFonts w:asciiTheme="majorBidi" w:hAnsiTheme="majorBidi" w:cstheme="majorBidi"/>
          <w:b/>
          <w:bCs/>
        </w:rPr>
      </w:pPr>
      <w:r w:rsidRPr="00542A98">
        <w:rPr>
          <w:rFonts w:asciiTheme="majorBidi" w:hAnsiTheme="majorBidi" w:cstheme="majorBidi"/>
          <w:b/>
          <w:bCs/>
        </w:rPr>
        <w:t>Thesis Committee</w:t>
      </w:r>
    </w:p>
    <w:p w14:paraId="37B566BF" w14:textId="369A90F7" w:rsidR="00DB5B70" w:rsidRPr="00746900" w:rsidRDefault="00DB5B70" w:rsidP="00DD6750">
      <w:pPr>
        <w:spacing w:line="480" w:lineRule="auto"/>
        <w:rPr>
          <w:rFonts w:asciiTheme="majorBidi" w:hAnsiTheme="majorBidi" w:cstheme="majorBidi"/>
        </w:rPr>
      </w:pPr>
      <w:r w:rsidRPr="00746900">
        <w:rPr>
          <w:rFonts w:asciiTheme="majorBidi" w:hAnsiTheme="majorBidi" w:cstheme="majorBidi"/>
        </w:rPr>
        <w:t xml:space="preserve">Dr. Jonathan </w:t>
      </w:r>
      <w:proofErr w:type="spellStart"/>
      <w:r w:rsidRPr="00746900">
        <w:rPr>
          <w:rFonts w:asciiTheme="majorBidi" w:hAnsiTheme="majorBidi" w:cstheme="majorBidi"/>
        </w:rPr>
        <w:t>Korostoff</w:t>
      </w:r>
      <w:proofErr w:type="spellEnd"/>
      <w:r w:rsidRPr="00746900">
        <w:rPr>
          <w:rFonts w:asciiTheme="majorBidi" w:hAnsiTheme="majorBidi" w:cstheme="majorBidi"/>
        </w:rPr>
        <w:t xml:space="preserve">, DMD, </w:t>
      </w:r>
      <w:r w:rsidR="00A63A43" w:rsidRPr="00746900">
        <w:rPr>
          <w:rFonts w:asciiTheme="majorBidi" w:hAnsiTheme="majorBidi" w:cstheme="majorBidi"/>
        </w:rPr>
        <w:t>PhD</w:t>
      </w:r>
      <w:r w:rsidR="00A63A43">
        <w:rPr>
          <w:rFonts w:asciiTheme="majorBidi" w:hAnsiTheme="majorBidi" w:cstheme="majorBidi"/>
        </w:rPr>
        <w:t xml:space="preserve">                _____________________________________</w:t>
      </w:r>
    </w:p>
    <w:p w14:paraId="06200278" w14:textId="6633EB5B" w:rsidR="00DB5B70" w:rsidRPr="00746900" w:rsidRDefault="00DB5B70" w:rsidP="00DD6750">
      <w:pPr>
        <w:spacing w:line="480" w:lineRule="auto"/>
        <w:rPr>
          <w:rFonts w:asciiTheme="majorBidi" w:hAnsiTheme="majorBidi" w:cstheme="majorBidi"/>
        </w:rPr>
      </w:pPr>
      <w:r w:rsidRPr="00746900">
        <w:rPr>
          <w:rFonts w:asciiTheme="majorBidi" w:hAnsiTheme="majorBidi" w:cstheme="majorBidi"/>
        </w:rPr>
        <w:t>Dr. Yu-Cheng Chang, DDS, MS, DMD</w:t>
      </w:r>
      <w:r w:rsidR="00A63A43">
        <w:rPr>
          <w:rFonts w:asciiTheme="majorBidi" w:hAnsiTheme="majorBidi" w:cstheme="majorBidi"/>
        </w:rPr>
        <w:t>.          _____________________________________</w:t>
      </w:r>
    </w:p>
    <w:p w14:paraId="08EBDBB7" w14:textId="7303962F" w:rsidR="00DB5B70" w:rsidRPr="00746900" w:rsidRDefault="00DB5B70" w:rsidP="00DD6750">
      <w:pPr>
        <w:spacing w:line="480" w:lineRule="auto"/>
        <w:rPr>
          <w:rFonts w:asciiTheme="majorBidi" w:hAnsiTheme="majorBidi" w:cstheme="majorBidi"/>
        </w:rPr>
      </w:pPr>
      <w:r w:rsidRPr="00746900">
        <w:rPr>
          <w:rFonts w:asciiTheme="majorBidi" w:hAnsiTheme="majorBidi" w:cstheme="majorBidi"/>
        </w:rPr>
        <w:t xml:space="preserve">Dr. Mohammad </w:t>
      </w:r>
      <w:proofErr w:type="spellStart"/>
      <w:r w:rsidRPr="00746900">
        <w:rPr>
          <w:rFonts w:asciiTheme="majorBidi" w:hAnsiTheme="majorBidi" w:cstheme="majorBidi"/>
        </w:rPr>
        <w:t>Qali</w:t>
      </w:r>
      <w:proofErr w:type="spellEnd"/>
      <w:r w:rsidRPr="00746900">
        <w:rPr>
          <w:rFonts w:asciiTheme="majorBidi" w:hAnsiTheme="majorBidi" w:cstheme="majorBidi"/>
        </w:rPr>
        <w:t>, D.D.S, MS.</w:t>
      </w:r>
      <w:r w:rsidR="00A63A43">
        <w:rPr>
          <w:rFonts w:asciiTheme="majorBidi" w:hAnsiTheme="majorBidi" w:cstheme="majorBidi"/>
        </w:rPr>
        <w:t xml:space="preserve">                    _____________________________________</w:t>
      </w:r>
    </w:p>
    <w:p w14:paraId="42E11AA8" w14:textId="393C5595" w:rsidR="00DB5B70" w:rsidRDefault="00DB5B70" w:rsidP="00AD062D">
      <w:pPr>
        <w:jc w:val="center"/>
        <w:rPr>
          <w:rFonts w:asciiTheme="majorBidi" w:hAnsiTheme="majorBidi" w:cstheme="majorBidi"/>
          <w:b/>
          <w:bCs/>
        </w:rPr>
      </w:pPr>
      <w:r w:rsidRPr="00AD062D">
        <w:rPr>
          <w:rFonts w:asciiTheme="majorBidi" w:hAnsiTheme="majorBidi" w:cstheme="majorBidi"/>
          <w:b/>
          <w:bCs/>
        </w:rPr>
        <w:lastRenderedPageBreak/>
        <w:t>Dedication</w:t>
      </w:r>
    </w:p>
    <w:p w14:paraId="44510E46" w14:textId="77777777" w:rsidR="00AD062D" w:rsidRPr="00AD062D" w:rsidRDefault="00AD062D" w:rsidP="00AD062D">
      <w:pPr>
        <w:jc w:val="center"/>
        <w:rPr>
          <w:rFonts w:asciiTheme="majorBidi" w:hAnsiTheme="majorBidi" w:cstheme="majorBidi"/>
          <w:b/>
          <w:bCs/>
        </w:rPr>
      </w:pPr>
    </w:p>
    <w:p w14:paraId="16316CFC" w14:textId="4B5F4500" w:rsidR="00DB5B70" w:rsidRPr="00746900" w:rsidRDefault="00AD062D" w:rsidP="00AD062D">
      <w:pPr>
        <w:spacing w:line="480" w:lineRule="auto"/>
        <w:rPr>
          <w:rFonts w:asciiTheme="majorBidi" w:hAnsiTheme="majorBidi" w:cstheme="majorBidi"/>
        </w:rPr>
      </w:pPr>
      <w:r>
        <w:rPr>
          <w:rFonts w:asciiTheme="majorBidi" w:hAnsiTheme="majorBidi" w:cstheme="majorBidi"/>
        </w:rPr>
        <w:t>I dedicate my dissertation work to my family who went through a lot during the time in residency. A special gratitude and appreciation for my better half my wife Fatmah for the all the support and help for the past fo</w:t>
      </w:r>
      <w:r w:rsidR="00DD6750">
        <w:rPr>
          <w:rFonts w:asciiTheme="majorBidi" w:hAnsiTheme="majorBidi" w:cstheme="majorBidi"/>
        </w:rPr>
        <w:t>u</w:t>
      </w:r>
      <w:r>
        <w:rPr>
          <w:rFonts w:asciiTheme="majorBidi" w:hAnsiTheme="majorBidi" w:cstheme="majorBidi"/>
        </w:rPr>
        <w:t xml:space="preserve">r years. My sunshine, and positive energy source my daughters Zainab and Mariam and for the newcomer Yaseen. I apologize for the nights that you all went to bed, and I was not there and the days you woke up and I have already left, I promise I will make it up for you all. Finally, my family across the ocean their support and prayers were the blessing to get to this point. </w:t>
      </w:r>
    </w:p>
    <w:p w14:paraId="77AADDF1" w14:textId="77777777" w:rsidR="00DB5B70" w:rsidRPr="00746900" w:rsidRDefault="00DB5B70" w:rsidP="00DB5B70">
      <w:pPr>
        <w:rPr>
          <w:rFonts w:asciiTheme="majorBidi" w:hAnsiTheme="majorBidi" w:cstheme="majorBidi"/>
        </w:rPr>
      </w:pPr>
    </w:p>
    <w:p w14:paraId="44FBA7AD" w14:textId="77777777" w:rsidR="00DB5B70" w:rsidRPr="00746900" w:rsidRDefault="00DB5B70" w:rsidP="00DB5B70">
      <w:pPr>
        <w:rPr>
          <w:rFonts w:asciiTheme="majorBidi" w:hAnsiTheme="majorBidi" w:cstheme="majorBidi"/>
        </w:rPr>
      </w:pPr>
    </w:p>
    <w:p w14:paraId="464E80F0" w14:textId="77777777" w:rsidR="00DB5B70" w:rsidRPr="00746900" w:rsidRDefault="00DB5B70" w:rsidP="00DB5B70">
      <w:pPr>
        <w:rPr>
          <w:rFonts w:asciiTheme="majorBidi" w:hAnsiTheme="majorBidi" w:cstheme="majorBidi"/>
        </w:rPr>
      </w:pPr>
    </w:p>
    <w:p w14:paraId="627F5063" w14:textId="77777777" w:rsidR="00DB5B70" w:rsidRPr="00746900" w:rsidRDefault="00DB5B70" w:rsidP="00DB5B70">
      <w:pPr>
        <w:rPr>
          <w:rFonts w:asciiTheme="majorBidi" w:hAnsiTheme="majorBidi" w:cstheme="majorBidi"/>
        </w:rPr>
      </w:pPr>
    </w:p>
    <w:p w14:paraId="15DDC0A1" w14:textId="77777777" w:rsidR="00DB5B70" w:rsidRPr="00746900" w:rsidRDefault="00DB5B70" w:rsidP="00DB5B70">
      <w:pPr>
        <w:rPr>
          <w:rFonts w:asciiTheme="majorBidi" w:hAnsiTheme="majorBidi" w:cstheme="majorBidi"/>
        </w:rPr>
      </w:pPr>
    </w:p>
    <w:p w14:paraId="1280A83B" w14:textId="77777777" w:rsidR="00DB5B70" w:rsidRPr="00746900" w:rsidRDefault="00DB5B70" w:rsidP="00DB5B70">
      <w:pPr>
        <w:rPr>
          <w:rFonts w:asciiTheme="majorBidi" w:hAnsiTheme="majorBidi" w:cstheme="majorBidi"/>
        </w:rPr>
      </w:pPr>
    </w:p>
    <w:p w14:paraId="00E3B6CD" w14:textId="77777777" w:rsidR="00DB5B70" w:rsidRPr="00746900" w:rsidRDefault="00DB5B70" w:rsidP="00DB5B70">
      <w:pPr>
        <w:rPr>
          <w:rFonts w:asciiTheme="majorBidi" w:hAnsiTheme="majorBidi" w:cstheme="majorBidi"/>
        </w:rPr>
      </w:pPr>
    </w:p>
    <w:p w14:paraId="06967A3B" w14:textId="77777777" w:rsidR="00DB5B70" w:rsidRPr="00746900" w:rsidRDefault="00DB5B70" w:rsidP="00DB5B70">
      <w:pPr>
        <w:rPr>
          <w:rFonts w:asciiTheme="majorBidi" w:hAnsiTheme="majorBidi" w:cstheme="majorBidi"/>
        </w:rPr>
      </w:pPr>
    </w:p>
    <w:p w14:paraId="6CFEDC1A" w14:textId="77777777" w:rsidR="00DB5B70" w:rsidRPr="00746900" w:rsidRDefault="00DB5B70" w:rsidP="00DB5B70">
      <w:pPr>
        <w:rPr>
          <w:rFonts w:asciiTheme="majorBidi" w:hAnsiTheme="majorBidi" w:cstheme="majorBidi"/>
        </w:rPr>
      </w:pPr>
    </w:p>
    <w:p w14:paraId="4F7DA521" w14:textId="77777777" w:rsidR="00DB5B70" w:rsidRPr="00746900" w:rsidRDefault="00DB5B70" w:rsidP="00DB5B70">
      <w:pPr>
        <w:rPr>
          <w:rFonts w:asciiTheme="majorBidi" w:hAnsiTheme="majorBidi" w:cstheme="majorBidi"/>
        </w:rPr>
      </w:pPr>
    </w:p>
    <w:p w14:paraId="5A629806" w14:textId="77777777" w:rsidR="00DB5B70" w:rsidRPr="00746900" w:rsidRDefault="00DB5B70" w:rsidP="00DB5B70">
      <w:pPr>
        <w:rPr>
          <w:rFonts w:asciiTheme="majorBidi" w:hAnsiTheme="majorBidi" w:cstheme="majorBidi"/>
        </w:rPr>
      </w:pPr>
    </w:p>
    <w:p w14:paraId="2746DA49" w14:textId="77777777" w:rsidR="00DB5B70" w:rsidRPr="00746900" w:rsidRDefault="00DB5B70" w:rsidP="00DB5B70">
      <w:pPr>
        <w:rPr>
          <w:rFonts w:asciiTheme="majorBidi" w:hAnsiTheme="majorBidi" w:cstheme="majorBidi"/>
        </w:rPr>
      </w:pPr>
    </w:p>
    <w:p w14:paraId="450955B5" w14:textId="77777777" w:rsidR="00DB5B70" w:rsidRPr="00746900" w:rsidRDefault="00DB5B70" w:rsidP="00DB5B70">
      <w:pPr>
        <w:rPr>
          <w:rFonts w:asciiTheme="majorBidi" w:hAnsiTheme="majorBidi" w:cstheme="majorBidi"/>
        </w:rPr>
      </w:pPr>
    </w:p>
    <w:p w14:paraId="6B6EA27B" w14:textId="77777777" w:rsidR="00DB5B70" w:rsidRPr="00746900" w:rsidRDefault="00DB5B70" w:rsidP="00DB5B70">
      <w:pPr>
        <w:rPr>
          <w:rFonts w:asciiTheme="majorBidi" w:hAnsiTheme="majorBidi" w:cstheme="majorBidi"/>
        </w:rPr>
      </w:pPr>
    </w:p>
    <w:p w14:paraId="056D9DE7" w14:textId="77777777" w:rsidR="00DB5B70" w:rsidRPr="00746900" w:rsidRDefault="00DB5B70" w:rsidP="00DB5B70">
      <w:pPr>
        <w:rPr>
          <w:rFonts w:asciiTheme="majorBidi" w:hAnsiTheme="majorBidi" w:cstheme="majorBidi"/>
        </w:rPr>
      </w:pPr>
    </w:p>
    <w:p w14:paraId="5476C46C" w14:textId="77777777" w:rsidR="00DB5B70" w:rsidRPr="00746900" w:rsidRDefault="00DB5B70" w:rsidP="00DB5B70">
      <w:pPr>
        <w:rPr>
          <w:rFonts w:asciiTheme="majorBidi" w:hAnsiTheme="majorBidi" w:cstheme="majorBidi"/>
        </w:rPr>
      </w:pPr>
    </w:p>
    <w:p w14:paraId="7E3BF300" w14:textId="77777777" w:rsidR="00AD062D" w:rsidRDefault="00AD062D" w:rsidP="00AD062D">
      <w:pPr>
        <w:jc w:val="center"/>
        <w:rPr>
          <w:rFonts w:asciiTheme="majorBidi" w:hAnsiTheme="majorBidi" w:cstheme="majorBidi"/>
          <w:b/>
          <w:bCs/>
        </w:rPr>
      </w:pPr>
    </w:p>
    <w:p w14:paraId="07EA975D" w14:textId="77777777" w:rsidR="00AD062D" w:rsidRDefault="00AD062D" w:rsidP="00AD062D">
      <w:pPr>
        <w:rPr>
          <w:rFonts w:asciiTheme="majorBidi" w:hAnsiTheme="majorBidi" w:cstheme="majorBidi"/>
          <w:b/>
          <w:bCs/>
        </w:rPr>
      </w:pPr>
    </w:p>
    <w:p w14:paraId="54F7A610" w14:textId="5CE63E22" w:rsidR="00DB5B70" w:rsidRDefault="00DB5B70" w:rsidP="00AD062D">
      <w:pPr>
        <w:jc w:val="center"/>
        <w:rPr>
          <w:rFonts w:asciiTheme="majorBidi" w:hAnsiTheme="majorBidi" w:cstheme="majorBidi"/>
          <w:b/>
          <w:bCs/>
        </w:rPr>
      </w:pPr>
      <w:r w:rsidRPr="00AD062D">
        <w:rPr>
          <w:rFonts w:asciiTheme="majorBidi" w:hAnsiTheme="majorBidi" w:cstheme="majorBidi"/>
          <w:b/>
          <w:bCs/>
        </w:rPr>
        <w:t>Acknowledgments</w:t>
      </w:r>
    </w:p>
    <w:p w14:paraId="691A1F34" w14:textId="77777777" w:rsidR="00AD062D" w:rsidRPr="00AD062D" w:rsidRDefault="00AD062D" w:rsidP="00AD062D">
      <w:pPr>
        <w:rPr>
          <w:rFonts w:asciiTheme="majorBidi" w:hAnsiTheme="majorBidi" w:cstheme="majorBidi"/>
          <w:b/>
          <w:bCs/>
        </w:rPr>
      </w:pPr>
    </w:p>
    <w:p w14:paraId="3D839AC7" w14:textId="77CC1194" w:rsidR="00AD062D" w:rsidRPr="00746900" w:rsidRDefault="00AD062D" w:rsidP="00AD062D">
      <w:pPr>
        <w:spacing w:line="480" w:lineRule="auto"/>
        <w:rPr>
          <w:rFonts w:asciiTheme="majorBidi" w:hAnsiTheme="majorBidi" w:cstheme="majorBidi"/>
        </w:rPr>
      </w:pPr>
      <w:r w:rsidRPr="00AD062D">
        <w:rPr>
          <w:rFonts w:asciiTheme="majorBidi" w:hAnsiTheme="majorBidi" w:cstheme="majorBidi"/>
        </w:rPr>
        <w:t>To my mentor</w:t>
      </w:r>
      <w:r>
        <w:rPr>
          <w:rFonts w:asciiTheme="majorBidi" w:hAnsiTheme="majorBidi" w:cstheme="majorBidi"/>
        </w:rPr>
        <w:t xml:space="preserve"> Dr. </w:t>
      </w:r>
      <w:proofErr w:type="spellStart"/>
      <w:r>
        <w:rPr>
          <w:rFonts w:asciiTheme="majorBidi" w:hAnsiTheme="majorBidi" w:cstheme="majorBidi"/>
        </w:rPr>
        <w:t>Fiorellini</w:t>
      </w:r>
      <w:proofErr w:type="spellEnd"/>
      <w:r w:rsidRPr="00AD062D">
        <w:rPr>
          <w:rFonts w:asciiTheme="majorBidi" w:hAnsiTheme="majorBidi" w:cstheme="majorBidi"/>
        </w:rPr>
        <w:t xml:space="preserve"> and faculty</w:t>
      </w:r>
      <w:r>
        <w:rPr>
          <w:rFonts w:asciiTheme="majorBidi" w:hAnsiTheme="majorBidi" w:cstheme="majorBidi"/>
        </w:rPr>
        <w:t xml:space="preserve"> Dr. </w:t>
      </w:r>
      <w:proofErr w:type="spellStart"/>
      <w:r>
        <w:rPr>
          <w:rFonts w:asciiTheme="majorBidi" w:hAnsiTheme="majorBidi" w:cstheme="majorBidi"/>
        </w:rPr>
        <w:t>Korostoff</w:t>
      </w:r>
      <w:proofErr w:type="spellEnd"/>
      <w:r>
        <w:rPr>
          <w:rFonts w:asciiTheme="majorBidi" w:hAnsiTheme="majorBidi" w:cstheme="majorBidi"/>
        </w:rPr>
        <w:t xml:space="preserve">, Dr. Chang, and Dr. </w:t>
      </w:r>
      <w:proofErr w:type="spellStart"/>
      <w:r>
        <w:rPr>
          <w:rFonts w:asciiTheme="majorBidi" w:hAnsiTheme="majorBidi" w:cstheme="majorBidi"/>
        </w:rPr>
        <w:t>Qali</w:t>
      </w:r>
      <w:proofErr w:type="spellEnd"/>
      <w:r w:rsidRPr="00AD062D">
        <w:rPr>
          <w:rFonts w:asciiTheme="majorBidi" w:hAnsiTheme="majorBidi" w:cstheme="majorBidi"/>
        </w:rPr>
        <w:t>,</w:t>
      </w:r>
      <w:r>
        <w:rPr>
          <w:rFonts w:asciiTheme="majorBidi" w:hAnsiTheme="majorBidi" w:cstheme="majorBidi"/>
        </w:rPr>
        <w:t xml:space="preserve"> </w:t>
      </w:r>
      <w:r w:rsidRPr="00AD062D">
        <w:rPr>
          <w:rFonts w:asciiTheme="majorBidi" w:hAnsiTheme="majorBidi" w:cstheme="majorBidi"/>
        </w:rPr>
        <w:t>whose guidance and support have been invaluable. Your wisdom, encouragement, and unwavering belief in my potential have inspired me throughout this journey. Thank you for challenging me to think critically, for nurturing my curiosity</w:t>
      </w:r>
      <w:r>
        <w:rPr>
          <w:rFonts w:asciiTheme="majorBidi" w:hAnsiTheme="majorBidi" w:cstheme="majorBidi"/>
        </w:rPr>
        <w:t xml:space="preserve">. </w:t>
      </w:r>
      <w:r w:rsidRPr="00AD062D">
        <w:rPr>
          <w:rFonts w:asciiTheme="majorBidi" w:hAnsiTheme="majorBidi" w:cstheme="majorBidi"/>
        </w:rPr>
        <w:t>This work is a testament to your dedication to education and to the countless students you have empowered.</w:t>
      </w:r>
      <w:r>
        <w:rPr>
          <w:rFonts w:asciiTheme="majorBidi" w:hAnsiTheme="majorBidi" w:cstheme="majorBidi"/>
        </w:rPr>
        <w:t xml:space="preserve"> I also greatly grateful for all faculty at the Department of Periodontics and my co-residents and friends.</w:t>
      </w:r>
    </w:p>
    <w:p w14:paraId="7F036817" w14:textId="77777777" w:rsidR="00DB5B70" w:rsidRPr="00746900" w:rsidRDefault="00DB5B70" w:rsidP="00DB5B70">
      <w:pPr>
        <w:rPr>
          <w:rFonts w:asciiTheme="majorBidi" w:hAnsiTheme="majorBidi" w:cstheme="majorBidi"/>
        </w:rPr>
      </w:pPr>
    </w:p>
    <w:p w14:paraId="351221FE" w14:textId="77777777" w:rsidR="00DB5B70" w:rsidRPr="00746900" w:rsidRDefault="00DB5B70" w:rsidP="00DB5B70">
      <w:pPr>
        <w:rPr>
          <w:rFonts w:asciiTheme="majorBidi" w:hAnsiTheme="majorBidi" w:cstheme="majorBidi"/>
        </w:rPr>
      </w:pPr>
    </w:p>
    <w:p w14:paraId="363308BC" w14:textId="77777777" w:rsidR="00DB5B70" w:rsidRPr="00746900" w:rsidRDefault="00DB5B70" w:rsidP="00DB5B70">
      <w:pPr>
        <w:rPr>
          <w:rFonts w:asciiTheme="majorBidi" w:hAnsiTheme="majorBidi" w:cstheme="majorBidi"/>
        </w:rPr>
      </w:pPr>
    </w:p>
    <w:p w14:paraId="440A188D" w14:textId="77777777" w:rsidR="00DB5B70" w:rsidRPr="00746900" w:rsidRDefault="00DB5B70" w:rsidP="00DB5B70">
      <w:pPr>
        <w:rPr>
          <w:rFonts w:asciiTheme="majorBidi" w:hAnsiTheme="majorBidi" w:cstheme="majorBidi"/>
        </w:rPr>
      </w:pPr>
    </w:p>
    <w:p w14:paraId="4665BFFB" w14:textId="77777777" w:rsidR="00DB5B70" w:rsidRPr="00746900" w:rsidRDefault="00DB5B70" w:rsidP="00DB5B70">
      <w:pPr>
        <w:rPr>
          <w:rFonts w:asciiTheme="majorBidi" w:hAnsiTheme="majorBidi" w:cstheme="majorBidi"/>
        </w:rPr>
      </w:pPr>
    </w:p>
    <w:p w14:paraId="5DDC1665" w14:textId="77777777" w:rsidR="00DB5B70" w:rsidRPr="00746900" w:rsidRDefault="00DB5B70" w:rsidP="00DB5B70">
      <w:pPr>
        <w:rPr>
          <w:rFonts w:asciiTheme="majorBidi" w:hAnsiTheme="majorBidi" w:cstheme="majorBidi"/>
        </w:rPr>
      </w:pPr>
    </w:p>
    <w:p w14:paraId="3617CA0D" w14:textId="77777777" w:rsidR="00DB5B70" w:rsidRPr="00746900" w:rsidRDefault="00DB5B70" w:rsidP="00DB5B70">
      <w:pPr>
        <w:rPr>
          <w:rFonts w:asciiTheme="majorBidi" w:hAnsiTheme="majorBidi" w:cstheme="majorBidi"/>
        </w:rPr>
      </w:pPr>
    </w:p>
    <w:p w14:paraId="5DF0DAA2" w14:textId="77777777" w:rsidR="00DB5B70" w:rsidRPr="00746900" w:rsidRDefault="00DB5B70" w:rsidP="00DB5B70">
      <w:pPr>
        <w:rPr>
          <w:rFonts w:asciiTheme="majorBidi" w:hAnsiTheme="majorBidi" w:cstheme="majorBidi"/>
        </w:rPr>
      </w:pPr>
    </w:p>
    <w:p w14:paraId="3603645C" w14:textId="77777777" w:rsidR="00DB5B70" w:rsidRPr="00746900" w:rsidRDefault="00DB5B70" w:rsidP="00DB5B70">
      <w:pPr>
        <w:rPr>
          <w:rFonts w:asciiTheme="majorBidi" w:hAnsiTheme="majorBidi" w:cstheme="majorBidi"/>
        </w:rPr>
      </w:pPr>
    </w:p>
    <w:p w14:paraId="69F2BF5C" w14:textId="77777777" w:rsidR="00DB5B70" w:rsidRPr="00746900" w:rsidRDefault="00DB5B70" w:rsidP="00DB5B70">
      <w:pPr>
        <w:rPr>
          <w:rFonts w:asciiTheme="majorBidi" w:hAnsiTheme="majorBidi" w:cstheme="majorBidi"/>
        </w:rPr>
      </w:pPr>
    </w:p>
    <w:p w14:paraId="5276A8A5" w14:textId="77777777" w:rsidR="00DB5B70" w:rsidRPr="00746900" w:rsidRDefault="00DB5B70" w:rsidP="00DB5B70">
      <w:pPr>
        <w:rPr>
          <w:rFonts w:asciiTheme="majorBidi" w:hAnsiTheme="majorBidi" w:cstheme="majorBidi"/>
        </w:rPr>
      </w:pPr>
    </w:p>
    <w:p w14:paraId="3E678739" w14:textId="77777777" w:rsidR="00DB5B70" w:rsidRPr="00746900" w:rsidRDefault="00DB5B70" w:rsidP="00DB5B70">
      <w:pPr>
        <w:rPr>
          <w:rFonts w:asciiTheme="majorBidi" w:hAnsiTheme="majorBidi" w:cstheme="majorBidi"/>
        </w:rPr>
      </w:pPr>
    </w:p>
    <w:p w14:paraId="456862E5" w14:textId="77777777" w:rsidR="00DB5B70" w:rsidRPr="00746900" w:rsidRDefault="00DB5B70" w:rsidP="00DB5B70">
      <w:pPr>
        <w:rPr>
          <w:rFonts w:asciiTheme="majorBidi" w:hAnsiTheme="majorBidi" w:cstheme="majorBidi"/>
        </w:rPr>
      </w:pPr>
    </w:p>
    <w:p w14:paraId="279FA410" w14:textId="77777777" w:rsidR="00DB5B70" w:rsidRPr="00746900" w:rsidRDefault="00DB5B70" w:rsidP="00DB5B70">
      <w:pPr>
        <w:rPr>
          <w:rFonts w:asciiTheme="majorBidi" w:hAnsiTheme="majorBidi" w:cstheme="majorBidi"/>
        </w:rPr>
      </w:pPr>
    </w:p>
    <w:p w14:paraId="07923E0D" w14:textId="77777777" w:rsidR="00DB5B70" w:rsidRPr="00746900" w:rsidRDefault="00DB5B70" w:rsidP="00DB5B70">
      <w:pPr>
        <w:rPr>
          <w:rFonts w:asciiTheme="majorBidi" w:hAnsiTheme="majorBidi" w:cstheme="majorBidi"/>
        </w:rPr>
      </w:pPr>
    </w:p>
    <w:p w14:paraId="4724F7E4" w14:textId="77777777" w:rsidR="00DB5B70" w:rsidRPr="00746900" w:rsidRDefault="00DB5B70" w:rsidP="00DB5B70">
      <w:pPr>
        <w:rPr>
          <w:rFonts w:asciiTheme="majorBidi" w:hAnsiTheme="majorBidi" w:cstheme="majorBidi"/>
        </w:rPr>
      </w:pPr>
    </w:p>
    <w:p w14:paraId="671FD835" w14:textId="77777777" w:rsidR="004C4E1A" w:rsidRDefault="004C4E1A" w:rsidP="00DB5B70">
      <w:pPr>
        <w:rPr>
          <w:rFonts w:asciiTheme="majorBidi" w:hAnsiTheme="majorBidi" w:cstheme="majorBidi"/>
        </w:rPr>
      </w:pPr>
    </w:p>
    <w:p w14:paraId="58DFA573" w14:textId="7E8FA0FC" w:rsidR="00DB5B70" w:rsidRPr="00845E74" w:rsidRDefault="00DB5B70" w:rsidP="00DB5B70">
      <w:pPr>
        <w:rPr>
          <w:rFonts w:asciiTheme="majorBidi" w:hAnsiTheme="majorBidi" w:cstheme="majorBidi"/>
          <w:b/>
          <w:bCs/>
        </w:rPr>
      </w:pPr>
      <w:r w:rsidRPr="00845E74">
        <w:rPr>
          <w:rFonts w:asciiTheme="majorBidi" w:hAnsiTheme="majorBidi" w:cstheme="majorBidi"/>
          <w:b/>
          <w:bCs/>
        </w:rPr>
        <w:lastRenderedPageBreak/>
        <w:t>Abstract</w:t>
      </w:r>
    </w:p>
    <w:p w14:paraId="4DBC6225" w14:textId="77777777" w:rsidR="00DD6750" w:rsidRPr="00845E74" w:rsidRDefault="00DD6750" w:rsidP="00DD6750">
      <w:pPr>
        <w:spacing w:line="480" w:lineRule="auto"/>
        <w:jc w:val="both"/>
        <w:rPr>
          <w:rFonts w:asciiTheme="majorBidi" w:hAnsiTheme="majorBidi" w:cstheme="majorBidi"/>
        </w:rPr>
      </w:pPr>
      <w:r w:rsidRPr="00845E74">
        <w:rPr>
          <w:rFonts w:asciiTheme="majorBidi" w:hAnsiTheme="majorBidi" w:cstheme="majorBidi"/>
          <w:b/>
          <w:bCs/>
        </w:rPr>
        <w:t>Background:</w:t>
      </w:r>
      <w:r w:rsidRPr="00845E74">
        <w:rPr>
          <w:rFonts w:asciiTheme="majorBidi" w:hAnsiTheme="majorBidi" w:cstheme="majorBidi"/>
        </w:rPr>
        <w:t xml:space="preserve"> </w:t>
      </w:r>
      <w:r>
        <w:rPr>
          <w:rFonts w:asciiTheme="majorBidi" w:hAnsiTheme="majorBidi" w:cstheme="majorBidi"/>
        </w:rPr>
        <w:t>The use of</w:t>
      </w:r>
      <w:r w:rsidRPr="00845E74">
        <w:rPr>
          <w:rFonts w:asciiTheme="majorBidi" w:hAnsiTheme="majorBidi" w:cstheme="majorBidi"/>
        </w:rPr>
        <w:t xml:space="preserve"> dental implant</w:t>
      </w:r>
      <w:r>
        <w:rPr>
          <w:rFonts w:asciiTheme="majorBidi" w:hAnsiTheme="majorBidi" w:cstheme="majorBidi"/>
        </w:rPr>
        <w:t>s</w:t>
      </w:r>
      <w:r w:rsidRPr="00845E74">
        <w:rPr>
          <w:rFonts w:asciiTheme="majorBidi" w:hAnsiTheme="majorBidi" w:cstheme="majorBidi"/>
        </w:rPr>
        <w:t xml:space="preserve"> </w:t>
      </w:r>
      <w:r>
        <w:rPr>
          <w:rFonts w:asciiTheme="majorBidi" w:hAnsiTheme="majorBidi" w:cstheme="majorBidi"/>
        </w:rPr>
        <w:t>has become the standard of care for the replacement of missing teeth. Due to the wound healing events that follow extraction of teeth it is well-documented that there can be significant remodeling/resorption of the alveolar bone. One approach that can be used to mitigate these processes is to place an implant directly into a fresh extraction socket. T</w:t>
      </w:r>
      <w:r w:rsidRPr="00845E74">
        <w:rPr>
          <w:rFonts w:asciiTheme="majorBidi" w:hAnsiTheme="majorBidi" w:cstheme="majorBidi"/>
        </w:rPr>
        <w:t>h</w:t>
      </w:r>
      <w:r>
        <w:rPr>
          <w:rFonts w:asciiTheme="majorBidi" w:hAnsiTheme="majorBidi" w:cstheme="majorBidi"/>
        </w:rPr>
        <w:t>u</w:t>
      </w:r>
      <w:r w:rsidRPr="00845E74">
        <w:rPr>
          <w:rFonts w:asciiTheme="majorBidi" w:hAnsiTheme="majorBidi" w:cstheme="majorBidi"/>
        </w:rPr>
        <w:t>s</w:t>
      </w:r>
      <w:r>
        <w:rPr>
          <w:rFonts w:asciiTheme="majorBidi" w:hAnsiTheme="majorBidi" w:cstheme="majorBidi"/>
        </w:rPr>
        <w:t>, this</w:t>
      </w:r>
      <w:r w:rsidRPr="00845E74">
        <w:rPr>
          <w:rFonts w:asciiTheme="majorBidi" w:hAnsiTheme="majorBidi" w:cstheme="majorBidi"/>
        </w:rPr>
        <w:t xml:space="preserve"> retrospective study </w:t>
      </w:r>
      <w:r>
        <w:rPr>
          <w:rFonts w:asciiTheme="majorBidi" w:hAnsiTheme="majorBidi" w:cstheme="majorBidi"/>
        </w:rPr>
        <w:t xml:space="preserve">was conducted to </w:t>
      </w:r>
      <w:r w:rsidRPr="00845E74">
        <w:rPr>
          <w:rFonts w:asciiTheme="majorBidi" w:hAnsiTheme="majorBidi" w:cstheme="majorBidi"/>
        </w:rPr>
        <w:t xml:space="preserve">evaluate the peri-implant bone remodeling taking place after immediate implant placement and will further evaluate the continuation of the remodeling after the insertion of the restorations.  </w:t>
      </w:r>
    </w:p>
    <w:p w14:paraId="4F0E1648" w14:textId="3F5A79C2" w:rsidR="00DD6750" w:rsidRPr="00C1012C" w:rsidRDefault="00DD6750" w:rsidP="00DD6750">
      <w:pPr>
        <w:spacing w:line="480" w:lineRule="auto"/>
        <w:rPr>
          <w:rFonts w:asciiTheme="majorBidi" w:hAnsiTheme="majorBidi" w:cstheme="majorBidi"/>
          <w:b/>
          <w:color w:val="FF0000"/>
        </w:rPr>
      </w:pPr>
      <w:r w:rsidRPr="00845E74">
        <w:rPr>
          <w:rFonts w:asciiTheme="majorBidi" w:hAnsiTheme="majorBidi" w:cstheme="majorBidi"/>
          <w:b/>
          <w:bCs/>
        </w:rPr>
        <w:t>Methods:</w:t>
      </w:r>
      <w:r>
        <w:rPr>
          <w:rFonts w:asciiTheme="majorBidi" w:hAnsiTheme="majorBidi" w:cstheme="majorBidi"/>
        </w:rPr>
        <w:t xml:space="preserve"> Examination was completed in a retrospective fashion (n=155) by examining records for teeth that required extraction and were candidates for immediate implant placement. Evaluation of periapical radiographs (PA) was performed to measure changes in the position of the crestal bone relative to the implant platform over time (implant insertion, </w:t>
      </w:r>
      <w:r>
        <w:rPr>
          <w:rFonts w:asciiTheme="majorBidi" w:hAnsiTheme="majorBidi" w:cstheme="majorBidi"/>
        </w:rPr>
        <w:t>3-month</w:t>
      </w:r>
      <w:r>
        <w:rPr>
          <w:rFonts w:asciiTheme="majorBidi" w:hAnsiTheme="majorBidi" w:cstheme="majorBidi"/>
        </w:rPr>
        <w:t xml:space="preserve"> follow-up visit, impression visit, delivery of the final prosthesis and the follow-up of the final prosthesis if applicable.</w:t>
      </w:r>
      <w:r w:rsidDel="00C1012C">
        <w:rPr>
          <w:rFonts w:asciiTheme="majorBidi" w:hAnsiTheme="majorBidi" w:cstheme="majorBidi"/>
        </w:rPr>
        <w:t xml:space="preserve"> </w:t>
      </w:r>
    </w:p>
    <w:p w14:paraId="6A79B71F" w14:textId="77777777" w:rsidR="00DD6750" w:rsidRPr="00C1012C" w:rsidRDefault="00DD6750" w:rsidP="00DD6750">
      <w:pPr>
        <w:spacing w:line="480" w:lineRule="auto"/>
        <w:rPr>
          <w:rFonts w:asciiTheme="majorBidi" w:hAnsiTheme="majorBidi" w:cstheme="majorBidi"/>
          <w:b/>
        </w:rPr>
      </w:pPr>
      <w:r w:rsidRPr="00845E74">
        <w:rPr>
          <w:rFonts w:asciiTheme="majorBidi" w:hAnsiTheme="majorBidi" w:cstheme="majorBidi"/>
          <w:b/>
          <w:bCs/>
        </w:rPr>
        <w:t>Results:</w:t>
      </w:r>
      <w:r>
        <w:rPr>
          <w:rFonts w:asciiTheme="majorBidi" w:hAnsiTheme="majorBidi" w:cstheme="majorBidi"/>
          <w:b/>
          <w:bCs/>
        </w:rPr>
        <w:t xml:space="preserve"> </w:t>
      </w:r>
      <w:r>
        <w:rPr>
          <w:rFonts w:asciiTheme="majorBidi" w:hAnsiTheme="majorBidi" w:cstheme="majorBidi"/>
        </w:rPr>
        <w:t xml:space="preserve">We found that marginal bone loss (MBL) occurred from the time of implant placement through the final follow-up visit. The extent of MBL varied between subjects. </w:t>
      </w:r>
    </w:p>
    <w:p w14:paraId="5A7320D6" w14:textId="77777777" w:rsidR="00DD6750" w:rsidRPr="00EF53F4" w:rsidRDefault="00DD6750" w:rsidP="00DD6750">
      <w:pPr>
        <w:spacing w:line="480" w:lineRule="auto"/>
        <w:rPr>
          <w:rFonts w:asciiTheme="majorBidi" w:hAnsiTheme="majorBidi" w:cstheme="majorBidi"/>
        </w:rPr>
      </w:pPr>
      <w:r>
        <w:rPr>
          <w:rFonts w:asciiTheme="majorBidi" w:hAnsiTheme="majorBidi" w:cstheme="majorBidi"/>
        </w:rPr>
        <w:t xml:space="preserve">The Restorative angle was significant higher for molar implant in mesial and the distal sites. Correlation of MBL with restorative emergence angle yield that REA was not correlated with the amount of bone loss. </w:t>
      </w:r>
    </w:p>
    <w:p w14:paraId="682F4F49" w14:textId="696A356A" w:rsidR="00845E74" w:rsidRPr="00746900" w:rsidRDefault="00DD6750" w:rsidP="00DD6750">
      <w:pPr>
        <w:spacing w:line="480" w:lineRule="auto"/>
        <w:rPr>
          <w:rFonts w:asciiTheme="majorBidi" w:hAnsiTheme="majorBidi" w:cstheme="majorBidi"/>
        </w:rPr>
      </w:pPr>
      <w:r w:rsidRPr="00845E74">
        <w:rPr>
          <w:rFonts w:asciiTheme="majorBidi" w:hAnsiTheme="majorBidi" w:cstheme="majorBidi"/>
          <w:b/>
          <w:bCs/>
        </w:rPr>
        <w:t>Conclusion:</w:t>
      </w:r>
      <w:r>
        <w:rPr>
          <w:rFonts w:asciiTheme="majorBidi" w:hAnsiTheme="majorBidi" w:cstheme="majorBidi"/>
          <w:b/>
          <w:bCs/>
        </w:rPr>
        <w:t xml:space="preserve"> </w:t>
      </w:r>
      <w:r>
        <w:rPr>
          <w:rFonts w:asciiTheme="majorBidi" w:hAnsiTheme="majorBidi" w:cstheme="majorBidi"/>
        </w:rPr>
        <w:t>The extent of MBL following immediate implant placement differed between subjects. Factors associated with the variability include</w:t>
      </w:r>
      <w:r>
        <w:rPr>
          <w:rFonts w:asciiTheme="majorBidi" w:hAnsiTheme="majorBidi" w:cstheme="majorBidi"/>
        </w:rPr>
        <w:t xml:space="preserve">d the implant, position, and location provided information </w:t>
      </w:r>
      <w:proofErr w:type="gramStart"/>
      <w:r>
        <w:rPr>
          <w:rFonts w:asciiTheme="majorBidi" w:hAnsiTheme="majorBidi" w:cstheme="majorBidi"/>
        </w:rPr>
        <w:t>in regards to</w:t>
      </w:r>
      <w:proofErr w:type="gramEnd"/>
      <w:r>
        <w:rPr>
          <w:rFonts w:asciiTheme="majorBidi" w:hAnsiTheme="majorBidi" w:cstheme="majorBidi"/>
        </w:rPr>
        <w:t xml:space="preserve"> the REA but that finding was not significant for MBL.</w:t>
      </w:r>
      <w:r w:rsidRPr="00F031E3">
        <w:rPr>
          <w:rFonts w:asciiTheme="majorBidi" w:hAnsiTheme="majorBidi" w:cstheme="majorBidi"/>
        </w:rPr>
        <w:t xml:space="preserve"> </w:t>
      </w:r>
    </w:p>
    <w:p w14:paraId="6B81E81C" w14:textId="4C698295" w:rsidR="00DB5B70" w:rsidRPr="004C4E1A" w:rsidRDefault="00DB5B70" w:rsidP="00D6632F">
      <w:pPr>
        <w:jc w:val="center"/>
        <w:rPr>
          <w:rFonts w:asciiTheme="majorBidi" w:hAnsiTheme="majorBidi" w:cstheme="majorBidi"/>
          <w:sz w:val="40"/>
          <w:szCs w:val="40"/>
        </w:rPr>
      </w:pPr>
      <w:r w:rsidRPr="004C4E1A">
        <w:rPr>
          <w:rFonts w:asciiTheme="majorBidi" w:hAnsiTheme="majorBidi" w:cstheme="majorBidi"/>
          <w:sz w:val="40"/>
          <w:szCs w:val="40"/>
        </w:rPr>
        <w:lastRenderedPageBreak/>
        <w:t>Table of Contents</w:t>
      </w:r>
    </w:p>
    <w:p w14:paraId="6416B44D" w14:textId="76419044" w:rsidR="00DB5B70" w:rsidRDefault="00EF53F4" w:rsidP="00DB5B70">
      <w:pPr>
        <w:rPr>
          <w:rFonts w:asciiTheme="majorBidi" w:hAnsiTheme="majorBidi" w:cstheme="majorBidi"/>
        </w:rPr>
      </w:pPr>
      <w:r>
        <w:rPr>
          <w:rFonts w:asciiTheme="majorBidi" w:hAnsiTheme="majorBidi" w:cstheme="majorBidi"/>
        </w:rPr>
        <w:t>Cover Page</w:t>
      </w:r>
    </w:p>
    <w:p w14:paraId="13A8C010" w14:textId="0DCF76AC" w:rsidR="00EF53F4" w:rsidRDefault="00EF53F4" w:rsidP="00DB5B70">
      <w:pPr>
        <w:rPr>
          <w:rFonts w:asciiTheme="majorBidi" w:hAnsiTheme="majorBidi" w:cstheme="majorBidi"/>
        </w:rPr>
      </w:pPr>
      <w:r>
        <w:rPr>
          <w:rFonts w:asciiTheme="majorBidi" w:hAnsiTheme="majorBidi" w:cstheme="majorBidi"/>
        </w:rPr>
        <w:t>Dedication</w:t>
      </w:r>
    </w:p>
    <w:p w14:paraId="38FB375C" w14:textId="5FB0C4ED" w:rsidR="00EF53F4" w:rsidRDefault="00EF53F4" w:rsidP="00DB5B70">
      <w:pPr>
        <w:rPr>
          <w:rFonts w:asciiTheme="majorBidi" w:hAnsiTheme="majorBidi" w:cstheme="majorBidi"/>
        </w:rPr>
      </w:pPr>
      <w:r>
        <w:rPr>
          <w:rFonts w:asciiTheme="majorBidi" w:hAnsiTheme="majorBidi" w:cstheme="majorBidi"/>
        </w:rPr>
        <w:t>Acknowledgement</w:t>
      </w:r>
    </w:p>
    <w:p w14:paraId="0B1972D1" w14:textId="790C8BB2" w:rsidR="00EF53F4" w:rsidRDefault="00EF53F4" w:rsidP="00DB5B70">
      <w:pPr>
        <w:rPr>
          <w:rFonts w:asciiTheme="majorBidi" w:hAnsiTheme="majorBidi" w:cstheme="majorBidi"/>
        </w:rPr>
      </w:pPr>
      <w:r>
        <w:rPr>
          <w:rFonts w:asciiTheme="majorBidi" w:hAnsiTheme="majorBidi" w:cstheme="majorBidi"/>
        </w:rPr>
        <w:t>Abstract</w:t>
      </w:r>
    </w:p>
    <w:p w14:paraId="5F106FF6" w14:textId="24D479A7" w:rsidR="00EF53F4" w:rsidRDefault="00EF53F4" w:rsidP="00DB5B70">
      <w:pPr>
        <w:rPr>
          <w:rFonts w:asciiTheme="majorBidi" w:hAnsiTheme="majorBidi" w:cstheme="majorBidi"/>
        </w:rPr>
      </w:pPr>
      <w:r>
        <w:rPr>
          <w:rFonts w:asciiTheme="majorBidi" w:hAnsiTheme="majorBidi" w:cstheme="majorBidi"/>
        </w:rPr>
        <w:t>Table of Content</w:t>
      </w:r>
    </w:p>
    <w:p w14:paraId="24A9E0A7" w14:textId="3B998516" w:rsidR="00EF53F4" w:rsidRPr="00EF53F4" w:rsidRDefault="00EF53F4" w:rsidP="00DB5B70">
      <w:pPr>
        <w:rPr>
          <w:rFonts w:asciiTheme="majorBidi" w:hAnsiTheme="majorBidi" w:cstheme="majorBidi"/>
          <w:b/>
          <w:bCs/>
        </w:rPr>
      </w:pPr>
      <w:r>
        <w:rPr>
          <w:rFonts w:asciiTheme="majorBidi" w:hAnsiTheme="majorBidi" w:cstheme="majorBidi"/>
        </w:rPr>
        <w:t xml:space="preserve">Chapter I – </w:t>
      </w:r>
      <w:r w:rsidRPr="00EF53F4">
        <w:rPr>
          <w:rFonts w:asciiTheme="majorBidi" w:hAnsiTheme="majorBidi" w:cstheme="majorBidi"/>
          <w:b/>
          <w:bCs/>
        </w:rPr>
        <w:t>THE REVIEW OF THE LITERATURE</w:t>
      </w:r>
    </w:p>
    <w:p w14:paraId="33EC336C" w14:textId="5D5E090C" w:rsidR="00EF53F4" w:rsidRDefault="00EF53F4" w:rsidP="00DB5B70">
      <w:pPr>
        <w:rPr>
          <w:rFonts w:asciiTheme="majorBidi" w:hAnsiTheme="majorBidi" w:cstheme="majorBidi"/>
        </w:rPr>
      </w:pPr>
      <w:r>
        <w:rPr>
          <w:rFonts w:asciiTheme="majorBidi" w:hAnsiTheme="majorBidi" w:cstheme="majorBidi"/>
        </w:rPr>
        <w:t>Introduction</w:t>
      </w:r>
    </w:p>
    <w:p w14:paraId="37B1DA39" w14:textId="097C6546" w:rsidR="00EF53F4" w:rsidRDefault="00EF53F4" w:rsidP="00DB5B70">
      <w:pPr>
        <w:rPr>
          <w:rFonts w:asciiTheme="majorBidi" w:hAnsiTheme="majorBidi" w:cstheme="majorBidi"/>
        </w:rPr>
      </w:pPr>
      <w:r>
        <w:rPr>
          <w:rFonts w:asciiTheme="majorBidi" w:hAnsiTheme="majorBidi" w:cstheme="majorBidi"/>
        </w:rPr>
        <w:tab/>
        <w:t>Immediate implant placement</w:t>
      </w:r>
    </w:p>
    <w:p w14:paraId="0B314DD7" w14:textId="6BF6C1FF" w:rsidR="00EF53F4" w:rsidRDefault="00EF53F4" w:rsidP="00DB5B70">
      <w:pPr>
        <w:rPr>
          <w:rFonts w:asciiTheme="majorBidi" w:hAnsiTheme="majorBidi" w:cstheme="majorBidi"/>
        </w:rPr>
      </w:pPr>
      <w:r>
        <w:rPr>
          <w:rFonts w:asciiTheme="majorBidi" w:hAnsiTheme="majorBidi" w:cstheme="majorBidi"/>
        </w:rPr>
        <w:tab/>
        <w:t>Peri-implantitis</w:t>
      </w:r>
    </w:p>
    <w:p w14:paraId="03EFB459" w14:textId="4E38644F" w:rsidR="00EF53F4" w:rsidRDefault="00EF53F4" w:rsidP="00DB5B70">
      <w:pPr>
        <w:rPr>
          <w:rFonts w:asciiTheme="majorBidi" w:hAnsiTheme="majorBidi" w:cstheme="majorBidi"/>
        </w:rPr>
      </w:pPr>
      <w:r>
        <w:rPr>
          <w:rFonts w:asciiTheme="majorBidi" w:hAnsiTheme="majorBidi" w:cstheme="majorBidi"/>
        </w:rPr>
        <w:tab/>
        <w:t>Prosthetic Angle</w:t>
      </w:r>
    </w:p>
    <w:p w14:paraId="44D5797F" w14:textId="2F0BCEA4" w:rsidR="00EF53F4" w:rsidRDefault="00EF53F4" w:rsidP="00DB5B70">
      <w:pPr>
        <w:rPr>
          <w:rFonts w:asciiTheme="majorBidi" w:hAnsiTheme="majorBidi" w:cstheme="majorBidi"/>
        </w:rPr>
      </w:pPr>
      <w:r>
        <w:rPr>
          <w:rFonts w:asciiTheme="majorBidi" w:hAnsiTheme="majorBidi" w:cstheme="majorBidi"/>
        </w:rPr>
        <w:tab/>
        <w:t>Protocol of the study</w:t>
      </w:r>
    </w:p>
    <w:p w14:paraId="0F764A57" w14:textId="3169FDCE" w:rsidR="00EF53F4" w:rsidRDefault="00EF53F4" w:rsidP="00DB5B70">
      <w:pPr>
        <w:rPr>
          <w:rFonts w:asciiTheme="majorBidi" w:hAnsiTheme="majorBidi" w:cstheme="majorBidi"/>
        </w:rPr>
      </w:pPr>
      <w:r>
        <w:rPr>
          <w:rFonts w:asciiTheme="majorBidi" w:hAnsiTheme="majorBidi" w:cstheme="majorBidi"/>
        </w:rPr>
        <w:t xml:space="preserve">CHAPTER II – </w:t>
      </w:r>
      <w:r w:rsidRPr="00EF53F4">
        <w:rPr>
          <w:rFonts w:asciiTheme="majorBidi" w:hAnsiTheme="majorBidi" w:cstheme="majorBidi"/>
          <w:b/>
          <w:bCs/>
        </w:rPr>
        <w:t>THE THESIS</w:t>
      </w:r>
    </w:p>
    <w:p w14:paraId="44343439" w14:textId="3AF76CBE" w:rsidR="00EF53F4" w:rsidRDefault="00EF53F4" w:rsidP="00DB5B70">
      <w:pPr>
        <w:rPr>
          <w:rFonts w:asciiTheme="majorBidi" w:hAnsiTheme="majorBidi" w:cstheme="majorBidi"/>
        </w:rPr>
      </w:pPr>
      <w:r>
        <w:rPr>
          <w:rFonts w:asciiTheme="majorBidi" w:hAnsiTheme="majorBidi" w:cstheme="majorBidi"/>
        </w:rPr>
        <w:t>Introduction</w:t>
      </w:r>
    </w:p>
    <w:p w14:paraId="22EE5D6E" w14:textId="373D201E" w:rsidR="00EF53F4" w:rsidRDefault="00EF53F4" w:rsidP="00DB5B70">
      <w:pPr>
        <w:rPr>
          <w:rFonts w:asciiTheme="majorBidi" w:hAnsiTheme="majorBidi" w:cstheme="majorBidi"/>
        </w:rPr>
      </w:pPr>
      <w:r>
        <w:rPr>
          <w:rFonts w:asciiTheme="majorBidi" w:hAnsiTheme="majorBidi" w:cstheme="majorBidi"/>
        </w:rPr>
        <w:t>Material and Methods</w:t>
      </w:r>
    </w:p>
    <w:p w14:paraId="62C280BA" w14:textId="7561434D" w:rsidR="00EF53F4" w:rsidRDefault="00EF53F4" w:rsidP="00EF53F4">
      <w:pPr>
        <w:ind w:firstLine="720"/>
        <w:rPr>
          <w:rFonts w:asciiTheme="majorBidi" w:hAnsiTheme="majorBidi" w:cstheme="majorBidi"/>
        </w:rPr>
      </w:pPr>
      <w:r>
        <w:rPr>
          <w:rFonts w:asciiTheme="majorBidi" w:hAnsiTheme="majorBidi" w:cstheme="majorBidi"/>
        </w:rPr>
        <w:t>Study Sample</w:t>
      </w:r>
      <w:r w:rsidR="00D6632F">
        <w:rPr>
          <w:rFonts w:asciiTheme="majorBidi" w:hAnsiTheme="majorBidi" w:cstheme="majorBidi"/>
        </w:rPr>
        <w:t xml:space="preserve"> and Inclusion Criteria</w:t>
      </w:r>
    </w:p>
    <w:p w14:paraId="3774825C" w14:textId="08B6767B" w:rsidR="00D6632F" w:rsidRDefault="00D6632F" w:rsidP="00EF53F4">
      <w:pPr>
        <w:ind w:firstLine="720"/>
        <w:rPr>
          <w:rFonts w:asciiTheme="majorBidi" w:hAnsiTheme="majorBidi" w:cstheme="majorBidi"/>
        </w:rPr>
      </w:pPr>
      <w:r>
        <w:rPr>
          <w:rFonts w:asciiTheme="majorBidi" w:hAnsiTheme="majorBidi" w:cstheme="majorBidi"/>
        </w:rPr>
        <w:t>Exclusion Criteria</w:t>
      </w:r>
    </w:p>
    <w:p w14:paraId="0CCDE98B" w14:textId="543C3A37" w:rsidR="00D6632F" w:rsidRDefault="00D6632F" w:rsidP="00EF53F4">
      <w:pPr>
        <w:ind w:firstLine="720"/>
        <w:rPr>
          <w:rFonts w:asciiTheme="majorBidi" w:hAnsiTheme="majorBidi" w:cstheme="majorBidi"/>
        </w:rPr>
      </w:pPr>
      <w:r>
        <w:rPr>
          <w:rFonts w:asciiTheme="majorBidi" w:hAnsiTheme="majorBidi" w:cstheme="majorBidi"/>
        </w:rPr>
        <w:t>Data Collection and Grouping</w:t>
      </w:r>
    </w:p>
    <w:p w14:paraId="75FBD0B2" w14:textId="7F0BF461" w:rsidR="00D6632F" w:rsidRDefault="00D6632F" w:rsidP="00EF53F4">
      <w:pPr>
        <w:ind w:firstLine="720"/>
        <w:rPr>
          <w:rFonts w:asciiTheme="majorBidi" w:hAnsiTheme="majorBidi" w:cstheme="majorBidi"/>
        </w:rPr>
      </w:pPr>
      <w:r>
        <w:rPr>
          <w:rFonts w:asciiTheme="majorBidi" w:hAnsiTheme="majorBidi" w:cstheme="majorBidi"/>
        </w:rPr>
        <w:t>Peri-implant Marginal Bone Loss:</w:t>
      </w:r>
    </w:p>
    <w:p w14:paraId="2A024970" w14:textId="62066688" w:rsidR="00D6632F" w:rsidRDefault="00D6632F" w:rsidP="00EF53F4">
      <w:pPr>
        <w:ind w:firstLine="720"/>
        <w:rPr>
          <w:rFonts w:asciiTheme="majorBidi" w:hAnsiTheme="majorBidi" w:cstheme="majorBidi"/>
        </w:rPr>
      </w:pPr>
      <w:r>
        <w:rPr>
          <w:rFonts w:asciiTheme="majorBidi" w:hAnsiTheme="majorBidi" w:cstheme="majorBidi"/>
        </w:rPr>
        <w:tab/>
        <w:t>At implant placement</w:t>
      </w:r>
    </w:p>
    <w:p w14:paraId="30AEB702" w14:textId="5DB3DFD2" w:rsidR="00D6632F" w:rsidRDefault="00D6632F" w:rsidP="00EF53F4">
      <w:pPr>
        <w:ind w:firstLine="720"/>
        <w:rPr>
          <w:rFonts w:asciiTheme="majorBidi" w:hAnsiTheme="majorBidi" w:cstheme="majorBidi"/>
        </w:rPr>
      </w:pPr>
      <w:r>
        <w:rPr>
          <w:rFonts w:asciiTheme="majorBidi" w:hAnsiTheme="majorBidi" w:cstheme="majorBidi"/>
        </w:rPr>
        <w:tab/>
        <w:t>3 month follow up</w:t>
      </w:r>
    </w:p>
    <w:p w14:paraId="01BDC6CF" w14:textId="7846ED65" w:rsidR="00D6632F" w:rsidRDefault="00D6632F" w:rsidP="00D6632F">
      <w:pPr>
        <w:ind w:firstLine="720"/>
        <w:rPr>
          <w:rFonts w:asciiTheme="majorBidi" w:hAnsiTheme="majorBidi" w:cstheme="majorBidi"/>
        </w:rPr>
      </w:pPr>
      <w:r>
        <w:rPr>
          <w:rFonts w:asciiTheme="majorBidi" w:hAnsiTheme="majorBidi" w:cstheme="majorBidi"/>
        </w:rPr>
        <w:tab/>
        <w:t>Impression appointment</w:t>
      </w:r>
    </w:p>
    <w:p w14:paraId="693DE461" w14:textId="0105A81D" w:rsidR="00D6632F" w:rsidRDefault="00D6632F" w:rsidP="00D6632F">
      <w:pPr>
        <w:ind w:firstLine="720"/>
        <w:rPr>
          <w:rFonts w:asciiTheme="majorBidi" w:hAnsiTheme="majorBidi" w:cstheme="majorBidi"/>
        </w:rPr>
      </w:pPr>
      <w:r>
        <w:rPr>
          <w:rFonts w:asciiTheme="majorBidi" w:hAnsiTheme="majorBidi" w:cstheme="majorBidi"/>
        </w:rPr>
        <w:tab/>
        <w:t>Final prosthesis delivery</w:t>
      </w:r>
    </w:p>
    <w:p w14:paraId="0BABDB41" w14:textId="475382D0" w:rsidR="00D6632F" w:rsidRDefault="00D6632F" w:rsidP="00D6632F">
      <w:pPr>
        <w:ind w:firstLine="720"/>
        <w:rPr>
          <w:rFonts w:asciiTheme="majorBidi" w:hAnsiTheme="majorBidi" w:cstheme="majorBidi"/>
        </w:rPr>
      </w:pPr>
      <w:r>
        <w:rPr>
          <w:rFonts w:asciiTheme="majorBidi" w:hAnsiTheme="majorBidi" w:cstheme="majorBidi"/>
        </w:rPr>
        <w:tab/>
        <w:t xml:space="preserve">Follow up </w:t>
      </w:r>
      <w:r w:rsidR="00EB2C18">
        <w:rPr>
          <w:rFonts w:asciiTheme="majorBidi" w:hAnsiTheme="majorBidi" w:cstheme="majorBidi"/>
        </w:rPr>
        <w:t>period duration and evaluation of marginal bone level of the final</w:t>
      </w:r>
      <w:r>
        <w:rPr>
          <w:rFonts w:asciiTheme="majorBidi" w:hAnsiTheme="majorBidi" w:cstheme="majorBidi"/>
        </w:rPr>
        <w:t xml:space="preserve"> prosthesis</w:t>
      </w:r>
    </w:p>
    <w:p w14:paraId="65521591" w14:textId="2517960A" w:rsidR="00D6632F" w:rsidRDefault="00D6632F" w:rsidP="00EF53F4">
      <w:pPr>
        <w:ind w:firstLine="720"/>
        <w:rPr>
          <w:rFonts w:asciiTheme="majorBidi" w:hAnsiTheme="majorBidi" w:cstheme="majorBidi"/>
        </w:rPr>
      </w:pPr>
      <w:r>
        <w:rPr>
          <w:rFonts w:asciiTheme="majorBidi" w:hAnsiTheme="majorBidi" w:cstheme="majorBidi"/>
        </w:rPr>
        <w:t>Statistical Analysis</w:t>
      </w:r>
    </w:p>
    <w:p w14:paraId="2DF0F27C" w14:textId="77777777" w:rsidR="00D6632F" w:rsidRDefault="00D6632F" w:rsidP="00EF53F4">
      <w:pPr>
        <w:ind w:firstLine="720"/>
        <w:rPr>
          <w:rFonts w:asciiTheme="majorBidi" w:hAnsiTheme="majorBidi" w:cstheme="majorBidi"/>
        </w:rPr>
      </w:pPr>
    </w:p>
    <w:p w14:paraId="77C3F04D" w14:textId="2C53E907" w:rsidR="00EF53F4" w:rsidRDefault="00EF53F4" w:rsidP="00DB5B70">
      <w:pPr>
        <w:rPr>
          <w:rFonts w:asciiTheme="majorBidi" w:hAnsiTheme="majorBidi" w:cstheme="majorBidi"/>
        </w:rPr>
      </w:pPr>
      <w:r>
        <w:rPr>
          <w:rFonts w:asciiTheme="majorBidi" w:hAnsiTheme="majorBidi" w:cstheme="majorBidi"/>
        </w:rPr>
        <w:lastRenderedPageBreak/>
        <w:t>Results</w:t>
      </w:r>
    </w:p>
    <w:p w14:paraId="396C2209" w14:textId="559C0BFB" w:rsidR="00D6632F" w:rsidRDefault="00D6632F" w:rsidP="00DB5B70">
      <w:pPr>
        <w:rPr>
          <w:rFonts w:asciiTheme="majorBidi" w:hAnsiTheme="majorBidi" w:cstheme="majorBidi"/>
        </w:rPr>
      </w:pPr>
      <w:r>
        <w:rPr>
          <w:rFonts w:asciiTheme="majorBidi" w:hAnsiTheme="majorBidi" w:cstheme="majorBidi"/>
        </w:rPr>
        <w:tab/>
        <w:t>After implant placement</w:t>
      </w:r>
    </w:p>
    <w:p w14:paraId="1CD87D06" w14:textId="4416E3D4" w:rsidR="00D6632F" w:rsidRDefault="00D6632F" w:rsidP="00DB5B70">
      <w:pPr>
        <w:rPr>
          <w:rFonts w:asciiTheme="majorBidi" w:hAnsiTheme="majorBidi" w:cstheme="majorBidi"/>
        </w:rPr>
      </w:pPr>
      <w:r>
        <w:rPr>
          <w:rFonts w:asciiTheme="majorBidi" w:hAnsiTheme="majorBidi" w:cstheme="majorBidi"/>
        </w:rPr>
        <w:tab/>
        <w:t>3 month follow up period</w:t>
      </w:r>
    </w:p>
    <w:p w14:paraId="549C8AC1" w14:textId="58AE903D" w:rsidR="00D6632F" w:rsidRDefault="00D6632F" w:rsidP="00DB5B70">
      <w:pPr>
        <w:rPr>
          <w:rFonts w:asciiTheme="majorBidi" w:hAnsiTheme="majorBidi" w:cstheme="majorBidi"/>
        </w:rPr>
      </w:pPr>
      <w:r>
        <w:rPr>
          <w:rFonts w:asciiTheme="majorBidi" w:hAnsiTheme="majorBidi" w:cstheme="majorBidi"/>
        </w:rPr>
        <w:tab/>
        <w:t>Impression appointment</w:t>
      </w:r>
    </w:p>
    <w:p w14:paraId="285C3952" w14:textId="1E20CC3F" w:rsidR="00D6632F" w:rsidRDefault="00D6632F" w:rsidP="00DB5B70">
      <w:pPr>
        <w:rPr>
          <w:rFonts w:asciiTheme="majorBidi" w:hAnsiTheme="majorBidi" w:cstheme="majorBidi"/>
        </w:rPr>
      </w:pPr>
      <w:r>
        <w:rPr>
          <w:rFonts w:asciiTheme="majorBidi" w:hAnsiTheme="majorBidi" w:cstheme="majorBidi"/>
        </w:rPr>
        <w:tab/>
        <w:t>Final prosthesis delivery</w:t>
      </w:r>
    </w:p>
    <w:p w14:paraId="3AF9238E" w14:textId="02A706B1" w:rsidR="00EF53F4" w:rsidRDefault="00D6632F" w:rsidP="00EB2C18">
      <w:pPr>
        <w:rPr>
          <w:rFonts w:asciiTheme="majorBidi" w:hAnsiTheme="majorBidi" w:cstheme="majorBidi"/>
        </w:rPr>
      </w:pPr>
      <w:r>
        <w:rPr>
          <w:rFonts w:asciiTheme="majorBidi" w:hAnsiTheme="majorBidi" w:cstheme="majorBidi"/>
        </w:rPr>
        <w:tab/>
      </w:r>
      <w:r w:rsidR="00EB2C18">
        <w:rPr>
          <w:rFonts w:asciiTheme="majorBidi" w:hAnsiTheme="majorBidi" w:cstheme="majorBidi"/>
        </w:rPr>
        <w:t xml:space="preserve">Follow up period duration and evaluation of marginal bone level of the final prosthesis </w:t>
      </w:r>
      <w:r w:rsidR="00EF53F4">
        <w:rPr>
          <w:rFonts w:asciiTheme="majorBidi" w:hAnsiTheme="majorBidi" w:cstheme="majorBidi"/>
        </w:rPr>
        <w:t>Discussion</w:t>
      </w:r>
    </w:p>
    <w:p w14:paraId="57A208E1" w14:textId="6A6CD48D" w:rsidR="00EF53F4" w:rsidRDefault="00EF53F4" w:rsidP="00DB5B70">
      <w:pPr>
        <w:rPr>
          <w:rFonts w:asciiTheme="majorBidi" w:hAnsiTheme="majorBidi" w:cstheme="majorBidi"/>
        </w:rPr>
      </w:pPr>
      <w:r>
        <w:rPr>
          <w:rFonts w:asciiTheme="majorBidi" w:hAnsiTheme="majorBidi" w:cstheme="majorBidi"/>
        </w:rPr>
        <w:t>Conclusion</w:t>
      </w:r>
    </w:p>
    <w:p w14:paraId="4DD7BD08" w14:textId="10D62C13" w:rsidR="00EF53F4" w:rsidRPr="00746900" w:rsidRDefault="00EF53F4" w:rsidP="00DB5B70">
      <w:pPr>
        <w:rPr>
          <w:rFonts w:asciiTheme="majorBidi" w:hAnsiTheme="majorBidi" w:cstheme="majorBidi"/>
        </w:rPr>
      </w:pPr>
      <w:r>
        <w:rPr>
          <w:rFonts w:asciiTheme="majorBidi" w:hAnsiTheme="majorBidi" w:cstheme="majorBidi"/>
        </w:rPr>
        <w:t>Bibliography</w:t>
      </w:r>
    </w:p>
    <w:p w14:paraId="3956E6DE" w14:textId="77777777" w:rsidR="00DB5B70" w:rsidRPr="00746900" w:rsidRDefault="00DB5B70" w:rsidP="00DB5B70">
      <w:pPr>
        <w:rPr>
          <w:rFonts w:asciiTheme="majorBidi" w:hAnsiTheme="majorBidi" w:cstheme="majorBidi"/>
        </w:rPr>
      </w:pPr>
    </w:p>
    <w:p w14:paraId="1BEF76FB" w14:textId="77777777" w:rsidR="00DB5B70" w:rsidRPr="00746900" w:rsidRDefault="00DB5B70" w:rsidP="00DB5B70">
      <w:pPr>
        <w:rPr>
          <w:rFonts w:asciiTheme="majorBidi" w:hAnsiTheme="majorBidi" w:cstheme="majorBidi"/>
        </w:rPr>
      </w:pPr>
    </w:p>
    <w:p w14:paraId="37241E6E" w14:textId="77777777" w:rsidR="00DB5B70" w:rsidRPr="00746900" w:rsidRDefault="00DB5B70" w:rsidP="00DB5B70">
      <w:pPr>
        <w:rPr>
          <w:rFonts w:asciiTheme="majorBidi" w:hAnsiTheme="majorBidi" w:cstheme="majorBidi"/>
        </w:rPr>
      </w:pPr>
    </w:p>
    <w:p w14:paraId="25B107A2" w14:textId="77777777" w:rsidR="00DB5B70" w:rsidRPr="00746900" w:rsidRDefault="00DB5B70" w:rsidP="00DB5B70">
      <w:pPr>
        <w:rPr>
          <w:rFonts w:asciiTheme="majorBidi" w:hAnsiTheme="majorBidi" w:cstheme="majorBidi"/>
        </w:rPr>
      </w:pPr>
    </w:p>
    <w:p w14:paraId="77F037A2" w14:textId="77777777" w:rsidR="00DB5B70" w:rsidRPr="00746900" w:rsidRDefault="00DB5B70" w:rsidP="00DB5B70">
      <w:pPr>
        <w:rPr>
          <w:rFonts w:asciiTheme="majorBidi" w:hAnsiTheme="majorBidi" w:cstheme="majorBidi"/>
        </w:rPr>
      </w:pPr>
    </w:p>
    <w:p w14:paraId="0B9F38C1" w14:textId="77777777" w:rsidR="00DB5B70" w:rsidRPr="00746900" w:rsidRDefault="00DB5B70" w:rsidP="00DB5B70">
      <w:pPr>
        <w:rPr>
          <w:rFonts w:asciiTheme="majorBidi" w:hAnsiTheme="majorBidi" w:cstheme="majorBidi"/>
        </w:rPr>
      </w:pPr>
    </w:p>
    <w:p w14:paraId="1990A08A" w14:textId="77777777" w:rsidR="00DB5B70" w:rsidRPr="00746900" w:rsidRDefault="00DB5B70" w:rsidP="00DB5B70">
      <w:pPr>
        <w:rPr>
          <w:rFonts w:asciiTheme="majorBidi" w:hAnsiTheme="majorBidi" w:cstheme="majorBidi"/>
        </w:rPr>
      </w:pPr>
    </w:p>
    <w:p w14:paraId="27D5DB9D" w14:textId="77777777" w:rsidR="00DB5B70" w:rsidRPr="00746900" w:rsidRDefault="00DB5B70" w:rsidP="00DB5B70">
      <w:pPr>
        <w:rPr>
          <w:rFonts w:asciiTheme="majorBidi" w:hAnsiTheme="majorBidi" w:cstheme="majorBidi"/>
        </w:rPr>
      </w:pPr>
    </w:p>
    <w:p w14:paraId="6C59F4C0" w14:textId="77777777" w:rsidR="00DB5B70" w:rsidRPr="00746900" w:rsidRDefault="00DB5B70" w:rsidP="00DB5B70">
      <w:pPr>
        <w:rPr>
          <w:rFonts w:asciiTheme="majorBidi" w:hAnsiTheme="majorBidi" w:cstheme="majorBidi"/>
        </w:rPr>
      </w:pPr>
    </w:p>
    <w:p w14:paraId="33E20D14" w14:textId="77777777" w:rsidR="00DB5B70" w:rsidRPr="00746900" w:rsidRDefault="00DB5B70" w:rsidP="00DB5B70">
      <w:pPr>
        <w:rPr>
          <w:rFonts w:asciiTheme="majorBidi" w:hAnsiTheme="majorBidi" w:cstheme="majorBidi"/>
        </w:rPr>
      </w:pPr>
    </w:p>
    <w:p w14:paraId="1C858E56" w14:textId="77777777" w:rsidR="00DB5B70" w:rsidRPr="00746900" w:rsidRDefault="00DB5B70" w:rsidP="00DB5B70">
      <w:pPr>
        <w:rPr>
          <w:rFonts w:asciiTheme="majorBidi" w:hAnsiTheme="majorBidi" w:cstheme="majorBidi"/>
        </w:rPr>
      </w:pPr>
    </w:p>
    <w:p w14:paraId="3455AA63" w14:textId="77777777" w:rsidR="00DB5B70" w:rsidRPr="00746900" w:rsidRDefault="00DB5B70" w:rsidP="00DB5B70">
      <w:pPr>
        <w:rPr>
          <w:rFonts w:asciiTheme="majorBidi" w:hAnsiTheme="majorBidi" w:cstheme="majorBidi"/>
        </w:rPr>
      </w:pPr>
    </w:p>
    <w:p w14:paraId="627B961E" w14:textId="77777777" w:rsidR="00746900" w:rsidRPr="00746900" w:rsidRDefault="00746900" w:rsidP="00DB5B70">
      <w:pPr>
        <w:rPr>
          <w:rFonts w:asciiTheme="majorBidi" w:hAnsiTheme="majorBidi" w:cstheme="majorBidi"/>
        </w:rPr>
      </w:pPr>
    </w:p>
    <w:p w14:paraId="68B91B27" w14:textId="77777777" w:rsidR="00746900" w:rsidRDefault="00746900" w:rsidP="00DB5B70">
      <w:pPr>
        <w:rPr>
          <w:rFonts w:asciiTheme="majorBidi" w:hAnsiTheme="majorBidi" w:cstheme="majorBidi"/>
        </w:rPr>
      </w:pPr>
    </w:p>
    <w:p w14:paraId="78D573CD" w14:textId="77777777" w:rsidR="00EF53F4" w:rsidRDefault="00EF53F4" w:rsidP="00DB5B70">
      <w:pPr>
        <w:rPr>
          <w:rFonts w:asciiTheme="majorBidi" w:hAnsiTheme="majorBidi" w:cstheme="majorBidi"/>
        </w:rPr>
      </w:pPr>
    </w:p>
    <w:p w14:paraId="22F3E189" w14:textId="77777777" w:rsidR="00746900" w:rsidRPr="00746900" w:rsidRDefault="00746900" w:rsidP="00DB5B70">
      <w:pPr>
        <w:rPr>
          <w:rFonts w:asciiTheme="majorBidi" w:hAnsiTheme="majorBidi" w:cstheme="majorBidi"/>
        </w:rPr>
      </w:pPr>
    </w:p>
    <w:p w14:paraId="43AAA04C" w14:textId="77777777" w:rsidR="00746900" w:rsidRPr="00746900" w:rsidRDefault="00746900" w:rsidP="00DB5B70">
      <w:pPr>
        <w:rPr>
          <w:rFonts w:asciiTheme="majorBidi" w:hAnsiTheme="majorBidi" w:cstheme="majorBidi"/>
        </w:rPr>
      </w:pPr>
    </w:p>
    <w:p w14:paraId="04797D4F" w14:textId="77777777" w:rsidR="00746900" w:rsidRPr="00746900" w:rsidRDefault="00746900" w:rsidP="00DB5B70">
      <w:pPr>
        <w:rPr>
          <w:rFonts w:asciiTheme="majorBidi" w:hAnsiTheme="majorBidi" w:cstheme="majorBidi"/>
        </w:rPr>
      </w:pPr>
    </w:p>
    <w:p w14:paraId="4D739EEB" w14:textId="77777777" w:rsidR="00746900" w:rsidRDefault="00746900" w:rsidP="00746900">
      <w:pPr>
        <w:jc w:val="center"/>
        <w:rPr>
          <w:rFonts w:asciiTheme="majorBidi" w:hAnsiTheme="majorBidi" w:cstheme="majorBidi"/>
          <w:sz w:val="56"/>
          <w:szCs w:val="56"/>
        </w:rPr>
      </w:pPr>
    </w:p>
    <w:p w14:paraId="2A3B45EA" w14:textId="77777777" w:rsidR="00EB2C18" w:rsidRDefault="00EB2C18" w:rsidP="00746900">
      <w:pPr>
        <w:jc w:val="center"/>
        <w:rPr>
          <w:rFonts w:asciiTheme="majorBidi" w:hAnsiTheme="majorBidi" w:cstheme="majorBidi"/>
          <w:sz w:val="56"/>
          <w:szCs w:val="56"/>
        </w:rPr>
      </w:pPr>
    </w:p>
    <w:p w14:paraId="7E3020F9" w14:textId="77777777" w:rsidR="00EB2C18" w:rsidRDefault="00EB2C18" w:rsidP="00746900">
      <w:pPr>
        <w:jc w:val="center"/>
        <w:rPr>
          <w:rFonts w:asciiTheme="majorBidi" w:hAnsiTheme="majorBidi" w:cstheme="majorBidi"/>
          <w:sz w:val="56"/>
          <w:szCs w:val="56"/>
        </w:rPr>
      </w:pPr>
    </w:p>
    <w:p w14:paraId="7106A5EF" w14:textId="77777777" w:rsidR="00EB2C18" w:rsidRDefault="00EB2C18" w:rsidP="00746900">
      <w:pPr>
        <w:jc w:val="center"/>
        <w:rPr>
          <w:rFonts w:asciiTheme="majorBidi" w:hAnsiTheme="majorBidi" w:cstheme="majorBidi"/>
          <w:sz w:val="56"/>
          <w:szCs w:val="56"/>
        </w:rPr>
      </w:pPr>
    </w:p>
    <w:p w14:paraId="3A074572" w14:textId="77777777" w:rsidR="00EB2C18" w:rsidRDefault="00EB2C18" w:rsidP="00746900">
      <w:pPr>
        <w:jc w:val="center"/>
        <w:rPr>
          <w:rFonts w:asciiTheme="majorBidi" w:hAnsiTheme="majorBidi" w:cstheme="majorBidi"/>
          <w:sz w:val="56"/>
          <w:szCs w:val="56"/>
        </w:rPr>
      </w:pPr>
    </w:p>
    <w:p w14:paraId="50B19CCA" w14:textId="77777777" w:rsidR="00EB2C18" w:rsidRPr="00746900" w:rsidRDefault="00EB2C18" w:rsidP="00746900">
      <w:pPr>
        <w:jc w:val="center"/>
        <w:rPr>
          <w:rFonts w:asciiTheme="majorBidi" w:hAnsiTheme="majorBidi" w:cstheme="majorBidi"/>
          <w:sz w:val="56"/>
          <w:szCs w:val="56"/>
        </w:rPr>
      </w:pPr>
    </w:p>
    <w:p w14:paraId="5DDADBF0" w14:textId="4CF0D04B" w:rsidR="00DB5B70" w:rsidRPr="00746900" w:rsidRDefault="00DB5B70" w:rsidP="00746900">
      <w:pPr>
        <w:jc w:val="center"/>
        <w:rPr>
          <w:rFonts w:asciiTheme="majorBidi" w:hAnsiTheme="majorBidi" w:cstheme="majorBidi"/>
          <w:sz w:val="56"/>
          <w:szCs w:val="56"/>
        </w:rPr>
      </w:pPr>
      <w:r w:rsidRPr="00746900">
        <w:rPr>
          <w:rFonts w:asciiTheme="majorBidi" w:hAnsiTheme="majorBidi" w:cstheme="majorBidi"/>
          <w:sz w:val="56"/>
          <w:szCs w:val="56"/>
        </w:rPr>
        <w:t>Chapter I</w:t>
      </w:r>
    </w:p>
    <w:p w14:paraId="48730114" w14:textId="7AC0C7A5" w:rsidR="00DB5B70" w:rsidRPr="00746900" w:rsidRDefault="00DB5B70" w:rsidP="00746900">
      <w:pPr>
        <w:jc w:val="center"/>
        <w:rPr>
          <w:rFonts w:asciiTheme="majorBidi" w:hAnsiTheme="majorBidi" w:cstheme="majorBidi"/>
          <w:sz w:val="56"/>
          <w:szCs w:val="56"/>
        </w:rPr>
      </w:pPr>
      <w:r w:rsidRPr="00746900">
        <w:rPr>
          <w:rFonts w:asciiTheme="majorBidi" w:hAnsiTheme="majorBidi" w:cstheme="majorBidi"/>
          <w:sz w:val="56"/>
          <w:szCs w:val="56"/>
        </w:rPr>
        <w:t>Review of the literature</w:t>
      </w:r>
    </w:p>
    <w:p w14:paraId="758B1988" w14:textId="77777777" w:rsidR="00746900" w:rsidRPr="00746900" w:rsidRDefault="00746900" w:rsidP="00DB5B70">
      <w:pPr>
        <w:rPr>
          <w:rFonts w:asciiTheme="majorBidi" w:hAnsiTheme="majorBidi" w:cstheme="majorBidi"/>
        </w:rPr>
      </w:pPr>
    </w:p>
    <w:p w14:paraId="0D2532B2" w14:textId="77777777" w:rsidR="00746900" w:rsidRPr="00746900" w:rsidRDefault="00746900" w:rsidP="00DB5B70">
      <w:pPr>
        <w:rPr>
          <w:rFonts w:asciiTheme="majorBidi" w:hAnsiTheme="majorBidi" w:cstheme="majorBidi"/>
        </w:rPr>
      </w:pPr>
    </w:p>
    <w:p w14:paraId="67C6CCDA" w14:textId="77777777" w:rsidR="00746900" w:rsidRPr="00746900" w:rsidRDefault="00746900" w:rsidP="00DB5B70">
      <w:pPr>
        <w:rPr>
          <w:rFonts w:asciiTheme="majorBidi" w:hAnsiTheme="majorBidi" w:cstheme="majorBidi"/>
        </w:rPr>
      </w:pPr>
    </w:p>
    <w:p w14:paraId="30A2E0F6" w14:textId="77777777" w:rsidR="00746900" w:rsidRPr="00746900" w:rsidRDefault="00746900" w:rsidP="00DB5B70">
      <w:pPr>
        <w:rPr>
          <w:rFonts w:asciiTheme="majorBidi" w:hAnsiTheme="majorBidi" w:cstheme="majorBidi"/>
        </w:rPr>
      </w:pPr>
    </w:p>
    <w:p w14:paraId="67E453B9" w14:textId="77777777" w:rsidR="00746900" w:rsidRPr="00746900" w:rsidRDefault="00746900" w:rsidP="00DB5B70">
      <w:pPr>
        <w:rPr>
          <w:rFonts w:asciiTheme="majorBidi" w:hAnsiTheme="majorBidi" w:cstheme="majorBidi"/>
        </w:rPr>
      </w:pPr>
    </w:p>
    <w:p w14:paraId="13128307" w14:textId="77777777" w:rsidR="00746900" w:rsidRPr="00746900" w:rsidRDefault="00746900" w:rsidP="00DB5B70">
      <w:pPr>
        <w:rPr>
          <w:rFonts w:asciiTheme="majorBidi" w:hAnsiTheme="majorBidi" w:cstheme="majorBidi"/>
        </w:rPr>
      </w:pPr>
    </w:p>
    <w:p w14:paraId="5E474465" w14:textId="77777777" w:rsidR="00746900" w:rsidRDefault="00746900" w:rsidP="00DB5B70">
      <w:pPr>
        <w:rPr>
          <w:rFonts w:asciiTheme="majorBidi" w:hAnsiTheme="majorBidi" w:cstheme="majorBidi"/>
        </w:rPr>
      </w:pPr>
    </w:p>
    <w:p w14:paraId="0285B1B6" w14:textId="77777777" w:rsidR="00746900" w:rsidRPr="00746900" w:rsidRDefault="00746900" w:rsidP="00DB5B70">
      <w:pPr>
        <w:rPr>
          <w:rFonts w:asciiTheme="majorBidi" w:hAnsiTheme="majorBidi" w:cstheme="majorBidi"/>
        </w:rPr>
      </w:pPr>
    </w:p>
    <w:p w14:paraId="7ECFF58D" w14:textId="77777777" w:rsidR="00746900" w:rsidRPr="00746900" w:rsidRDefault="00746900" w:rsidP="00DB5B70">
      <w:pPr>
        <w:rPr>
          <w:rFonts w:asciiTheme="majorBidi" w:hAnsiTheme="majorBidi" w:cstheme="majorBidi"/>
        </w:rPr>
      </w:pPr>
    </w:p>
    <w:p w14:paraId="6C99F572" w14:textId="77777777" w:rsidR="00746900" w:rsidRPr="00746900" w:rsidRDefault="00746900" w:rsidP="00DB5B70">
      <w:pPr>
        <w:rPr>
          <w:rFonts w:asciiTheme="majorBidi" w:hAnsiTheme="majorBidi" w:cstheme="majorBidi"/>
        </w:rPr>
      </w:pPr>
    </w:p>
    <w:p w14:paraId="21D94C6D" w14:textId="77777777" w:rsidR="00746900" w:rsidRPr="00746900" w:rsidRDefault="00746900" w:rsidP="00DB5B70">
      <w:pPr>
        <w:rPr>
          <w:rFonts w:asciiTheme="majorBidi" w:hAnsiTheme="majorBidi" w:cstheme="majorBidi"/>
        </w:rPr>
      </w:pPr>
    </w:p>
    <w:p w14:paraId="1795126E" w14:textId="4EC43F43" w:rsidR="00746900" w:rsidRPr="00746900" w:rsidRDefault="00746900" w:rsidP="00746900">
      <w:pPr>
        <w:rPr>
          <w:rFonts w:asciiTheme="majorBidi" w:hAnsiTheme="majorBidi" w:cstheme="majorBidi"/>
        </w:rPr>
      </w:pPr>
    </w:p>
    <w:p w14:paraId="146E119F" w14:textId="02E14808" w:rsidR="00746900" w:rsidRPr="00845E74" w:rsidRDefault="00746900" w:rsidP="00746900">
      <w:pPr>
        <w:rPr>
          <w:rFonts w:asciiTheme="majorBidi" w:hAnsiTheme="majorBidi" w:cstheme="majorBidi"/>
          <w:b/>
          <w:bCs/>
        </w:rPr>
      </w:pPr>
      <w:r w:rsidRPr="00845E74">
        <w:rPr>
          <w:rFonts w:asciiTheme="majorBidi" w:hAnsiTheme="majorBidi" w:cstheme="majorBidi"/>
          <w:b/>
          <w:bCs/>
        </w:rPr>
        <w:lastRenderedPageBreak/>
        <w:t>Review of the literature</w:t>
      </w:r>
    </w:p>
    <w:p w14:paraId="4EFAD336" w14:textId="77777777" w:rsidR="00DD6750" w:rsidRPr="00746900" w:rsidRDefault="00DD6750" w:rsidP="00DD6750">
      <w:pPr>
        <w:spacing w:line="480" w:lineRule="auto"/>
        <w:ind w:left="360"/>
        <w:rPr>
          <w:rFonts w:asciiTheme="majorBidi" w:hAnsiTheme="majorBidi" w:cstheme="majorBidi"/>
          <w:bCs/>
        </w:rPr>
      </w:pPr>
      <w:r>
        <w:rPr>
          <w:rFonts w:asciiTheme="majorBidi" w:hAnsiTheme="majorBidi" w:cstheme="majorBidi"/>
          <w:bCs/>
        </w:rPr>
        <w:t>Replacement of patients’</w:t>
      </w:r>
      <w:r w:rsidRPr="00746900">
        <w:rPr>
          <w:rFonts w:asciiTheme="majorBidi" w:hAnsiTheme="majorBidi" w:cstheme="majorBidi"/>
          <w:bCs/>
        </w:rPr>
        <w:t xml:space="preserve"> missing </w:t>
      </w:r>
      <w:r>
        <w:rPr>
          <w:rFonts w:asciiTheme="majorBidi" w:hAnsiTheme="majorBidi" w:cstheme="majorBidi"/>
          <w:bCs/>
        </w:rPr>
        <w:t>teeth</w:t>
      </w:r>
      <w:r w:rsidRPr="00746900">
        <w:rPr>
          <w:rFonts w:asciiTheme="majorBidi" w:hAnsiTheme="majorBidi" w:cstheme="majorBidi"/>
          <w:bCs/>
        </w:rPr>
        <w:t xml:space="preserve"> to provide better masticatory function and </w:t>
      </w:r>
      <w:r>
        <w:rPr>
          <w:rFonts w:asciiTheme="majorBidi" w:hAnsiTheme="majorBidi" w:cstheme="majorBidi"/>
          <w:bCs/>
        </w:rPr>
        <w:t xml:space="preserve">restore facial </w:t>
      </w:r>
      <w:r w:rsidRPr="00746900">
        <w:rPr>
          <w:rFonts w:asciiTheme="majorBidi" w:hAnsiTheme="majorBidi" w:cstheme="majorBidi"/>
          <w:bCs/>
        </w:rPr>
        <w:t>aesthetic</w:t>
      </w:r>
      <w:r>
        <w:rPr>
          <w:rFonts w:asciiTheme="majorBidi" w:hAnsiTheme="majorBidi" w:cstheme="majorBidi"/>
          <w:bCs/>
        </w:rPr>
        <w:t>s</w:t>
      </w:r>
      <w:r w:rsidRPr="00746900">
        <w:rPr>
          <w:rFonts w:asciiTheme="majorBidi" w:hAnsiTheme="majorBidi" w:cstheme="majorBidi"/>
          <w:bCs/>
        </w:rPr>
        <w:t xml:space="preserve"> </w:t>
      </w:r>
      <w:r>
        <w:rPr>
          <w:rFonts w:asciiTheme="majorBidi" w:hAnsiTheme="majorBidi" w:cstheme="majorBidi"/>
          <w:bCs/>
        </w:rPr>
        <w:t>represents a major challenge to the dental profession</w:t>
      </w:r>
      <w:r w:rsidRPr="00746900">
        <w:rPr>
          <w:rFonts w:asciiTheme="majorBidi" w:hAnsiTheme="majorBidi" w:cstheme="majorBidi"/>
          <w:bCs/>
        </w:rPr>
        <w:t>. The dynamic and innovate introduction of dental implant</w:t>
      </w:r>
      <w:r>
        <w:rPr>
          <w:rFonts w:asciiTheme="majorBidi" w:hAnsiTheme="majorBidi" w:cstheme="majorBidi"/>
          <w:bCs/>
        </w:rPr>
        <w:t>s</w:t>
      </w:r>
      <w:r w:rsidRPr="00746900">
        <w:rPr>
          <w:rFonts w:asciiTheme="majorBidi" w:hAnsiTheme="majorBidi" w:cstheme="majorBidi"/>
          <w:bCs/>
        </w:rPr>
        <w:t xml:space="preserve"> </w:t>
      </w:r>
      <w:r>
        <w:rPr>
          <w:rFonts w:asciiTheme="majorBidi" w:hAnsiTheme="majorBidi" w:cstheme="majorBidi"/>
          <w:bCs/>
        </w:rPr>
        <w:fldChar w:fldCharType="begin"/>
      </w:r>
      <w:r>
        <w:rPr>
          <w:rFonts w:asciiTheme="majorBidi" w:hAnsiTheme="majorBidi" w:cstheme="majorBidi"/>
          <w:bCs/>
        </w:rPr>
        <w:instrText xml:space="preserve"> ADDIN ZOTERO_ITEM CSL_CITATION {"citationID":"mIwnLdmk","properties":{"formattedCitation":"(Br\\uc0\\u229{}nemark et al., 1969)","plainCitation":"(Brånemark et al., 1969)","noteIndex":0},"citationItems":[{"id":16,"uris":["http://zotero.org/users/local/uf8AnBMd/items/YQSZ9CE6"],"itemData":{"id":16,"type":"article-journal","container-title":"Scandinavian Journal of Plastic and Reconstructive Surgery","DOI":"10.3109/02844316909036699","ISSN":"0036-5556","issue":"2","journalAbbreviation":"Scand J Plast Reconstr Surg","language":"eng","note":"PMID: 4924041","page":"81-100","source":"PubMed","title":"Intra-osseous anchorage of dental prostheses. I. Experimental studies","volume":"3","author":[{"family":"Brånemark","given":"P. I."},{"family":"Adell","given":"R."},{"family":"Breine","given":"U."},{"family":"Hansson","given":"B. O."},{"family":"Lindström","given":"J."},{"family":"Ohlsson","given":"A."}],"issued":{"date-parts":[["1969"]]}}}],"schema":"https://github.com/citation-style-language/schema/raw/master/csl-citation.json"} </w:instrText>
      </w:r>
      <w:r>
        <w:rPr>
          <w:rFonts w:asciiTheme="majorBidi" w:hAnsiTheme="majorBidi" w:cstheme="majorBidi"/>
          <w:bCs/>
        </w:rPr>
        <w:fldChar w:fldCharType="separate"/>
      </w:r>
      <w:r w:rsidRPr="00E172C9">
        <w:rPr>
          <w:rFonts w:ascii="Times New Roman" w:hAnsiTheme="majorHAnsi" w:cs="Times New Roman"/>
          <w:kern w:val="0"/>
        </w:rPr>
        <w:t>(</w:t>
      </w:r>
      <w:proofErr w:type="spellStart"/>
      <w:r w:rsidRPr="00E172C9">
        <w:rPr>
          <w:rFonts w:ascii="Times New Roman" w:hAnsiTheme="majorHAnsi" w:cs="Times New Roman"/>
          <w:kern w:val="0"/>
        </w:rPr>
        <w:t>Br</w:t>
      </w:r>
      <w:r w:rsidRPr="00E172C9">
        <w:rPr>
          <w:rFonts w:ascii="Times New Roman" w:hAnsiTheme="majorHAnsi" w:cs="Times New Roman"/>
          <w:kern w:val="0"/>
        </w:rPr>
        <w:t>å</w:t>
      </w:r>
      <w:r w:rsidRPr="00E172C9">
        <w:rPr>
          <w:rFonts w:ascii="Times New Roman" w:hAnsiTheme="majorHAnsi" w:cs="Times New Roman"/>
          <w:kern w:val="0"/>
        </w:rPr>
        <w:t>nemark</w:t>
      </w:r>
      <w:proofErr w:type="spellEnd"/>
      <w:r w:rsidRPr="00E172C9">
        <w:rPr>
          <w:rFonts w:ascii="Times New Roman" w:hAnsiTheme="majorHAnsi" w:cs="Times New Roman"/>
          <w:kern w:val="0"/>
        </w:rPr>
        <w:t xml:space="preserve"> et al., 1969)</w:t>
      </w:r>
      <w:r>
        <w:rPr>
          <w:rFonts w:asciiTheme="majorBidi" w:hAnsiTheme="majorBidi" w:cstheme="majorBidi"/>
          <w:bCs/>
        </w:rPr>
        <w:fldChar w:fldCharType="end"/>
      </w:r>
      <w:r>
        <w:rPr>
          <w:rFonts w:asciiTheme="majorBidi" w:hAnsiTheme="majorBidi" w:cstheme="majorBidi"/>
          <w:bCs/>
        </w:rPr>
        <w:t xml:space="preserve"> has dramatically improved the outcomes that can be achieved</w:t>
      </w:r>
      <w:r w:rsidRPr="00746900">
        <w:rPr>
          <w:rFonts w:asciiTheme="majorBidi" w:hAnsiTheme="majorBidi" w:cstheme="majorBidi"/>
          <w:bCs/>
        </w:rPr>
        <w:t>. Noteworthy</w:t>
      </w:r>
      <w:r>
        <w:rPr>
          <w:rFonts w:asciiTheme="majorBidi" w:hAnsiTheme="majorBidi" w:cstheme="majorBidi"/>
          <w:bCs/>
        </w:rPr>
        <w:t>,</w:t>
      </w:r>
      <w:r w:rsidRPr="00746900">
        <w:rPr>
          <w:rFonts w:asciiTheme="majorBidi" w:hAnsiTheme="majorBidi" w:cstheme="majorBidi"/>
          <w:bCs/>
        </w:rPr>
        <w:t xml:space="preserve"> replacement of teeth with dental implant</w:t>
      </w:r>
      <w:r>
        <w:rPr>
          <w:rFonts w:asciiTheme="majorBidi" w:hAnsiTheme="majorBidi" w:cstheme="majorBidi"/>
          <w:bCs/>
        </w:rPr>
        <w:t>s</w:t>
      </w:r>
      <w:r w:rsidRPr="00746900">
        <w:rPr>
          <w:rFonts w:asciiTheme="majorBidi" w:hAnsiTheme="majorBidi" w:cstheme="majorBidi"/>
          <w:bCs/>
        </w:rPr>
        <w:t xml:space="preserve"> is </w:t>
      </w:r>
      <w:r>
        <w:rPr>
          <w:rFonts w:asciiTheme="majorBidi" w:hAnsiTheme="majorBidi" w:cstheme="majorBidi"/>
          <w:bCs/>
        </w:rPr>
        <w:t>complicated by</w:t>
      </w:r>
      <w:r w:rsidRPr="00746900">
        <w:rPr>
          <w:rFonts w:asciiTheme="majorBidi" w:hAnsiTheme="majorBidi" w:cstheme="majorBidi"/>
          <w:bCs/>
        </w:rPr>
        <w:t xml:space="preserve"> the </w:t>
      </w:r>
      <w:r>
        <w:rPr>
          <w:rFonts w:asciiTheme="majorBidi" w:hAnsiTheme="majorBidi" w:cstheme="majorBidi"/>
          <w:bCs/>
        </w:rPr>
        <w:t xml:space="preserve">alterations in alveolar bone morphology </w:t>
      </w:r>
      <w:r w:rsidRPr="00746900">
        <w:rPr>
          <w:rFonts w:asciiTheme="majorBidi" w:hAnsiTheme="majorBidi" w:cstheme="majorBidi"/>
          <w:bCs/>
        </w:rPr>
        <w:t xml:space="preserve">following </w:t>
      </w:r>
      <w:r>
        <w:rPr>
          <w:rFonts w:asciiTheme="majorBidi" w:hAnsiTheme="majorBidi" w:cstheme="majorBidi"/>
          <w:bCs/>
        </w:rPr>
        <w:t xml:space="preserve">an </w:t>
      </w:r>
      <w:r w:rsidRPr="00746900">
        <w:rPr>
          <w:rFonts w:asciiTheme="majorBidi" w:hAnsiTheme="majorBidi" w:cstheme="majorBidi"/>
          <w:bCs/>
        </w:rPr>
        <w:t xml:space="preserve">extraction. </w:t>
      </w:r>
    </w:p>
    <w:p w14:paraId="0785AEDD" w14:textId="77777777" w:rsidR="00DD6750" w:rsidRPr="00746900" w:rsidRDefault="00DD6750" w:rsidP="00DD6750">
      <w:pPr>
        <w:spacing w:line="480" w:lineRule="auto"/>
        <w:ind w:left="360"/>
        <w:rPr>
          <w:rFonts w:asciiTheme="majorBidi" w:hAnsiTheme="majorBidi" w:cstheme="majorBidi"/>
          <w:bCs/>
        </w:rPr>
      </w:pPr>
      <w:r w:rsidRPr="00746900">
        <w:rPr>
          <w:rFonts w:asciiTheme="majorBidi" w:hAnsiTheme="majorBidi" w:cstheme="majorBidi"/>
          <w:bCs/>
        </w:rPr>
        <w:t xml:space="preserve">The dental implant development went through extensive research and evolution to reach a recipe where the stability and predicable outcomes could be achieved. Those aspects included dental material and surface chemistry which were described in the following articles </w:t>
      </w:r>
      <w:r>
        <w:rPr>
          <w:rFonts w:asciiTheme="majorBidi" w:hAnsiTheme="majorBidi" w:cstheme="majorBidi"/>
          <w:bCs/>
        </w:rPr>
        <w:fldChar w:fldCharType="begin"/>
      </w:r>
      <w:r>
        <w:rPr>
          <w:rFonts w:asciiTheme="majorBidi" w:hAnsiTheme="majorBidi" w:cstheme="majorBidi"/>
          <w:bCs/>
        </w:rPr>
        <w:instrText xml:space="preserve"> ADDIN ZOTERO_ITEM CSL_CITATION {"citationID":"QLHHaL4v","properties":{"formattedCitation":"(Abrahamsson et al., 2004; Buser et al., 1991, 2004; Carlsson et al., 1988)","plainCitation":"(Abrahamsson et al., 2004; Buser et al., 1991, 2004; Carlsson et al., 1988)","noteIndex":0},"citationItems":[{"id":18,"uris":["http://zotero.org/users/local/uf8AnBMd/items/CGNCRCLJ"],"itemData":{"id":18,"type":"article-journal","abstract":"OBJECTIVE: To validate a proposed model (Berglundh et al. 2003) and to evaluate the rate and degree of osseointegration at turned (T) and sand blasted and acid etched (SLA) implant surfaces during early phases of healing.\nMATERIAL AND METHODS: The devices used for the study of early healing had a geometry that corresponded to that of a solid screw implant with either a SLA or a T surface configuration. A circumferential trough had been prepared within the thread region (intra-osseous portion) that established a geometrically well-defined wound chamber. Twenty Labrador dogs received totally 160 experimental devices to allow the evaluation of healing between 2 h and 12 weeks. Both ground and decalcified sections were prepared from mesial/distal and buccal/lingual device sites. Histometric and morphometric analyses of the ground sections and morphometric analysis of the tissue components in decalcified sections were performed.\nRESULTS: The ground sections provided an overview of the various phases of tissue formation, while the decalcified, thin sections enabled a more detailed study of events involved in bone tissue modeling and remodeling for both SLA and T surfaces. The initially empty wound chamber became occupied with a coagulum and a granulation tissue that was replaced by a provisional matrix. The process of bone formation started already during the first week. The newly formed bone present at the lateral border of the cut bony bed appeared to be continuous with the parent bone, but on the SLA surface woven bone was also found at a distance from the parent bone. Parallel-fibered and/or lamellar bone as well as bone marrow replaced this primary bone after 4 weeks. In the SLA chambers, more bone-to-device contact, more initial woven bone and earlier lamellar bone formation was found than in the T chambers.\nCONCLUSION: Osseointegration represents a dynamic process both during its establishment and its maintenance. While healing showed similar characteristics with resorptive and appositional events for both SLA and T surfaces, the rate and degree of osseointegration were superior for the SLA compared with the T chambers.","container-title":"Clinical Oral Implants Research","DOI":"10.1111/j.1600-0501.2004.01082.x","ISSN":"0905-7161","issue":"4","journalAbbreviation":"Clin Oral Implants Res","language":"eng","note":"PMID: 15248872","page":"381-392","source":"PubMed","title":"Early bone formation adjacent to rough and turned endosseous implant surfaces. An experimental study in the dog","volume":"15","author":[{"family":"Abrahamsson","given":"Ingemar"},{"family":"Berglundh","given":"Tord"},{"family":"Linder","given":"Elena"},{"family":"Lang","given":"Niklaus P."},{"family":"Lindhe","given":"Jan"}],"issued":{"date-parts":[["2004",8]]}}},{"id":12,"uris":["http://zotero.org/users/local/uf8AnBMd/items/5UKQQQQ2"],"itemData":{"id":12,"type":"article-journal","abstract":"The purpose of the present study was to evaluate the influence of different surface characteristics on bone integration of titanium implants. Hollow-cylinder implants with six different surfaces were placed in the metaphyses of the tibia and femur in six miniature pigs. After 3 and 6 weeks, the implants with surrounding bone were removed and analyzed in undecalcified transverse sections. The histologic examination revealed direct bone-implant contact for all implants. However, the morphometric analyses demonstrated significant differences in the percentage of bone-implant contact, when measured in cancellous bone. Electropolished as well as the sandblasted and acid pickled (medium grit; HF/HNO3) implant surfaces had the lowest percentage of bone contact with mean values ranging between 20 and 25%. Sandblasted implants with a large grit and titanium plasma-sprayed implants demonstrated 30-40% mean bone contact. The highest extent of bone-implant interface was observed in sandblasted and acid attacked surfaces (large grit; HCl/H2SO4) with mean values of 50-60%, and hydroxylapatite (HA)-coated implants with 60-70%. However, the HA coating consistently revealed signs of resorption. It can be concluded that the extent of bone-implant interface is positively correlated with an increasing roughness of the implant surface.","container-title":"Journal of Biomedical Materials Research","DOI":"10.1002/jbm.820250708","ISSN":"0021-9304","issue":"7","journalAbbreviation":"J Biomed Mater Res","language":"eng","note":"PMID: 1918105","page":"889-902","source":"PubMed","title":"Influence of surface characteristics on bone integration of titanium implants. A histomorphometric study in miniature pigs","volume":"25","author":[{"family":"Buser","given":"D."},{"family":"Schenk","given":"R. K."},{"family":"Steinemann","given":"S."},{"family":"Fiorellini","given":"J. P."},{"family":"Fox","given":"C. H."},{"family":"Stich","given":"H."}],"issued":{"date-parts":[["1991",7]]}}},{"id":14,"uris":["http://zotero.org/users/local/uf8AnBMd/items/4SNCRDP5"],"itemData":{"id":14,"type":"article-journal","abstract":"Increased surface roughness of dental implants has demonstrated greater bone apposition; however, the effect of modifying surface chemistry remains unknown. In the present study, we evaluated bone apposition to a modified sandblasted/acid-etched (modSLA) titanium surface, as compared with a standard SLA surface, during early stages of bone regeneration. Experimental implants were placed in miniature pigs, creating 2 circular bone defects. Test and control implants had the same topography, but differed in surface chemistry. We created the test surface by submerging the implant in an isotonic NaCl solution following acid-etching to avoid contamination with molecules from the atmosphere. Test implants demonstrated a significantly greater mean percentage of bone-implant contact as compared with controls at 2 (49.30 vs. 29.42%; p = 0.017) and 4 wks (81.91 vs. 66.57%; p = 0.011) of healing. At 8 wks, similar results were observed. It is concluded that the modSLA surface promoted enhanced bone apposition during early stages of bone regeneration.","container-title":"Journal of Dental Research","DOI":"10.1177/154405910408300704","ISSN":"0022-0345","issue":"7","journalAbbreviation":"J Dent Res","language":"eng","note":"PMID: 15218041","page":"529-533","source":"PubMed","title":"Enhanced bone apposition to a chemically modified SLA titanium surface","volume":"83","author":[{"family":"Buser","given":"D."},{"family":"Broggini","given":"N."},{"family":"Wieland","given":"M."},{"family":"Schenk","given":"R. K."},{"family":"Denzer","given":"A. J."},{"family":"Cochran","given":"D. L."},{"family":"Hoffmann","given":"B."},{"family":"Lussi","given":"A."},{"family":"Steinemann","given":"S. G."}],"issued":{"date-parts":[["2004",7]]}}},{"id":10,"uris":["http://zotero.org/users/local/uf8AnBMd/items/4EGVVTSA"],"itemData":{"id":10,"type":"article-journal","container-title":"The International Journal of Oral &amp; Maxillofacial Implants","ISSN":"0882-2786","issue":"1","journalAbbreviation":"Int J Oral Maxillofac Implants","language":"eng","note":"PMID: 3250932","page":"21-24","source":"PubMed","title":"Removal torques for polished and rough titanium implants","volume":"3","author":[{"family":"Carlsson","given":"L."},{"family":"Röstlund","given":"T."},{"family":"Albrektsson","given":"B."},{"family":"Albrektsson","given":"T."}],"issued":{"date-parts":[["1988"]]}}}],"schema":"https://github.com/citation-style-language/schema/raw/master/csl-citation.json"} </w:instrText>
      </w:r>
      <w:r>
        <w:rPr>
          <w:rFonts w:asciiTheme="majorBidi" w:hAnsiTheme="majorBidi" w:cstheme="majorBidi"/>
          <w:bCs/>
        </w:rPr>
        <w:fldChar w:fldCharType="separate"/>
      </w:r>
      <w:r>
        <w:rPr>
          <w:rFonts w:asciiTheme="majorBidi" w:hAnsiTheme="majorBidi" w:cstheme="majorBidi"/>
          <w:bCs/>
          <w:noProof/>
        </w:rPr>
        <w:t>(Abrahamsson et al., 2004; Buser et al., 1991, 2004; Carlsson et al., 1988)</w:t>
      </w:r>
      <w:r>
        <w:rPr>
          <w:rFonts w:asciiTheme="majorBidi" w:hAnsiTheme="majorBidi" w:cstheme="majorBidi"/>
          <w:bCs/>
        </w:rPr>
        <w:fldChar w:fldCharType="end"/>
      </w:r>
      <w:r>
        <w:rPr>
          <w:rFonts w:asciiTheme="majorBidi" w:hAnsiTheme="majorBidi" w:cstheme="majorBidi"/>
          <w:bCs/>
        </w:rPr>
        <w:t>.</w:t>
      </w:r>
    </w:p>
    <w:p w14:paraId="2E920B82" w14:textId="77777777" w:rsidR="00DD6750" w:rsidRPr="00746900" w:rsidRDefault="00DD6750" w:rsidP="00DD6750">
      <w:pPr>
        <w:spacing w:line="480" w:lineRule="auto"/>
        <w:ind w:left="360"/>
        <w:rPr>
          <w:rFonts w:asciiTheme="majorBidi" w:hAnsiTheme="majorBidi" w:cstheme="majorBidi"/>
          <w:bCs/>
        </w:rPr>
      </w:pPr>
      <w:r>
        <w:rPr>
          <w:rFonts w:asciiTheme="majorBidi" w:hAnsiTheme="majorBidi" w:cstheme="majorBidi"/>
          <w:bCs/>
        </w:rPr>
        <w:fldChar w:fldCharType="begin"/>
      </w:r>
      <w:r>
        <w:rPr>
          <w:rFonts w:asciiTheme="majorBidi" w:hAnsiTheme="majorBidi" w:cstheme="majorBidi"/>
          <w:bCs/>
        </w:rPr>
        <w:instrText xml:space="preserve"> ADDIN ZOTERO_ITEM CSL_CITATION {"citationID":"Ep2wmbX3","properties":{"formattedCitation":"(2017)","plainCitation":"(2017)","noteIndex":0},"citationItems":[{"id":67,"uris":["http://zotero.org/users/local/uf8AnBMd/items/ZXUZXW7I"],"itemData":{"id":67,"type":"article-journal","abstract":"Implant placement in post-extraction sites of single teeth in the esthetic zone has been a topic of great interest in the field of implant dentistry since 1990. Triggered by the development of guided bone regeneration, the concept of immediate implant placement became quite popular in the 1990s. In the past 12 years, however, the dental community has begun to focus increasingly on the esthetic outcomes of post-extraction implant placement and several studies indicated a significant risk for the development of mucosal recessions with immediate implants. Parallel with this, significant progress has been made in the understanding of tissue biology in terms of hard and soft tissue alterations post extraction, based on preclinical, clinical and radiological studies. This knowledge has helped better to understand the etiology of these esthetic complications with immediate implant placement. The present review first analyzes the various phases of the development of therapeutic strategies over the years for post-extraction implant placement in single tooth sites in the esthetic zone. It presents the current knowledge concerning the terminology with immediate, early and late implant placement, the risk factors for the development of esthetic complications, and the selection criteria for the various treatment options. In the second part, clinical recommendations are given, since a clinician active in this field of implant therapy can use all treatment options depending on the preoperative analysis including a 3D cone beam computed tomography. The selection criteria for all four treatment options are presented and documented with typical case reports to illustrate the current treatment approaches applied in daily practice.","container-title":"Periodontology 2000","DOI":"10.1111/prd.12170","ISSN":"1600-0757","issue":"1","language":"en","license":"© 2016 The Authors. Periodontology 2000 published by John Wiley &amp; Sons Ltd","note":"_eprint: https://onlinelibrary.wiley.com/doi/pdf/10.1111/prd.12170","page":"84-102","source":"Wiley Online Library","title":"Implant placement post extraction in esthetic single tooth sites: when immediate, when early, when late?","title-short":"Implant placement post extraction in esthetic single tooth sites","volume":"73","author":[{"family":"Buser","given":"Daniel"},{"family":"Chappuis","given":"Vivianne"},{"family":"Belser","given":"Urs C."},{"family":"Chen","given":"Stephen"}],"issued":{"date-parts":[["2017"]]}},"suppress-author":true}],"schema":"https://github.com/citation-style-language/schema/raw/master/csl-citation.json"} </w:instrText>
      </w:r>
      <w:r>
        <w:rPr>
          <w:rFonts w:asciiTheme="majorBidi" w:hAnsiTheme="majorBidi" w:cstheme="majorBidi"/>
          <w:bCs/>
        </w:rPr>
        <w:fldChar w:fldCharType="separate"/>
      </w:r>
      <w:r>
        <w:rPr>
          <w:rFonts w:asciiTheme="majorBidi" w:hAnsiTheme="majorBidi" w:cstheme="majorBidi"/>
          <w:bCs/>
          <w:noProof/>
        </w:rPr>
        <w:t>(2017)</w:t>
      </w:r>
      <w:r>
        <w:rPr>
          <w:rFonts w:asciiTheme="majorBidi" w:hAnsiTheme="majorBidi" w:cstheme="majorBidi"/>
          <w:bCs/>
        </w:rPr>
        <w:fldChar w:fldCharType="end"/>
      </w:r>
      <w:r>
        <w:rPr>
          <w:rFonts w:asciiTheme="majorBidi" w:hAnsiTheme="majorBidi" w:cstheme="majorBidi"/>
          <w:bCs/>
        </w:rPr>
        <w:t xml:space="preserve"> </w:t>
      </w:r>
      <w:r w:rsidRPr="00746900">
        <w:rPr>
          <w:rFonts w:asciiTheme="majorBidi" w:hAnsiTheme="majorBidi" w:cstheme="majorBidi"/>
          <w:bCs/>
        </w:rPr>
        <w:t>Buser</w:t>
      </w:r>
      <w:r>
        <w:rPr>
          <w:rFonts w:asciiTheme="majorBidi" w:hAnsiTheme="majorBidi" w:cstheme="majorBidi"/>
          <w:bCs/>
        </w:rPr>
        <w:t xml:space="preserve"> et al. </w:t>
      </w:r>
      <w:r w:rsidRPr="00746900">
        <w:rPr>
          <w:rFonts w:asciiTheme="majorBidi" w:hAnsiTheme="majorBidi" w:cstheme="majorBidi"/>
          <w:bCs/>
        </w:rPr>
        <w:t xml:space="preserve"> published an article titled “</w:t>
      </w:r>
      <w:bookmarkStart w:id="0" w:name="_Hlk198933808"/>
      <w:r w:rsidRPr="00746900">
        <w:rPr>
          <w:rFonts w:asciiTheme="majorBidi" w:hAnsiTheme="majorBidi" w:cstheme="majorBidi"/>
          <w:bCs/>
        </w:rPr>
        <w:t xml:space="preserve">Implant placement post extraction in esthetic single tooth sites: when immediate, when early, when late?” </w:t>
      </w:r>
      <w:bookmarkEnd w:id="0"/>
      <w:r w:rsidRPr="00746900">
        <w:rPr>
          <w:rFonts w:asciiTheme="majorBidi" w:hAnsiTheme="majorBidi" w:cstheme="majorBidi"/>
          <w:bCs/>
        </w:rPr>
        <w:t xml:space="preserve">and provided detailed information for each situation and scenario. </w:t>
      </w:r>
    </w:p>
    <w:p w14:paraId="548354A5" w14:textId="77777777" w:rsidR="00746900" w:rsidRPr="00746900" w:rsidRDefault="00746900" w:rsidP="00746900">
      <w:pPr>
        <w:spacing w:line="480" w:lineRule="auto"/>
        <w:ind w:left="360"/>
        <w:rPr>
          <w:rFonts w:asciiTheme="majorBidi" w:hAnsiTheme="majorBidi" w:cstheme="majorBidi"/>
        </w:rPr>
      </w:pPr>
      <w:r w:rsidRPr="00746900">
        <w:rPr>
          <w:rFonts w:asciiTheme="majorBidi" w:hAnsiTheme="majorBidi" w:cstheme="majorBidi"/>
          <w:noProof/>
        </w:rPr>
        <w:drawing>
          <wp:inline distT="0" distB="0" distL="0" distR="0" wp14:anchorId="65766609" wp14:editId="0A3564DA">
            <wp:extent cx="5429885" cy="1682044"/>
            <wp:effectExtent l="0" t="0" r="0" b="0"/>
            <wp:docPr id="1232390128" name="Picture 1" descr="A diagram of a patient's surger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390128" name="Picture 1" descr="A diagram of a patient's surgery&#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5445024" cy="1686734"/>
                    </a:xfrm>
                    <a:prstGeom prst="rect">
                      <a:avLst/>
                    </a:prstGeom>
                  </pic:spPr>
                </pic:pic>
              </a:graphicData>
            </a:graphic>
          </wp:inline>
        </w:drawing>
      </w:r>
    </w:p>
    <w:p w14:paraId="65097E02" w14:textId="4D34BC3F" w:rsidR="00DD6750" w:rsidRPr="00746900" w:rsidRDefault="00DD6750" w:rsidP="00DD6750">
      <w:pPr>
        <w:spacing w:line="480" w:lineRule="auto"/>
        <w:ind w:left="360"/>
        <w:rPr>
          <w:rFonts w:asciiTheme="majorBidi" w:hAnsiTheme="majorBidi" w:cstheme="majorBidi"/>
        </w:rPr>
      </w:pPr>
      <w:r w:rsidRPr="00746900">
        <w:rPr>
          <w:rFonts w:asciiTheme="majorBidi" w:hAnsiTheme="majorBidi" w:cstheme="majorBidi"/>
        </w:rPr>
        <w:t xml:space="preserve">In the article Buser quoted the </w:t>
      </w:r>
      <w:r>
        <w:rPr>
          <w:rFonts w:asciiTheme="majorBidi" w:hAnsiTheme="majorBidi" w:cstheme="majorBidi"/>
        </w:rPr>
        <w:t xml:space="preserve">conclusions of an </w:t>
      </w:r>
      <w:r w:rsidRPr="00746900">
        <w:rPr>
          <w:rFonts w:asciiTheme="majorBidi" w:hAnsiTheme="majorBidi" w:cstheme="majorBidi"/>
        </w:rPr>
        <w:t>ITI consensus</w:t>
      </w:r>
      <w:r>
        <w:rPr>
          <w:rFonts w:asciiTheme="majorBidi" w:hAnsiTheme="majorBidi" w:cstheme="majorBidi"/>
        </w:rPr>
        <w:t xml:space="preserve"> conference summarized</w:t>
      </w:r>
      <w:r w:rsidRPr="00746900">
        <w:rPr>
          <w:rFonts w:asciiTheme="majorBidi" w:hAnsiTheme="majorBidi" w:cstheme="majorBidi"/>
        </w:rPr>
        <w:t xml:space="preserve"> </w:t>
      </w:r>
      <w:r>
        <w:rPr>
          <w:rFonts w:asciiTheme="majorBidi" w:hAnsiTheme="majorBidi" w:cstheme="majorBidi"/>
        </w:rPr>
        <w:t xml:space="preserve">in </w:t>
      </w:r>
      <w:commentRangeStart w:id="1"/>
      <w:r>
        <w:rPr>
          <w:rFonts w:asciiTheme="majorBidi" w:hAnsiTheme="majorBidi" w:cstheme="majorBidi"/>
        </w:rPr>
        <w:t>Fig</w:t>
      </w:r>
      <w:commentRangeEnd w:id="1"/>
      <w:r>
        <w:rPr>
          <w:rStyle w:val="CommentReference"/>
        </w:rPr>
        <w:commentReference w:id="1"/>
      </w:r>
      <w:r>
        <w:rPr>
          <w:rFonts w:asciiTheme="majorBidi" w:hAnsiTheme="majorBidi" w:cstheme="majorBidi"/>
        </w:rPr>
        <w:t>. 1:</w:t>
      </w:r>
      <w:r w:rsidRPr="00746900">
        <w:rPr>
          <w:rFonts w:asciiTheme="majorBidi" w:hAnsiTheme="majorBidi" w:cstheme="majorBidi"/>
        </w:rPr>
        <w:t xml:space="preserve"> </w:t>
      </w:r>
    </w:p>
    <w:p w14:paraId="095F32D7" w14:textId="77777777" w:rsidR="00746900" w:rsidRPr="00746900" w:rsidRDefault="00746900" w:rsidP="00746900">
      <w:pPr>
        <w:spacing w:line="480" w:lineRule="auto"/>
        <w:ind w:left="360"/>
        <w:rPr>
          <w:rFonts w:asciiTheme="majorBidi" w:hAnsiTheme="majorBidi" w:cstheme="majorBidi"/>
        </w:rPr>
      </w:pPr>
      <w:r w:rsidRPr="00746900">
        <w:rPr>
          <w:rFonts w:asciiTheme="majorBidi" w:hAnsiTheme="majorBidi" w:cstheme="majorBidi"/>
        </w:rPr>
        <w:t xml:space="preserve">Where </w:t>
      </w:r>
      <w:r w:rsidRPr="00746900">
        <w:rPr>
          <w:rFonts w:asciiTheme="majorBidi" w:hAnsiTheme="majorBidi" w:cstheme="majorBidi"/>
          <w:b/>
          <w:bCs/>
        </w:rPr>
        <w:t>type I –</w:t>
      </w:r>
      <w:r w:rsidRPr="00746900">
        <w:rPr>
          <w:rFonts w:asciiTheme="majorBidi" w:hAnsiTheme="majorBidi" w:cstheme="majorBidi"/>
        </w:rPr>
        <w:t xml:space="preserve"> would be the treatment of choice with flapless surgical procedure in site where ideal parameters exist such as think wall phenotype and thick gingival biotype. </w:t>
      </w:r>
    </w:p>
    <w:p w14:paraId="242E0746" w14:textId="77777777" w:rsidR="00746900" w:rsidRPr="00746900" w:rsidRDefault="00746900" w:rsidP="00746900">
      <w:pPr>
        <w:spacing w:line="480" w:lineRule="auto"/>
        <w:ind w:left="360"/>
        <w:rPr>
          <w:rFonts w:asciiTheme="majorBidi" w:hAnsiTheme="majorBidi" w:cstheme="majorBidi"/>
        </w:rPr>
      </w:pPr>
      <w:r w:rsidRPr="00746900">
        <w:rPr>
          <w:rFonts w:asciiTheme="majorBidi" w:hAnsiTheme="majorBidi" w:cstheme="majorBidi"/>
          <w:b/>
          <w:bCs/>
        </w:rPr>
        <w:lastRenderedPageBreak/>
        <w:t>Type II –</w:t>
      </w:r>
      <w:r w:rsidRPr="00746900">
        <w:rPr>
          <w:rFonts w:asciiTheme="majorBidi" w:hAnsiTheme="majorBidi" w:cstheme="majorBidi"/>
        </w:rPr>
        <w:t xml:space="preserve"> Early implant placement with soft tissue healing – this would explain a site with a thin or damaged facial bone wall, but this site does allow correct implant position. This type would require raising full thick mucoperiosteal flap and will require contour augmentation to correct the deficiency. </w:t>
      </w:r>
    </w:p>
    <w:p w14:paraId="14D9BF81" w14:textId="77777777" w:rsidR="00746900" w:rsidRPr="00746900" w:rsidRDefault="00746900" w:rsidP="00746900">
      <w:pPr>
        <w:spacing w:line="480" w:lineRule="auto"/>
        <w:ind w:left="360"/>
        <w:rPr>
          <w:rFonts w:asciiTheme="majorBidi" w:hAnsiTheme="majorBidi" w:cstheme="majorBidi"/>
        </w:rPr>
      </w:pPr>
      <w:r w:rsidRPr="00746900">
        <w:rPr>
          <w:rFonts w:asciiTheme="majorBidi" w:hAnsiTheme="majorBidi" w:cstheme="majorBidi"/>
          <w:b/>
          <w:bCs/>
        </w:rPr>
        <w:t>Type III –</w:t>
      </w:r>
      <w:r w:rsidRPr="00746900">
        <w:rPr>
          <w:rFonts w:asciiTheme="majorBidi" w:hAnsiTheme="majorBidi" w:cstheme="majorBidi"/>
        </w:rPr>
        <w:t xml:space="preserve"> Early implant placement with partial bone healing – This involves extended bone lesion with large periapical lesion which require partial bone healing prior to implant placement. At the stage where implant placement is applicable this type will require contour augmentation to correct the deficiency.</w:t>
      </w:r>
    </w:p>
    <w:p w14:paraId="00947EC0" w14:textId="70FA9F78" w:rsidR="00746900" w:rsidRPr="00746900" w:rsidRDefault="00746900" w:rsidP="00746900">
      <w:pPr>
        <w:spacing w:line="480" w:lineRule="auto"/>
        <w:ind w:left="360"/>
        <w:rPr>
          <w:rFonts w:asciiTheme="majorBidi" w:hAnsiTheme="majorBidi" w:cstheme="majorBidi"/>
        </w:rPr>
      </w:pPr>
      <w:r w:rsidRPr="00746900">
        <w:rPr>
          <w:rFonts w:asciiTheme="majorBidi" w:hAnsiTheme="majorBidi" w:cstheme="majorBidi"/>
          <w:b/>
          <w:bCs/>
        </w:rPr>
        <w:t>Type 4 –</w:t>
      </w:r>
      <w:r w:rsidRPr="00746900">
        <w:rPr>
          <w:rFonts w:asciiTheme="majorBidi" w:hAnsiTheme="majorBidi" w:cstheme="majorBidi"/>
        </w:rPr>
        <w:t xml:space="preserve"> Late implant placement – </w:t>
      </w:r>
      <w:r w:rsidR="00AF5ABF">
        <w:rPr>
          <w:rFonts w:asciiTheme="majorBidi" w:hAnsiTheme="majorBidi" w:cstheme="majorBidi"/>
        </w:rPr>
        <w:fldChar w:fldCharType="begin"/>
      </w:r>
      <w:r w:rsidR="00AF5ABF">
        <w:rPr>
          <w:rFonts w:asciiTheme="majorBidi" w:hAnsiTheme="majorBidi" w:cstheme="majorBidi"/>
        </w:rPr>
        <w:instrText xml:space="preserve"> ADDIN ZOTERO_ITEM CSL_CITATION {"citationID":"UsTPd2si","properties":{"formattedCitation":"(Buser et al., 2017)","plainCitation":"(Buser et al., 2017)","noteIndex":0},"citationItems":[{"id":67,"uris":["http://zotero.org/users/local/uf8AnBMd/items/ZXUZXW7I"],"itemData":{"id":67,"type":"article-journal","abstract":"Implant placement in post-extraction sites of single teeth in the esthetic zone has been a topic of great interest in the field of implant dentistry since 1990. Triggered by the development of guided bone regeneration, the concept of immediate implant placement became quite popular in the 1990s. In the past 12 years, however, the dental community has begun to focus increasingly on the esthetic outcomes of post-extraction implant placement and several studies indicated a significant risk for the development of mucosal recessions with immediate implants. Parallel with this, significant progress has been made in the understanding of tissue biology in terms of hard and soft tissue alterations post extraction, based on preclinical, clinical and radiological studies. This knowledge has helped better to understand the etiology of these esthetic complications with immediate implant placement. The present review first analyzes the various phases of the development of therapeutic strategies over the years for post-extraction implant placement in single tooth sites in the esthetic zone. It presents the current knowledge concerning the terminology with immediate, early and late implant placement, the risk factors for the development of esthetic complications, and the selection criteria for the various treatment options. In the second part, clinical recommendations are given, since a clinician active in this field of implant therapy can use all treatment options depending on the preoperative analysis including a 3D cone beam computed tomography. The selection criteria for all four treatment options are presented and documented with typical case reports to illustrate the current treatment approaches applied in daily practice.","container-title":"Periodontology 2000","DOI":"10.1111/prd.12170","ISSN":"1600-0757","issue":"1","language":"en","license":"© 2016 The Authors. Periodontology 2000 published by John Wiley &amp; Sons Ltd","note":"_eprint: https://onlinelibrary.wiley.com/doi/pdf/10.1111/prd.12170","page":"84-102","source":"Wiley Online Library","title":"Implant placement post extraction in esthetic single tooth sites: when immediate, when early, when late?","title-short":"Implant placement post extraction in esthetic single tooth sites","volume":"73","author":[{"family":"Buser","given":"Daniel"},{"family":"Chappuis","given":"Vivianne"},{"family":"Belser","given":"Urs C."},{"family":"Chen","given":"Stephen"}],"issued":{"date-parts":[["2017"]]}}}],"schema":"https://github.com/citation-style-language/schema/raw/master/csl-citation.json"} </w:instrText>
      </w:r>
      <w:r w:rsidR="00AF5ABF">
        <w:rPr>
          <w:rFonts w:asciiTheme="majorBidi" w:hAnsiTheme="majorBidi" w:cstheme="majorBidi"/>
        </w:rPr>
        <w:fldChar w:fldCharType="separate"/>
      </w:r>
      <w:r w:rsidR="00AF5ABF">
        <w:rPr>
          <w:rFonts w:asciiTheme="majorBidi" w:hAnsiTheme="majorBidi" w:cstheme="majorBidi"/>
          <w:noProof/>
        </w:rPr>
        <w:t>(Buser et al., 2017)</w:t>
      </w:r>
      <w:r w:rsidR="00AF5ABF">
        <w:rPr>
          <w:rFonts w:asciiTheme="majorBidi" w:hAnsiTheme="majorBidi" w:cstheme="majorBidi"/>
        </w:rPr>
        <w:fldChar w:fldCharType="end"/>
      </w:r>
      <w:r w:rsidRPr="00746900">
        <w:rPr>
          <w:rFonts w:asciiTheme="majorBidi" w:hAnsiTheme="majorBidi" w:cstheme="majorBidi"/>
        </w:rPr>
        <w:t xml:space="preserve"> describe it as the least attractive treatment option for the patient due to the long treatment and possible multiple surgical intervention to reach the desirable outcome by restoring function and esthetics. </w:t>
      </w:r>
    </w:p>
    <w:p w14:paraId="5BCF38C8" w14:textId="77777777" w:rsidR="00746900" w:rsidRPr="00746900" w:rsidRDefault="00746900" w:rsidP="00746900">
      <w:pPr>
        <w:spacing w:line="480" w:lineRule="auto"/>
        <w:ind w:left="360"/>
        <w:rPr>
          <w:rFonts w:asciiTheme="majorBidi" w:hAnsiTheme="majorBidi" w:cstheme="majorBidi"/>
        </w:rPr>
      </w:pPr>
      <w:r w:rsidRPr="00746900">
        <w:rPr>
          <w:rFonts w:asciiTheme="majorBidi" w:hAnsiTheme="majorBidi" w:cstheme="majorBidi"/>
          <w:noProof/>
        </w:rPr>
        <w:drawing>
          <wp:inline distT="0" distB="0" distL="0" distR="0" wp14:anchorId="3D6AC328" wp14:editId="43CDA5B4">
            <wp:extent cx="5145405" cy="2607012"/>
            <wp:effectExtent l="0" t="0" r="0" b="0"/>
            <wp:docPr id="1595370396" name="Picture 2" descr="A table of medical procedu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5370396" name="Picture 2" descr="A table of medical procedures&#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5154582" cy="2611662"/>
                    </a:xfrm>
                    <a:prstGeom prst="rect">
                      <a:avLst/>
                    </a:prstGeom>
                  </pic:spPr>
                </pic:pic>
              </a:graphicData>
            </a:graphic>
          </wp:inline>
        </w:drawing>
      </w:r>
    </w:p>
    <w:p w14:paraId="37C230DE" w14:textId="77777777" w:rsidR="00746900" w:rsidRPr="00746900" w:rsidRDefault="00746900" w:rsidP="00746900">
      <w:pPr>
        <w:spacing w:line="480" w:lineRule="auto"/>
        <w:ind w:left="360"/>
        <w:rPr>
          <w:rFonts w:asciiTheme="majorBidi" w:hAnsiTheme="majorBidi" w:cstheme="majorBidi"/>
          <w:b/>
          <w:bCs/>
        </w:rPr>
      </w:pPr>
      <w:r w:rsidRPr="00746900">
        <w:rPr>
          <w:rFonts w:asciiTheme="majorBidi" w:hAnsiTheme="majorBidi" w:cstheme="majorBidi"/>
          <w:b/>
          <w:bCs/>
        </w:rPr>
        <w:t>Immediate implant Placement:</w:t>
      </w:r>
    </w:p>
    <w:p w14:paraId="2FD97C48" w14:textId="0A6609F4" w:rsidR="00746900" w:rsidRPr="00746900" w:rsidRDefault="00AF5ABF" w:rsidP="00746900">
      <w:pPr>
        <w:spacing w:line="480" w:lineRule="auto"/>
        <w:ind w:left="360"/>
        <w:rPr>
          <w:rFonts w:asciiTheme="majorBidi" w:hAnsiTheme="majorBidi" w:cstheme="majorBidi"/>
        </w:rPr>
      </w:pPr>
      <w:r>
        <w:rPr>
          <w:rFonts w:asciiTheme="majorBidi" w:hAnsiTheme="majorBidi" w:cstheme="majorBidi"/>
        </w:rPr>
        <w:fldChar w:fldCharType="begin"/>
      </w:r>
      <w:r>
        <w:rPr>
          <w:rFonts w:asciiTheme="majorBidi" w:hAnsiTheme="majorBidi" w:cstheme="majorBidi"/>
        </w:rPr>
        <w:instrText xml:space="preserve"> ADDIN ZOTERO_ITEM CSL_CITATION {"citationID":"MRs3kfx0","properties":{"formattedCitation":"(Schulte &amp; Heimke, 1976)","plainCitation":"(Schulte &amp; Heimke, 1976)","noteIndex":0},"citationItems":[{"id":23,"uris":["http://zotero.org/users/local/uf8AnBMd/items/B5ZGLG49"],"itemData":{"id":23,"type":"article-journal","container-title":"Die Quintessenz","ISSN":"0033-6580","issue":"6","journalAbbreviation":"Quintessenz","language":"ger","note":"PMID: 802007","page":"17 - 23","source":"PubMed","title":"[The Tübinger immediate implant]","volume":"27","author":[{"family":"Schulte","given":"W."},{"family":"Heimke","given":"G."}],"issued":{"date-parts":[["1976",6]]}}}],"schema":"https://github.com/citation-style-language/schema/raw/master/csl-citation.json"} </w:instrText>
      </w:r>
      <w:r>
        <w:rPr>
          <w:rFonts w:asciiTheme="majorBidi" w:hAnsiTheme="majorBidi" w:cstheme="majorBidi"/>
        </w:rPr>
        <w:fldChar w:fldCharType="separate"/>
      </w:r>
      <w:r>
        <w:rPr>
          <w:rFonts w:asciiTheme="majorBidi" w:hAnsiTheme="majorBidi" w:cstheme="majorBidi"/>
          <w:noProof/>
        </w:rPr>
        <w:t>(Schulte &amp; Heimke, 1976)</w:t>
      </w:r>
      <w:r>
        <w:rPr>
          <w:rFonts w:asciiTheme="majorBidi" w:hAnsiTheme="majorBidi" w:cstheme="majorBidi"/>
        </w:rPr>
        <w:fldChar w:fldCharType="end"/>
      </w:r>
      <w:r>
        <w:rPr>
          <w:rFonts w:asciiTheme="majorBidi" w:hAnsiTheme="majorBidi" w:cstheme="majorBidi"/>
        </w:rPr>
        <w:t xml:space="preserve"> </w:t>
      </w:r>
      <w:r w:rsidR="00746900" w:rsidRPr="00746900">
        <w:rPr>
          <w:rFonts w:asciiTheme="majorBidi" w:hAnsiTheme="majorBidi" w:cstheme="majorBidi"/>
        </w:rPr>
        <w:t xml:space="preserve">The concept of immediate placement of dental implant in fresh extraction socket was initially proposed by Germans in 1976, and this credit belong to Profs. </w:t>
      </w:r>
      <w:r w:rsidR="00746900" w:rsidRPr="00746900">
        <w:rPr>
          <w:rFonts w:asciiTheme="majorBidi" w:hAnsiTheme="majorBidi" w:cstheme="majorBidi"/>
        </w:rPr>
        <w:lastRenderedPageBreak/>
        <w:t>Schulte and Heimke. This concept gained popularity due to the high aesthetics demand particularly in the anterior zone, significant reduction in the number of surgical interventions and a shorted treatment time.</w:t>
      </w:r>
      <w:r>
        <w:rPr>
          <w:rFonts w:asciiTheme="majorBidi" w:hAnsiTheme="majorBidi" w:cstheme="majorBidi"/>
        </w:rPr>
        <w:fldChar w:fldCharType="begin"/>
      </w:r>
      <w:r>
        <w:rPr>
          <w:rFonts w:asciiTheme="majorBidi" w:hAnsiTheme="majorBidi" w:cstheme="majorBidi"/>
        </w:rPr>
        <w:instrText xml:space="preserve"> ADDIN ZOTERO_ITEM CSL_CITATION {"citationID":"XRdMepjL","properties":{"formattedCitation":"(Lazzara, 1989)","plainCitation":"(Lazzara, 1989)","noteIndex":0},"citationItems":[{"id":25,"uris":["http://zotero.org/users/local/uf8AnBMd/items/CEPRP5FQ"],"itemData":{"id":25,"type":"article-journal","container-title":"The International Journal of Periodontics &amp; Restorative Dentistry","ISSN":"0198-7569","issue":"5","journalAbbreviation":"Int J Periodontics Restorative Dent","language":"eng","note":"PMID: 2640210","page":"332-343","source":"PubMed","title":"Immediate implant placement into extraction sites: surgical and restorative advantages","title-short":"Immediate implant placement into extraction sites","volume":"9","author":[{"family":"Lazzara","given":"R. J."}],"issued":{"date-parts":[["1989"]]}}}],"schema":"https://github.com/citation-style-language/schema/raw/master/csl-citation.json"} </w:instrText>
      </w:r>
      <w:r>
        <w:rPr>
          <w:rFonts w:asciiTheme="majorBidi" w:hAnsiTheme="majorBidi" w:cstheme="majorBidi"/>
        </w:rPr>
        <w:fldChar w:fldCharType="separate"/>
      </w:r>
      <w:r>
        <w:rPr>
          <w:rFonts w:asciiTheme="majorBidi" w:hAnsiTheme="majorBidi" w:cstheme="majorBidi"/>
          <w:noProof/>
        </w:rPr>
        <w:t>(Lazzara, 1989)</w:t>
      </w:r>
      <w:r>
        <w:rPr>
          <w:rFonts w:asciiTheme="majorBidi" w:hAnsiTheme="majorBidi" w:cstheme="majorBidi"/>
        </w:rPr>
        <w:fldChar w:fldCharType="end"/>
      </w:r>
      <w:r w:rsidR="00746900" w:rsidRPr="00746900">
        <w:rPr>
          <w:rFonts w:asciiTheme="majorBidi" w:hAnsiTheme="majorBidi" w:cstheme="majorBidi"/>
        </w:rPr>
        <w:t xml:space="preserve"> Concluded that immediate implant placement helped preserve the </w:t>
      </w:r>
      <w:r w:rsidR="00EB2C18" w:rsidRPr="00746900">
        <w:rPr>
          <w:rFonts w:asciiTheme="majorBidi" w:hAnsiTheme="majorBidi" w:cstheme="majorBidi"/>
        </w:rPr>
        <w:t>integrity</w:t>
      </w:r>
      <w:r w:rsidR="00746900" w:rsidRPr="00746900">
        <w:rPr>
          <w:rFonts w:asciiTheme="majorBidi" w:hAnsiTheme="majorBidi" w:cstheme="majorBidi"/>
        </w:rPr>
        <w:t xml:space="preserve"> of the extraction socket in humans.</w:t>
      </w:r>
    </w:p>
    <w:p w14:paraId="4581A282" w14:textId="4818660C" w:rsidR="00746900" w:rsidRPr="00746900" w:rsidRDefault="00746900" w:rsidP="00746900">
      <w:pPr>
        <w:spacing w:line="480" w:lineRule="auto"/>
        <w:ind w:left="360"/>
        <w:rPr>
          <w:rFonts w:asciiTheme="majorBidi" w:hAnsiTheme="majorBidi" w:cstheme="majorBidi"/>
        </w:rPr>
      </w:pPr>
      <w:r w:rsidRPr="00746900">
        <w:rPr>
          <w:rFonts w:asciiTheme="majorBidi" w:hAnsiTheme="majorBidi" w:cstheme="majorBidi"/>
        </w:rPr>
        <w:t xml:space="preserve">A systematic review conducted by </w:t>
      </w:r>
      <w:r w:rsidR="00AF5ABF">
        <w:rPr>
          <w:rFonts w:asciiTheme="majorBidi" w:hAnsiTheme="majorBidi" w:cstheme="majorBidi"/>
        </w:rPr>
        <w:fldChar w:fldCharType="begin"/>
      </w:r>
      <w:r w:rsidR="00AF5ABF">
        <w:rPr>
          <w:rFonts w:asciiTheme="majorBidi" w:hAnsiTheme="majorBidi" w:cstheme="majorBidi"/>
        </w:rPr>
        <w:instrText xml:space="preserve"> ADDIN ZOTERO_ITEM CSL_CITATION {"citationID":"pdRk4Gsc","properties":{"formattedCitation":"(Lang et al., 2012)","plainCitation":"(Lang et al., 2012)","noteIndex":0},"citationItems":[{"id":27,"uris":["http://zotero.org/users/local/uf8AnBMd/items/92EQDEJ6"],"itemData":{"id":27,"type":"article-journal","abstract":"BACKGROUND: Type I immediate implant placement has gained popularity because it may reduce treatment time, number of surgeries and post-extraction bone loss. However, this is potentially challenged by inadequate keratinized mucosa for flap adaptation and difficulties in achieving primary stability. Moreover, it has been proven that post-extraction bone loss is an inevitable biological process, which affects treatment outcomes.\nOBJECTIVES: To estimate survival and success rates of implants and the implant-supported prostheses, the prevalence of biological, technical and aesthetic complications, and the magnitude of soft and hard tissue changes following implant placement immediately into fresh extraction sockets.\nMATERIAL AND METHODS: An electronic search in MEDLINE (PubMed) and the Cochrane Library from 1991 to July 2010 was performed to include prospective studies on immediate implants with a mean follow-up time of at least 1 year. The survival rates were computed using the STATA statistical software. Weighted means of soft and hard tissue changes were obtained by the inverse variance method.\nRESULTS: A total of 46 prospective studies, with a mean follow-up time of 2.08 years, were included. The annual failure rate of immediate implants was 0.82% (95% CI: 0.48-1.39%), translating into the 2-year survival rate of 98.4% (97.3-99%). Among the five factors analysed (reasons for extraction, antibiotic use, position of implant [anterior vs. posterior, maxilla vs. mandible), type of loading], only the regimen of antibiotic use affected the survival rate significantly. Lower failure rates were found in groups that were provided with a course of post-operative antibiotics. The success of implant therapy was difficult to assess due to scarce reporting on biological, technical and aesthetic complications. Soft tissue changes occurred mostly in the first 3 months after the provision of restoration, and then stabilized towards end of the first year. Marginal bone loss predominantly took place in the first year after implant placement, with a magnitude generally less than 1 mm. Controversy on hard tissue preservation with platform-switching technique remained unsolved.\nCONCLUSIONS: Despite the high survival rate observed, more long-term studies are necessary to determine the success of implant treatment provided immediately after tooth extraction. Special attention has to be given to aesthetic outcomes.","container-title":"Clinical Oral Implants Research","DOI":"10.1111/j.1600-0501.2011.02372.x","ISSN":"1600-0501","journalAbbreviation":"Clin Oral Implants Res","language":"eng","note":"PMID: 22211305","page":"39-66","source":"PubMed","title":"A systematic review on survival and success rates of implants placed immediately into fresh extraction sockets after at least 1 year","volume":"23 Suppl 5","author":[{"family":"Lang","given":"Niklaus P."},{"family":"Pun","given":"Lui"},{"family":"Lau","given":"Ka Yee"},{"family":"Li","given":"Ka Yan"},{"family":"Wong","given":"May C. M."}],"issued":{"date-parts":[["2012",2]]}}}],"schema":"https://github.com/citation-style-language/schema/raw/master/csl-citation.json"} </w:instrText>
      </w:r>
      <w:r w:rsidR="00AF5ABF">
        <w:rPr>
          <w:rFonts w:asciiTheme="majorBidi" w:hAnsiTheme="majorBidi" w:cstheme="majorBidi"/>
        </w:rPr>
        <w:fldChar w:fldCharType="separate"/>
      </w:r>
      <w:r w:rsidR="00AF5ABF">
        <w:rPr>
          <w:rFonts w:asciiTheme="majorBidi" w:hAnsiTheme="majorBidi" w:cstheme="majorBidi"/>
          <w:noProof/>
        </w:rPr>
        <w:t>(Lang et al., 2012)</w:t>
      </w:r>
      <w:r w:rsidR="00AF5ABF">
        <w:rPr>
          <w:rFonts w:asciiTheme="majorBidi" w:hAnsiTheme="majorBidi" w:cstheme="majorBidi"/>
        </w:rPr>
        <w:fldChar w:fldCharType="end"/>
      </w:r>
      <w:r w:rsidRPr="00746900">
        <w:rPr>
          <w:rFonts w:asciiTheme="majorBidi" w:hAnsiTheme="majorBidi" w:cstheme="majorBidi"/>
        </w:rPr>
        <w:t xml:space="preserve"> concluded the annual implant failure was 0.82% which in 2 year follow up the overall survival rate of 98.4%. Also, in the same article they concluded that about 20% of patients who received immediate dental implant with delay restoration suffered a suboptimal aesthetics outcome due to the buccal soft tissue recession. </w:t>
      </w:r>
    </w:p>
    <w:p w14:paraId="5BD1E919" w14:textId="77777777" w:rsidR="00DD6750" w:rsidRPr="00746900" w:rsidRDefault="00DD6750" w:rsidP="00DD6750">
      <w:pPr>
        <w:spacing w:line="480" w:lineRule="auto"/>
        <w:ind w:left="360"/>
        <w:rPr>
          <w:rFonts w:asciiTheme="majorBidi" w:hAnsiTheme="majorBidi" w:cstheme="majorBidi"/>
        </w:rPr>
      </w:pPr>
      <w:r>
        <w:rPr>
          <w:rFonts w:asciiTheme="majorBidi" w:hAnsiTheme="majorBidi" w:cstheme="majorBidi"/>
        </w:rPr>
        <w:fldChar w:fldCharType="begin"/>
      </w:r>
      <w:r>
        <w:rPr>
          <w:rFonts w:asciiTheme="majorBidi" w:hAnsiTheme="majorBidi" w:cstheme="majorBidi"/>
        </w:rPr>
        <w:instrText xml:space="preserve"> ADDIN ZOTERO_ITEM CSL_CITATION {"citationID":"5dXW5bYp","properties":{"formattedCitation":"(Cosyn et al., 2019)","plainCitation":"(Cosyn et al., 2019)","noteIndex":0},"citationItems":[{"id":31,"uris":["http://zotero.org/users/local/uf8AnBMd/items/63UZ5NJR"],"itemData":{"id":31,"type":"article-journal","abstract":"AIM: To compare immediate implant placement (IIP) to delayed single implant placement (DIP, ≥3 months post-extraction) in terms of implant survival (primary outcome), surgical, clinical, aesthetic, radiographic and patient-reported outcomes (secondary outcomes).\nMATERIALS AND METHODS: Two reviewers independently performed an electronic search in PubMed, Web of Science, EMBASE and Cochrane and a hand search to identify eligible studies up to May 2018. Only randomized controlled trials (RCTs) and non-randomized controlled studies (NRSs) comparing IIP to DIP with at least 1 year of follow-up were selected for a qualitative analysis and meta-analysis.\nRESULTS: The search identified 3 RCTs and 5 NRSs out of 2,589 titles providing data on 473 single implants (IIP: 233, DIP: 240) that had been in function between 12 and 96 months. One RCT showed unclear risk of bias, whereas all other studies demonstrated high risk. Meta-analysis showed significantly lower implant survival for IIP (94.9%) as compared to DIP (98.9%) (RR 0.96, 95% CI [0.93; 0.99], p = 0.02). All were early implant failures. A subgroup meta-analysis demonstrated a trend towards lower implant survival for IIP when postoperative antibiotics had not been administered (RR: 0.93, 95% CI [0.86; 1.00], p = 0.07). This was not observed among studies including the administration of postoperative antibiotics (RR: 0.98, 95% CI [0.94; 1.02], p = 0.35). Meta-analyses showed similar probing depth (WMD 0.43 mm, 95% CI [-0.47; 1.33], p = 0.35) and aesthetic outcomes as assessed by the pink aesthetic score (standardized WMD -0.03, 95% CI [-0.46; 0.39], p = 0.88) for IIP and DIP. Data on marginal bone loss were conflicting and highly biased. Soft tissue recession was underreported and available data were highly biased. Patient-reported outcomes were underreported, yet both IIP and DIP seemed well tolerated.\nCONCLUSION: Immediate implant placement demonstrated higher risk for early implant loss than DIP. There is a need for RCTs comparing IIP to DIP with CBCT analyses at different time points and data on midfacial recession with the preoperative status as baseline. In these studies, the need for hard and soft tissue grafting should also be evaluated.","container-title":"Journal of Clinical Periodontology","DOI":"10.1111/jcpe.13054","ISSN":"1600-051X","journalAbbreviation":"J Clin Periodontol","language":"eng","note":"PMID: 30624808","page":"224-241","source":"PubMed","title":"The effectiveness of immediate implant placement for single tooth replacement compared to delayed implant placement: A systematic review and meta-analysis","title-short":"The effectiveness of immediate implant placement for single tooth replacement compared to delayed implant placement","volume":"46 Suppl 21","author":[{"family":"Cosyn","given":"Jan"},{"family":"De Lat","given":"Liesa"},{"family":"Seyssens","given":"Lorenz"},{"family":"Doornewaard","given":"Ron"},{"family":"Deschepper","given":"Ellen"},{"family":"Vervaeke","given":"Stijn"}],"issued":{"date-parts":[["2019",6]]}}}],"schema":"https://github.com/citation-style-language/schema/raw/master/csl-citation.json"} </w:instrText>
      </w:r>
      <w:r>
        <w:rPr>
          <w:rFonts w:asciiTheme="majorBidi" w:hAnsiTheme="majorBidi" w:cstheme="majorBidi"/>
        </w:rPr>
        <w:fldChar w:fldCharType="separate"/>
      </w:r>
      <w:r>
        <w:rPr>
          <w:rFonts w:asciiTheme="majorBidi" w:hAnsiTheme="majorBidi" w:cstheme="majorBidi"/>
          <w:noProof/>
        </w:rPr>
        <w:t>(Cosyn et al., 2019)</w:t>
      </w:r>
      <w:r>
        <w:rPr>
          <w:rFonts w:asciiTheme="majorBidi" w:hAnsiTheme="majorBidi" w:cstheme="majorBidi"/>
        </w:rPr>
        <w:fldChar w:fldCharType="end"/>
      </w:r>
      <w:r w:rsidRPr="00746900">
        <w:rPr>
          <w:rFonts w:asciiTheme="majorBidi" w:hAnsiTheme="majorBidi" w:cstheme="majorBidi"/>
        </w:rPr>
        <w:t xml:space="preserve"> concluded it is </w:t>
      </w:r>
      <w:r>
        <w:rPr>
          <w:rFonts w:asciiTheme="majorBidi" w:hAnsiTheme="majorBidi" w:cstheme="majorBidi"/>
        </w:rPr>
        <w:t xml:space="preserve">that the success of immediately placed implants is case type-specific with multiple factors contributing to the likelihood of a favorable outcome. The authors suggested that </w:t>
      </w:r>
      <w:r w:rsidRPr="00746900">
        <w:rPr>
          <w:rFonts w:asciiTheme="majorBidi" w:hAnsiTheme="majorBidi" w:cstheme="majorBidi"/>
        </w:rPr>
        <w:t>&lt;</w:t>
      </w:r>
      <w:r>
        <w:rPr>
          <w:rFonts w:asciiTheme="majorBidi" w:hAnsiTheme="majorBidi" w:cstheme="majorBidi"/>
        </w:rPr>
        <w:t xml:space="preserve"> </w:t>
      </w:r>
      <w:r w:rsidRPr="00746900">
        <w:rPr>
          <w:rFonts w:asciiTheme="majorBidi" w:hAnsiTheme="majorBidi" w:cstheme="majorBidi"/>
        </w:rPr>
        <w:t>10%</w:t>
      </w:r>
      <w:r>
        <w:rPr>
          <w:rFonts w:asciiTheme="majorBidi" w:hAnsiTheme="majorBidi" w:cstheme="majorBidi"/>
        </w:rPr>
        <w:t xml:space="preserve"> of patients had sites amenable to immediate placement</w:t>
      </w:r>
      <w:r w:rsidRPr="00746900">
        <w:rPr>
          <w:rFonts w:asciiTheme="majorBidi" w:hAnsiTheme="majorBidi" w:cstheme="majorBidi"/>
        </w:rPr>
        <w:t xml:space="preserve">. </w:t>
      </w:r>
      <w:r>
        <w:rPr>
          <w:rFonts w:asciiTheme="majorBidi" w:hAnsiTheme="majorBidi" w:cstheme="majorBidi"/>
        </w:rPr>
        <w:t>Individuals with</w:t>
      </w:r>
      <w:r w:rsidRPr="00746900">
        <w:rPr>
          <w:rFonts w:asciiTheme="majorBidi" w:hAnsiTheme="majorBidi" w:cstheme="majorBidi"/>
        </w:rPr>
        <w:t xml:space="preserve"> intact </w:t>
      </w:r>
      <w:r>
        <w:rPr>
          <w:rFonts w:asciiTheme="majorBidi" w:hAnsiTheme="majorBidi" w:cstheme="majorBidi"/>
        </w:rPr>
        <w:t xml:space="preserve">post-extraction </w:t>
      </w:r>
      <w:r w:rsidRPr="00746900">
        <w:rPr>
          <w:rFonts w:asciiTheme="majorBidi" w:hAnsiTheme="majorBidi" w:cstheme="majorBidi"/>
        </w:rPr>
        <w:t xml:space="preserve">buccal </w:t>
      </w:r>
      <w:r>
        <w:rPr>
          <w:rFonts w:asciiTheme="majorBidi" w:hAnsiTheme="majorBidi" w:cstheme="majorBidi"/>
        </w:rPr>
        <w:t xml:space="preserve">alveolar </w:t>
      </w:r>
      <w:r w:rsidRPr="00746900">
        <w:rPr>
          <w:rFonts w:asciiTheme="majorBidi" w:hAnsiTheme="majorBidi" w:cstheme="majorBidi"/>
        </w:rPr>
        <w:t xml:space="preserve">bone and </w:t>
      </w:r>
      <w:r>
        <w:rPr>
          <w:rFonts w:asciiTheme="majorBidi" w:hAnsiTheme="majorBidi" w:cstheme="majorBidi"/>
        </w:rPr>
        <w:t xml:space="preserve">a </w:t>
      </w:r>
      <w:r w:rsidRPr="00746900">
        <w:rPr>
          <w:rFonts w:asciiTheme="majorBidi" w:hAnsiTheme="majorBidi" w:cstheme="majorBidi"/>
        </w:rPr>
        <w:t>thick gingival biotype</w:t>
      </w:r>
      <w:r>
        <w:rPr>
          <w:rFonts w:asciiTheme="majorBidi" w:hAnsiTheme="majorBidi" w:cstheme="majorBidi"/>
        </w:rPr>
        <w:t xml:space="preserve"> who underwent</w:t>
      </w:r>
      <w:r w:rsidRPr="00746900">
        <w:rPr>
          <w:rFonts w:asciiTheme="majorBidi" w:hAnsiTheme="majorBidi" w:cstheme="majorBidi"/>
        </w:rPr>
        <w:t xml:space="preserve"> immediate implant place</w:t>
      </w:r>
      <w:r>
        <w:rPr>
          <w:rFonts w:asciiTheme="majorBidi" w:hAnsiTheme="majorBidi" w:cstheme="majorBidi"/>
        </w:rPr>
        <w:t>ment</w:t>
      </w:r>
      <w:r w:rsidRPr="00746900">
        <w:rPr>
          <w:rFonts w:asciiTheme="majorBidi" w:hAnsiTheme="majorBidi" w:cstheme="majorBidi"/>
        </w:rPr>
        <w:t xml:space="preserve"> a</w:t>
      </w:r>
      <w:r>
        <w:rPr>
          <w:rFonts w:asciiTheme="majorBidi" w:hAnsiTheme="majorBidi" w:cstheme="majorBidi"/>
        </w:rPr>
        <w:t>nd restoration</w:t>
      </w:r>
      <w:r w:rsidRPr="00746900">
        <w:rPr>
          <w:rFonts w:asciiTheme="majorBidi" w:hAnsiTheme="majorBidi" w:cstheme="majorBidi"/>
        </w:rPr>
        <w:t xml:space="preserve"> crown </w:t>
      </w:r>
      <w:r>
        <w:rPr>
          <w:rFonts w:asciiTheme="majorBidi" w:hAnsiTheme="majorBidi" w:cstheme="majorBidi"/>
        </w:rPr>
        <w:t>experienced</w:t>
      </w:r>
      <w:r w:rsidRPr="00746900">
        <w:rPr>
          <w:rFonts w:asciiTheme="majorBidi" w:hAnsiTheme="majorBidi" w:cstheme="majorBidi"/>
        </w:rPr>
        <w:t xml:space="preserve"> limit</w:t>
      </w:r>
      <w:r>
        <w:rPr>
          <w:rFonts w:asciiTheme="majorBidi" w:hAnsiTheme="majorBidi" w:cstheme="majorBidi"/>
        </w:rPr>
        <w:t>ed</w:t>
      </w:r>
      <w:r w:rsidRPr="00746900">
        <w:rPr>
          <w:rFonts w:asciiTheme="majorBidi" w:hAnsiTheme="majorBidi" w:cstheme="majorBidi"/>
        </w:rPr>
        <w:t xml:space="preserve"> midfacial recession. </w:t>
      </w:r>
    </w:p>
    <w:p w14:paraId="68558AC4" w14:textId="77777777" w:rsidR="00746900" w:rsidRPr="00746900" w:rsidRDefault="00746900" w:rsidP="00746900">
      <w:pPr>
        <w:spacing w:line="480" w:lineRule="auto"/>
        <w:ind w:left="360"/>
        <w:rPr>
          <w:rFonts w:asciiTheme="majorBidi" w:hAnsiTheme="majorBidi" w:cstheme="majorBidi"/>
          <w:b/>
          <w:bCs/>
        </w:rPr>
      </w:pPr>
      <w:r w:rsidRPr="00746900">
        <w:rPr>
          <w:rFonts w:asciiTheme="majorBidi" w:hAnsiTheme="majorBidi" w:cstheme="majorBidi"/>
          <w:b/>
          <w:bCs/>
        </w:rPr>
        <w:t>Peri-implantitis: (What is peri-implantitis)</w:t>
      </w:r>
    </w:p>
    <w:p w14:paraId="34B97F15" w14:textId="1B6C495A" w:rsidR="00746900" w:rsidRPr="00746900" w:rsidRDefault="00AF5ABF" w:rsidP="00746900">
      <w:pPr>
        <w:spacing w:line="480" w:lineRule="auto"/>
        <w:ind w:left="360"/>
        <w:rPr>
          <w:rFonts w:asciiTheme="majorBidi" w:hAnsiTheme="majorBidi" w:cstheme="majorBidi"/>
        </w:rPr>
      </w:pPr>
      <w:r>
        <w:rPr>
          <w:rFonts w:asciiTheme="majorBidi" w:hAnsiTheme="majorBidi" w:cstheme="majorBidi"/>
        </w:rPr>
        <w:fldChar w:fldCharType="begin"/>
      </w:r>
      <w:r>
        <w:rPr>
          <w:rFonts w:asciiTheme="majorBidi" w:hAnsiTheme="majorBidi" w:cstheme="majorBidi"/>
        </w:rPr>
        <w:instrText xml:space="preserve"> ADDIN ZOTERO_ITEM CSL_CITATION {"citationID":"XsKA3TwY","properties":{"formattedCitation":"(Berglundh et al., 2018)","plainCitation":"(Berglundh et al., 2018)","noteIndex":0},"citationItems":[{"id":34,"uris":["http://zotero.org/users/local/uf8AnBMd/items/7B4NG8JZ"],"itemData":{"id":34,"type":"article-journal","abstract":"A classification for peri-implant diseases and conditions was presented. Focused questions on the characteristics of peri-implant health, peri-implant mucositis, peri-implantitis, and soft- and hard-tissue deficiencies were addressed. Peri-implant health is characterized by the absence of erythema, bleeding on probing, swelling, and suppuration. It is not possible to define a range of probing depths compatible with health; Peri-implant health can exist around implants with reduced bone support. The main clinical characteristic of peri-implant mucositis is bleeding on gentle probing. Erythema, swelling, and/or suppuration may also be present. An increase in probing depth is often observed in the presence of peri-implant mucositis due to swelling or decrease in probing resistance. There is strong evidence from animal and human experimental studies that plaque is the etiological factor for peri-implant mucositis. Peri-implantitis is a plaque-associated pathological condition occurring in tissues around dental implants, characterized by inflammation in the peri-implant mucosa and subsequent progressive loss of supporting bone. Peri-implantitis sites exhibit clinical signs of inflammation, bleeding on probing, and/or suppuration, increased probing depths and/or recession of the mucosal margin in addition to radiographic bone loss. The evidence is equivocal regarding the effect of keratinized mucosa on the long-term health of the peri-implant tissue. It appears, however, that keratinized mucosa may have advantages regarding patient comfort and ease of plaque removal. Case definitions in day-to-day clinical practice and in epidemiological or disease-surveillance studies for peri-implant health, peri-implant mucositis, and peri-implantitis were introduced. The proposed case definitions should be viewed within the context that there is no generic implant and that there are numerous implant designs with different surface characteristics, surgical and loading protocols. It is recommended that the clinician obtain baseline radiographic and probing measurements following the completion of the implant-supported prosthesis.","container-title":"Journal of Periodontology","DOI":"10.1002/JPER.17-0739","ISSN":"1943-3670","issue":"S1","language":"en","license":"© 2018 American Academy of Periodontology and European Federation of Periodontology","note":"_eprint: https://aap.onlinelibrary.wiley.com/doi/pdf/10.1002/JPER.17-0739","page":"S313-S318","source":"Wiley Online Library","title":"Peri-implant diseases and conditions: Consensus report of workgroup 4 of the 2017 World Workshop on the Classification of Periodontal and Peri-Implant Diseases and Conditions","title-short":"Peri-implant diseases and conditions","volume":"89","author":[{"family":"Berglundh","given":"Tord"},{"family":"Armitage","given":"Gary"},{"family":"Araujo","given":"Mauricio G."},{"family":"Avila-Ortiz","given":"Gustavo"},{"family":"Blanco","given":"Juan"},{"family":"Camargo","given":"Paulo M."},{"family":"Chen","given":"Stephen"},{"family":"Cochran","given":"David"},{"family":"Derks","given":"Jan"},{"family":"Figuero","given":"Elena"},{"family":"Hämmerle","given":"Christoph H.F."},{"family":"Heitz-Mayfield","given":"Lisa J.A."},{"family":"Huynh-Ba","given":"Guy"},{"family":"Iacono","given":"Vincent"},{"family":"Koo","given":"Ki-Tae"},{"family":"Lambert","given":"France"},{"family":"McCauley","given":"Laurie"},{"family":"Quirynen","given":"Marc"},{"family":"Renvert","given":"Stefan"},{"family":"Salvi","given":"Giovanni E."},{"family":"Schwarz","given":"Frank"},{"family":"Tarnow","given":"Dennis"},{"family":"Tomasi","given":"Cristiano"},{"family":"Wang","given":"Hom-Lay"},{"family":"Zitzmann","given":"Nicola"}],"issued":{"date-parts":[["2018"]]}}}],"schema":"https://github.com/citation-style-language/schema/raw/master/csl-citation.json"} </w:instrText>
      </w:r>
      <w:r>
        <w:rPr>
          <w:rFonts w:asciiTheme="majorBidi" w:hAnsiTheme="majorBidi" w:cstheme="majorBidi"/>
        </w:rPr>
        <w:fldChar w:fldCharType="separate"/>
      </w:r>
      <w:r>
        <w:rPr>
          <w:rFonts w:asciiTheme="majorBidi" w:hAnsiTheme="majorBidi" w:cstheme="majorBidi"/>
          <w:noProof/>
        </w:rPr>
        <w:t>(Berglundh et al., 2018)</w:t>
      </w:r>
      <w:r>
        <w:rPr>
          <w:rFonts w:asciiTheme="majorBidi" w:hAnsiTheme="majorBidi" w:cstheme="majorBidi"/>
        </w:rPr>
        <w:fldChar w:fldCharType="end"/>
      </w:r>
      <w:r>
        <w:rPr>
          <w:rFonts w:asciiTheme="majorBidi" w:hAnsiTheme="majorBidi" w:cstheme="majorBidi"/>
        </w:rPr>
        <w:t xml:space="preserve"> </w:t>
      </w:r>
      <w:r w:rsidR="00746900" w:rsidRPr="00746900">
        <w:rPr>
          <w:rFonts w:asciiTheme="majorBidi" w:hAnsiTheme="majorBidi" w:cstheme="majorBidi"/>
        </w:rPr>
        <w:t>Referring to the consensus of the 2017 world workshop there are many terminologies that needs to be explained in detail to aid in having standard diagnosis and addressing conditions around dental implants.</w:t>
      </w:r>
    </w:p>
    <w:p w14:paraId="4B4D2876" w14:textId="77777777" w:rsidR="00746900" w:rsidRPr="00746900" w:rsidRDefault="00746900" w:rsidP="00746900">
      <w:pPr>
        <w:spacing w:line="480" w:lineRule="auto"/>
        <w:ind w:left="360"/>
        <w:rPr>
          <w:rFonts w:asciiTheme="majorBidi" w:hAnsiTheme="majorBidi" w:cstheme="majorBidi"/>
        </w:rPr>
      </w:pPr>
      <w:r w:rsidRPr="00746900">
        <w:rPr>
          <w:rFonts w:asciiTheme="majorBidi" w:hAnsiTheme="majorBidi" w:cstheme="majorBidi"/>
          <w:b/>
          <w:bCs/>
        </w:rPr>
        <w:t xml:space="preserve">Peri-implant health – </w:t>
      </w:r>
      <w:r w:rsidRPr="00746900">
        <w:rPr>
          <w:rFonts w:asciiTheme="majorBidi" w:hAnsiTheme="majorBidi" w:cstheme="majorBidi"/>
        </w:rPr>
        <w:t xml:space="preserve">and it was defined as site is characterized by absence of erythema, bleeding on probing, and the absence of swelling and suppuration. </w:t>
      </w:r>
    </w:p>
    <w:p w14:paraId="6A161CEB" w14:textId="77777777" w:rsidR="00746900" w:rsidRPr="00746900" w:rsidRDefault="00746900" w:rsidP="00746900">
      <w:pPr>
        <w:spacing w:line="480" w:lineRule="auto"/>
        <w:ind w:left="360"/>
        <w:rPr>
          <w:rFonts w:asciiTheme="majorBidi" w:hAnsiTheme="majorBidi" w:cstheme="majorBidi"/>
        </w:rPr>
      </w:pPr>
      <w:r w:rsidRPr="00746900">
        <w:rPr>
          <w:rFonts w:asciiTheme="majorBidi" w:hAnsiTheme="majorBidi" w:cstheme="majorBidi"/>
          <w:b/>
          <w:bCs/>
        </w:rPr>
        <w:lastRenderedPageBreak/>
        <w:t>Peri-implant mucositis –</w:t>
      </w:r>
      <w:r w:rsidRPr="00746900">
        <w:rPr>
          <w:rFonts w:asciiTheme="majorBidi" w:hAnsiTheme="majorBidi" w:cstheme="majorBidi"/>
        </w:rPr>
        <w:t xml:space="preserve"> it was defined as the preserve of bleeding on gentle probing along with erythema, and/or suppuration may also be present. </w:t>
      </w:r>
    </w:p>
    <w:p w14:paraId="6D604C58" w14:textId="77777777" w:rsidR="00746900" w:rsidRPr="00746900" w:rsidRDefault="00746900" w:rsidP="00746900">
      <w:pPr>
        <w:spacing w:line="480" w:lineRule="auto"/>
        <w:ind w:left="360"/>
        <w:rPr>
          <w:rFonts w:asciiTheme="majorBidi" w:hAnsiTheme="majorBidi" w:cstheme="majorBidi"/>
        </w:rPr>
      </w:pPr>
      <w:r w:rsidRPr="00746900">
        <w:rPr>
          <w:rFonts w:asciiTheme="majorBidi" w:hAnsiTheme="majorBidi" w:cstheme="majorBidi"/>
          <w:b/>
          <w:bCs/>
        </w:rPr>
        <w:t>Peri-implantitis –</w:t>
      </w:r>
      <w:r w:rsidRPr="00746900">
        <w:rPr>
          <w:rFonts w:asciiTheme="majorBidi" w:hAnsiTheme="majorBidi" w:cstheme="majorBidi"/>
        </w:rPr>
        <w:t xml:space="preserve"> is defined as a plaque-associated pathological condition occurring in tissue surrounding dental implants and include all the clinical findings associated with peri-implant mucositis with the addition of subsequent loss of supporting bone around the dental implant. </w:t>
      </w:r>
    </w:p>
    <w:p w14:paraId="225DB82B" w14:textId="77777777" w:rsidR="00746900" w:rsidRPr="00746900" w:rsidRDefault="00746900" w:rsidP="00746900">
      <w:pPr>
        <w:spacing w:line="480" w:lineRule="auto"/>
        <w:ind w:left="360"/>
        <w:rPr>
          <w:rFonts w:asciiTheme="majorBidi" w:hAnsiTheme="majorBidi" w:cstheme="majorBidi"/>
        </w:rPr>
      </w:pPr>
      <w:r w:rsidRPr="00746900">
        <w:rPr>
          <w:rFonts w:asciiTheme="majorBidi" w:hAnsiTheme="majorBidi" w:cstheme="majorBidi"/>
          <w:noProof/>
        </w:rPr>
        <w:drawing>
          <wp:inline distT="0" distB="0" distL="0" distR="0" wp14:anchorId="435AD1DE" wp14:editId="0E320592">
            <wp:extent cx="5943600" cy="2545715"/>
            <wp:effectExtent l="0" t="0" r="0" b="0"/>
            <wp:docPr id="1971463792" name="Picture 3" descr="A screenshot of a medical inform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463792" name="Picture 3" descr="A screenshot of a medical information&#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5943600" cy="2545715"/>
                    </a:xfrm>
                    <a:prstGeom prst="rect">
                      <a:avLst/>
                    </a:prstGeom>
                  </pic:spPr>
                </pic:pic>
              </a:graphicData>
            </a:graphic>
          </wp:inline>
        </w:drawing>
      </w:r>
    </w:p>
    <w:p w14:paraId="006F0831" w14:textId="77777777" w:rsidR="00746900" w:rsidRPr="00746900" w:rsidRDefault="00746900" w:rsidP="00746900">
      <w:pPr>
        <w:spacing w:line="480" w:lineRule="auto"/>
        <w:ind w:left="360"/>
        <w:rPr>
          <w:rFonts w:asciiTheme="majorBidi" w:hAnsiTheme="majorBidi" w:cstheme="majorBidi"/>
          <w:b/>
          <w:bCs/>
        </w:rPr>
      </w:pPr>
      <w:r w:rsidRPr="00746900">
        <w:rPr>
          <w:rFonts w:asciiTheme="majorBidi" w:hAnsiTheme="majorBidi" w:cstheme="majorBidi"/>
          <w:b/>
          <w:bCs/>
        </w:rPr>
        <w:t>Prosthetic Angle:</w:t>
      </w:r>
    </w:p>
    <w:p w14:paraId="3E99E69D" w14:textId="6E77EC77" w:rsidR="00746900" w:rsidRPr="00746900" w:rsidRDefault="00746900" w:rsidP="00746900">
      <w:pPr>
        <w:spacing w:line="480" w:lineRule="auto"/>
        <w:ind w:left="360"/>
        <w:rPr>
          <w:rFonts w:asciiTheme="majorBidi" w:hAnsiTheme="majorBidi" w:cstheme="majorBidi"/>
        </w:rPr>
      </w:pPr>
      <w:r w:rsidRPr="00746900">
        <w:rPr>
          <w:rFonts w:asciiTheme="majorBidi" w:hAnsiTheme="majorBidi" w:cstheme="majorBidi"/>
        </w:rPr>
        <w:t xml:space="preserve">In an era were peri-implantitis has been a growing issue and complication is dentistry. The prevalence of such issue been documented in the literature, and it ranges from 1%-47% </w:t>
      </w:r>
      <w:r w:rsidR="00AF5ABF">
        <w:rPr>
          <w:rFonts w:asciiTheme="majorBidi" w:hAnsiTheme="majorBidi" w:cstheme="majorBidi"/>
        </w:rPr>
        <w:fldChar w:fldCharType="begin"/>
      </w:r>
      <w:r w:rsidR="00AF5ABF">
        <w:rPr>
          <w:rFonts w:asciiTheme="majorBidi" w:hAnsiTheme="majorBidi" w:cstheme="majorBidi"/>
        </w:rPr>
        <w:instrText xml:space="preserve"> ADDIN ZOTERO_ITEM CSL_CITATION {"citationID":"5nvl1gWW","properties":{"formattedCitation":"(Derks &amp; Tomasi, 2015)","plainCitation":"(Derks &amp; Tomasi, 2015)","noteIndex":0},"citationItems":[{"id":37,"uris":["http://zotero.org/users/local/uf8AnBMd/items/G5SZTUJ7"],"itemData":{"id":37,"type":"article-journal","abstract":"BACKGROUND: To develop preventive strategies addressing peri-implant diseases, a thorough understanding of the epidemiology is required.\nAIM: The aim was to systematically assess the scientific literature in order to evaluate the prevalence, extent and severity of peri-implant diseases.\nMATERIAL &amp; METHODS: Data were extracted from identified studies. Meta-analyses for prevalence of peri-implant mucositis and peri-implantitis were performed. The effect of function time and disease definition on the prevalence of peri-implantitis was evaluated by meta-regression analyses. Data on extent and severity of peri-implant diseases were estimated if not directly reported.\nRESULTS: Fifteen articles describing 11 studies were included. Case definitions for mucositis and peri-implantitis varied. The prevalence of peri-implant mucositis and peri-implantitis ranged from 19 to 65% and from 1 to 47%, respectively. Meta-analyses estimated weighted mean prevalences of peri-implant mucositis and peri-implantitis of 43% (CI: 32-54%) and 22% (CI: 14-30%), respectively. The meta-regression showed a positive relationship between prevalence of peri-implantitis and function time and a negative relationship between prevalence of peri-implantitis and threshold for bone loss. Extent and severity of peri-implant diseases were rarely reported.\nCONCLUSION: Future studies on the epidemiology of peri-implant diseases should consider (i) applying consistent case definitions and (ii) assessing random patient samples of adequate size and function time.","container-title":"Journal of Clinical Periodontology","DOI":"10.1111/jcpe.12334","ISSN":"1600-051X","journalAbbreviation":"J Clin Periodontol","language":"eng","note":"PMID: 25495683","page":"S158-171","source":"PubMed","title":"Peri-implant health and disease. A systematic review of current epidemiology","volume":"42 Suppl 16","author":[{"family":"Derks","given":"Jan"},{"family":"Tomasi","given":"Cristiano"}],"issued":{"date-parts":[["2015",4]]}}}],"schema":"https://github.com/citation-style-language/schema/raw/master/csl-citation.json"} </w:instrText>
      </w:r>
      <w:r w:rsidR="00AF5ABF">
        <w:rPr>
          <w:rFonts w:asciiTheme="majorBidi" w:hAnsiTheme="majorBidi" w:cstheme="majorBidi"/>
        </w:rPr>
        <w:fldChar w:fldCharType="separate"/>
      </w:r>
      <w:r w:rsidR="00AF5ABF">
        <w:rPr>
          <w:rFonts w:asciiTheme="majorBidi" w:hAnsiTheme="majorBidi" w:cstheme="majorBidi"/>
          <w:noProof/>
        </w:rPr>
        <w:t>(Derks &amp; Tomasi, 2015)</w:t>
      </w:r>
      <w:r w:rsidR="00AF5ABF">
        <w:rPr>
          <w:rFonts w:asciiTheme="majorBidi" w:hAnsiTheme="majorBidi" w:cstheme="majorBidi"/>
        </w:rPr>
        <w:fldChar w:fldCharType="end"/>
      </w:r>
      <w:r w:rsidRPr="00746900">
        <w:rPr>
          <w:rFonts w:asciiTheme="majorBidi" w:hAnsiTheme="majorBidi" w:cstheme="majorBidi"/>
        </w:rPr>
        <w:t>. Patient having certain medical condition, history of periodontal disease, smoking, implant malposition have been linked to increase risk of peri-implantitis. Those studies focused of the biological/medical conditions in the prediction of the peri-implantitis, but those studies lacked the assessment of the restorative component which is the main goal and result of the implant placement in the first place.</w:t>
      </w:r>
    </w:p>
    <w:p w14:paraId="3130F253" w14:textId="405835F9" w:rsidR="00746900" w:rsidRPr="00746900" w:rsidRDefault="00AF5ABF" w:rsidP="00746900">
      <w:pPr>
        <w:spacing w:line="480" w:lineRule="auto"/>
        <w:ind w:left="360"/>
        <w:rPr>
          <w:rFonts w:asciiTheme="majorBidi" w:hAnsiTheme="majorBidi" w:cstheme="majorBidi"/>
        </w:rPr>
      </w:pPr>
      <w:r>
        <w:rPr>
          <w:rFonts w:asciiTheme="majorBidi" w:hAnsiTheme="majorBidi" w:cstheme="majorBidi"/>
        </w:rPr>
        <w:lastRenderedPageBreak/>
        <w:fldChar w:fldCharType="begin"/>
      </w:r>
      <w:r>
        <w:rPr>
          <w:rFonts w:asciiTheme="majorBidi" w:hAnsiTheme="majorBidi" w:cstheme="majorBidi"/>
        </w:rPr>
        <w:instrText xml:space="preserve"> ADDIN ZOTERO_ITEM CSL_CITATION {"citationID":"NWyFgn5l","properties":{"formattedCitation":"(Yi et al., 2020)","plainCitation":"(Yi et al., 2020)","noteIndex":0},"citationItems":[{"id":40,"uris":["http://zotero.org/users/local/uf8AnBMd/items/3SSSHACA"],"itemData":{"id":40,"type":"article-journal","abstract":"OBJECTIVE: To identify the influence of prosthetic features through a comprehensive analysis with other known risk factors.\nMATERIALS AND METHODS: A total of 169 patients (n = implants: 349) was retrospectively included in the present study. Peri-implantitis was diagnosed based on peri-implant bone loss and probing depth. Using radiographs taken 1 and 5 years following prosthesis insertion, the following features were determined: peri-implant marginal bone loss (MBL), emergence angle (EA), emergence profile (EP) and crown/implant ratio (CIR). The splinted position of prosthesis was also recorded. Multivariable generalized estimating equation was used to analyse the influence of each feature on the prevalence of peri-implantitis. The final prediction model was constructed by Cox proportional hazard regression analysis.\nRESULTS: The EA showed a significant correlation with MBL. A statistically greater prevalence of peri-implantitis was observed if EA ≥ 30 degrees, when EP is convex and in middle implant splinted with both mesial and distal adjacent implants in bone-level implant. A similar correlation was not observed in tissue-level implants. CIR had no significant effect on the prevalence of peri-implantitis.\nCONCLUSION: Over-contoured implant prosthesis is a critical local confounder for peri-implantitis. The implant splinted to both mesial and distal adjacent implant has a higher risk of peri-implantitis.","container-title":"Journal of Clinical Periodontology","DOI":"10.1111/jcpe.13251","ISSN":"1600-051X","issue":"3","journalAbbreviation":"J Clin Periodontol","language":"eng","note":"PMID: 31912511","page":"392-403","source":"PubMed","title":"Association of prosthetic features and peri-implantitis: A cross-sectional study","title-short":"Association of prosthetic features and peri-implantitis","volume":"47","author":[{"family":"Yi","given":"Yuseung"},{"family":"Koo","given":"Ki-Tae"},{"family":"Schwarz","given":"Frank"},{"family":"Ben Amara","given":"Heithem"},{"family":"Heo","given":"Seong-Joo"}],"issued":{"date-parts":[["2020",3]]}}}],"schema":"https://github.com/citation-style-language/schema/raw/master/csl-citation.json"} </w:instrText>
      </w:r>
      <w:r>
        <w:rPr>
          <w:rFonts w:asciiTheme="majorBidi" w:hAnsiTheme="majorBidi" w:cstheme="majorBidi"/>
        </w:rPr>
        <w:fldChar w:fldCharType="separate"/>
      </w:r>
      <w:r>
        <w:rPr>
          <w:rFonts w:asciiTheme="majorBidi" w:hAnsiTheme="majorBidi" w:cstheme="majorBidi"/>
          <w:noProof/>
        </w:rPr>
        <w:t>(Yi et al., 2020)</w:t>
      </w:r>
      <w:r>
        <w:rPr>
          <w:rFonts w:asciiTheme="majorBidi" w:hAnsiTheme="majorBidi" w:cstheme="majorBidi"/>
        </w:rPr>
        <w:fldChar w:fldCharType="end"/>
      </w:r>
      <w:r>
        <w:rPr>
          <w:rFonts w:asciiTheme="majorBidi" w:hAnsiTheme="majorBidi" w:cstheme="majorBidi"/>
        </w:rPr>
        <w:t xml:space="preserve"> </w:t>
      </w:r>
      <w:r w:rsidR="00746900" w:rsidRPr="00746900">
        <w:rPr>
          <w:rFonts w:asciiTheme="majorBidi" w:hAnsiTheme="majorBidi" w:cstheme="majorBidi"/>
        </w:rPr>
        <w:t>conducted a study with an aim to identify the influence of prosthetic features as a critical cofounder for peri-implantitis.</w:t>
      </w:r>
      <w:r w:rsidR="00746900" w:rsidRPr="00746900">
        <w:rPr>
          <w:rFonts w:asciiTheme="majorBidi" w:hAnsiTheme="majorBidi" w:cstheme="majorBidi"/>
          <w:noProof/>
        </w:rPr>
        <w:drawing>
          <wp:inline distT="0" distB="0" distL="0" distR="0" wp14:anchorId="300C764D" wp14:editId="69232DA7">
            <wp:extent cx="4309353" cy="3394353"/>
            <wp:effectExtent l="0" t="0" r="0" b="0"/>
            <wp:docPr id="507814929" name="Picture 4" descr="A close-up of a x-r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14929" name="Picture 4" descr="A close-up of a x-ray&#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4324443" cy="3406239"/>
                    </a:xfrm>
                    <a:prstGeom prst="rect">
                      <a:avLst/>
                    </a:prstGeom>
                  </pic:spPr>
                </pic:pic>
              </a:graphicData>
            </a:graphic>
          </wp:inline>
        </w:drawing>
      </w:r>
    </w:p>
    <w:p w14:paraId="3DCD1E90" w14:textId="77777777" w:rsidR="00746900" w:rsidRPr="00746900" w:rsidRDefault="00746900" w:rsidP="00746900">
      <w:pPr>
        <w:spacing w:line="480" w:lineRule="auto"/>
        <w:ind w:left="360"/>
        <w:rPr>
          <w:rFonts w:asciiTheme="majorBidi" w:hAnsiTheme="majorBidi" w:cstheme="majorBidi"/>
        </w:rPr>
      </w:pPr>
      <w:r w:rsidRPr="00746900">
        <w:rPr>
          <w:rFonts w:asciiTheme="majorBidi" w:hAnsiTheme="majorBidi" w:cstheme="majorBidi"/>
        </w:rPr>
        <w:t>They concluded that over-contoured implant prosthesis is a critical local contributing factor for peri-implantitis, when the emergence angle is greater or equal to 30 degrees.</w:t>
      </w:r>
    </w:p>
    <w:p w14:paraId="011A4DF0" w14:textId="27724509" w:rsidR="00746900" w:rsidRPr="00746900" w:rsidRDefault="00AF5ABF" w:rsidP="00746900">
      <w:pPr>
        <w:spacing w:line="480" w:lineRule="auto"/>
        <w:ind w:left="360"/>
        <w:rPr>
          <w:rFonts w:asciiTheme="majorBidi" w:hAnsiTheme="majorBidi" w:cstheme="majorBidi"/>
        </w:rPr>
      </w:pPr>
      <w:r>
        <w:rPr>
          <w:rFonts w:asciiTheme="majorBidi" w:hAnsiTheme="majorBidi" w:cstheme="majorBidi"/>
        </w:rPr>
        <w:fldChar w:fldCharType="begin"/>
      </w:r>
      <w:r>
        <w:rPr>
          <w:rFonts w:asciiTheme="majorBidi" w:hAnsiTheme="majorBidi" w:cstheme="majorBidi"/>
        </w:rPr>
        <w:instrText xml:space="preserve"> ADDIN ZOTERO_ITEM CSL_CITATION {"citationID":"rS88BrAr","properties":{"formattedCitation":"(Majzoub et al., 2021)","plainCitation":"(Majzoub et al., 2021)","noteIndex":0},"citationItems":[{"id":42,"uris":["http://zotero.org/users/local/uf8AnBMd/items/YF9P8D28"],"itemData":{"id":42,"type":"article-journal","abstract":"BACKGROUND: Clinical data on the restorative designs affecting the early progression of peri-implantitis are scarce. The aim of this retrospective study was to evaluate the influence of several restorative factors (e.g., restoration emergence angle, and internal screw length/diameter) on the marginal bone loss around implants with peri-implantitis.\nMETHODS: Implants diagnosed with peri-implantitis having 1- (T1) and 2-year (T2) follow-ups were included. In addition, within 6 months pre-diagnosis (Tb), all cases required to have full documentation in which no evidence of peri-implantitis was not indicated. Changes in marginal bone levels (MBLs) from Tb to T1 and from T1 to T2 were evaluated. The effect of several variables on MBLs changes was assessed via univariate and multivariate generalized estimating equations.\nRESULTS: Eighty-three bone-level implants from 65 patients were selected. The mean follow-up before peri-implantitis diagnosis was 99.47 ± 47.93 months. The radiographic mean marginal bone loss was 1.52 ± 1.33 mm (Tb to T1) and 0.58 ± 0.52 mm (T1 to T2). Restoration emergence angle and frequency of maintenance visits significantly affected MBLs from Tb to T1. Besides, 66.3% of the included implants' bone levels were in a zone within 1 mm of the apical end of the internal screw at T1 and remained in this zone during the second follow-up year.\nCONCLUSIONS: Significant marginal bone loss occurred in the early post-diagnosis period of peri-implantitis, which could be affected by the restoration emergence angle. Peri-implant MBLs were frequently located in a zone within 1 mm of the apical end of the internal screw.","container-title":"Journal of Periodontology","DOI":"10.1002/JPER.20-0327","ISSN":"1943-3670","issue":"4","journalAbbreviation":"J Periodontol","language":"eng","note":"PMID: 32902855","page":"536-546","source":"PubMed","title":"Influence of restorative design on the progression of peri-implant bone loss: A retrospective study","title-short":"Influence of restorative design on the progression of peri-implant bone loss","volume":"92","author":[{"family":"Majzoub","given":"Jad"},{"family":"Chen","given":"Zhaozhao"},{"family":"Saleh","given":"Islam"},{"family":"Askar","given":"Houssam"},{"family":"Wang","given":"Hom-Lay"}],"issued":{"date-parts":[["2021",4]]}}}],"schema":"https://github.com/citation-style-language/schema/raw/master/csl-citation.json"} </w:instrText>
      </w:r>
      <w:r>
        <w:rPr>
          <w:rFonts w:asciiTheme="majorBidi" w:hAnsiTheme="majorBidi" w:cstheme="majorBidi"/>
        </w:rPr>
        <w:fldChar w:fldCharType="separate"/>
      </w:r>
      <w:r>
        <w:rPr>
          <w:rFonts w:asciiTheme="majorBidi" w:hAnsiTheme="majorBidi" w:cstheme="majorBidi"/>
          <w:noProof/>
        </w:rPr>
        <w:t>(Majzoub et al., 2021)</w:t>
      </w:r>
      <w:r>
        <w:rPr>
          <w:rFonts w:asciiTheme="majorBidi" w:hAnsiTheme="majorBidi" w:cstheme="majorBidi"/>
        </w:rPr>
        <w:fldChar w:fldCharType="end"/>
      </w:r>
      <w:r>
        <w:rPr>
          <w:rFonts w:asciiTheme="majorBidi" w:hAnsiTheme="majorBidi" w:cstheme="majorBidi"/>
        </w:rPr>
        <w:t xml:space="preserve"> </w:t>
      </w:r>
      <w:r w:rsidR="00746900" w:rsidRPr="00746900">
        <w:rPr>
          <w:rFonts w:asciiTheme="majorBidi" w:hAnsiTheme="majorBidi" w:cstheme="majorBidi"/>
        </w:rPr>
        <w:t xml:space="preserve">Also investigated in a </w:t>
      </w:r>
      <w:r w:rsidR="00813079" w:rsidRPr="00746900">
        <w:rPr>
          <w:rFonts w:asciiTheme="majorBidi" w:hAnsiTheme="majorBidi" w:cstheme="majorBidi"/>
        </w:rPr>
        <w:t>retrospective</w:t>
      </w:r>
      <w:r w:rsidR="00746900" w:rsidRPr="00746900">
        <w:rPr>
          <w:rFonts w:asciiTheme="majorBidi" w:hAnsiTheme="majorBidi" w:cstheme="majorBidi"/>
        </w:rPr>
        <w:t xml:space="preserve"> study the influence of restoration design on the progression of peri-implantitis. </w:t>
      </w:r>
    </w:p>
    <w:p w14:paraId="692C9892" w14:textId="77777777" w:rsidR="00746900" w:rsidRPr="00746900" w:rsidRDefault="00746900" w:rsidP="00746900">
      <w:pPr>
        <w:spacing w:line="480" w:lineRule="auto"/>
        <w:ind w:left="360"/>
        <w:rPr>
          <w:rFonts w:asciiTheme="majorBidi" w:hAnsiTheme="majorBidi" w:cstheme="majorBidi"/>
        </w:rPr>
      </w:pPr>
      <w:r w:rsidRPr="00746900">
        <w:rPr>
          <w:rFonts w:asciiTheme="majorBidi" w:hAnsiTheme="majorBidi" w:cstheme="majorBidi"/>
          <w:noProof/>
        </w:rPr>
        <w:drawing>
          <wp:inline distT="0" distB="0" distL="0" distR="0" wp14:anchorId="059B5D07" wp14:editId="344C8499">
            <wp:extent cx="4280170" cy="2089327"/>
            <wp:effectExtent l="0" t="0" r="0" b="6350"/>
            <wp:docPr id="511506537" name="Picture 5" descr="X-ray of a human ja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506537" name="Picture 5" descr="X-ray of a human jaw&#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4309844" cy="2103812"/>
                    </a:xfrm>
                    <a:prstGeom prst="rect">
                      <a:avLst/>
                    </a:prstGeom>
                  </pic:spPr>
                </pic:pic>
              </a:graphicData>
            </a:graphic>
          </wp:inline>
        </w:drawing>
      </w:r>
    </w:p>
    <w:p w14:paraId="6EE61592" w14:textId="4B938CA5" w:rsidR="00746900" w:rsidRPr="00746900" w:rsidRDefault="00746900" w:rsidP="00746900">
      <w:pPr>
        <w:spacing w:line="480" w:lineRule="auto"/>
        <w:ind w:left="360"/>
        <w:rPr>
          <w:rFonts w:asciiTheme="majorBidi" w:hAnsiTheme="majorBidi" w:cstheme="majorBidi"/>
        </w:rPr>
      </w:pPr>
      <w:r w:rsidRPr="00746900">
        <w:rPr>
          <w:rFonts w:asciiTheme="majorBidi" w:hAnsiTheme="majorBidi" w:cstheme="majorBidi"/>
        </w:rPr>
        <w:lastRenderedPageBreak/>
        <w:t>They concluded and confirmed the proposal from</w:t>
      </w:r>
      <w:r w:rsidR="00AF5ABF">
        <w:rPr>
          <w:rFonts w:asciiTheme="majorBidi" w:hAnsiTheme="majorBidi" w:cstheme="majorBidi"/>
        </w:rPr>
        <w:t xml:space="preserve"> </w:t>
      </w:r>
      <w:r w:rsidR="00AF5ABF">
        <w:rPr>
          <w:rFonts w:asciiTheme="majorBidi" w:hAnsiTheme="majorBidi" w:cstheme="majorBidi"/>
        </w:rPr>
        <w:fldChar w:fldCharType="begin"/>
      </w:r>
      <w:r w:rsidR="00AF5ABF">
        <w:rPr>
          <w:rFonts w:asciiTheme="majorBidi" w:hAnsiTheme="majorBidi" w:cstheme="majorBidi"/>
        </w:rPr>
        <w:instrText xml:space="preserve"> ADDIN ZOTERO_ITEM CSL_CITATION {"citationID":"qpGkYDq1","properties":{"formattedCitation":"(Yi et al., 2020)","plainCitation":"(Yi et al., 2020)","noteIndex":0},"citationItems":[{"id":40,"uris":["http://zotero.org/users/local/uf8AnBMd/items/3SSSHACA"],"itemData":{"id":40,"type":"article-journal","abstract":"OBJECTIVE: To identify the influence of prosthetic features through a comprehensive analysis with other known risk factors.\nMATERIALS AND METHODS: A total of 169 patients (n = implants: 349) was retrospectively included in the present study. Peri-implantitis was diagnosed based on peri-implant bone loss and probing depth. Using radiographs taken 1 and 5 years following prosthesis insertion, the following features were determined: peri-implant marginal bone loss (MBL), emergence angle (EA), emergence profile (EP) and crown/implant ratio (CIR). The splinted position of prosthesis was also recorded. Multivariable generalized estimating equation was used to analyse the influence of each feature on the prevalence of peri-implantitis. The final prediction model was constructed by Cox proportional hazard regression analysis.\nRESULTS: The EA showed a significant correlation with MBL. A statistically greater prevalence of peri-implantitis was observed if EA ≥ 30 degrees, when EP is convex and in middle implant splinted with both mesial and distal adjacent implants in bone-level implant. A similar correlation was not observed in tissue-level implants. CIR had no significant effect on the prevalence of peri-implantitis.\nCONCLUSION: Over-contoured implant prosthesis is a critical local confounder for peri-implantitis. The implant splinted to both mesial and distal adjacent implant has a higher risk of peri-implantitis.","container-title":"Journal of Clinical Periodontology","DOI":"10.1111/jcpe.13251","ISSN":"1600-051X","issue":"3","journalAbbreviation":"J Clin Periodontol","language":"eng","note":"PMID: 31912511","page":"392-403","source":"PubMed","title":"Association of prosthetic features and peri-implantitis: A cross-sectional study","title-short":"Association of prosthetic features and peri-implantitis","volume":"47","author":[{"family":"Yi","given":"Yuseung"},{"family":"Koo","given":"Ki-Tae"},{"family":"Schwarz","given":"Frank"},{"family":"Ben Amara","given":"Heithem"},{"family":"Heo","given":"Seong-Joo"}],"issued":{"date-parts":[["2020",3]]}}}],"schema":"https://github.com/citation-style-language/schema/raw/master/csl-citation.json"} </w:instrText>
      </w:r>
      <w:r w:rsidR="00AF5ABF">
        <w:rPr>
          <w:rFonts w:asciiTheme="majorBidi" w:hAnsiTheme="majorBidi" w:cstheme="majorBidi"/>
        </w:rPr>
        <w:fldChar w:fldCharType="separate"/>
      </w:r>
      <w:r w:rsidR="00AF5ABF">
        <w:rPr>
          <w:rFonts w:asciiTheme="majorBidi" w:hAnsiTheme="majorBidi" w:cstheme="majorBidi"/>
          <w:noProof/>
        </w:rPr>
        <w:t>(Yi et al., 2020)</w:t>
      </w:r>
      <w:r w:rsidR="00AF5ABF">
        <w:rPr>
          <w:rFonts w:asciiTheme="majorBidi" w:hAnsiTheme="majorBidi" w:cstheme="majorBidi"/>
        </w:rPr>
        <w:fldChar w:fldCharType="end"/>
      </w:r>
      <w:r w:rsidRPr="00746900">
        <w:rPr>
          <w:rFonts w:asciiTheme="majorBidi" w:hAnsiTheme="majorBidi" w:cstheme="majorBidi"/>
        </w:rPr>
        <w:t xml:space="preserve"> that the restoration emergence angle of greater than 30 degrees were found to be significantly associated with early stage of peri-implantitis.</w:t>
      </w:r>
    </w:p>
    <w:p w14:paraId="0BD66300" w14:textId="77777777" w:rsidR="00746900" w:rsidRPr="00746900" w:rsidRDefault="00746900" w:rsidP="00746900">
      <w:pPr>
        <w:spacing w:line="480" w:lineRule="auto"/>
        <w:ind w:left="360"/>
        <w:rPr>
          <w:rFonts w:asciiTheme="majorBidi" w:hAnsiTheme="majorBidi" w:cstheme="majorBidi"/>
          <w:b/>
          <w:bCs/>
        </w:rPr>
      </w:pPr>
      <w:r w:rsidRPr="00746900">
        <w:rPr>
          <w:rFonts w:asciiTheme="majorBidi" w:hAnsiTheme="majorBidi" w:cstheme="majorBidi"/>
          <w:b/>
          <w:bCs/>
        </w:rPr>
        <w:t>Protocol of the study:</w:t>
      </w:r>
    </w:p>
    <w:p w14:paraId="3AA0AC46" w14:textId="4C297ADA" w:rsidR="00746900" w:rsidRPr="00746900" w:rsidRDefault="00746900" w:rsidP="00746900">
      <w:pPr>
        <w:spacing w:line="480" w:lineRule="auto"/>
        <w:ind w:left="360"/>
        <w:rPr>
          <w:rFonts w:asciiTheme="majorBidi" w:hAnsiTheme="majorBidi" w:cstheme="majorBidi"/>
        </w:rPr>
      </w:pPr>
      <w:r w:rsidRPr="00746900">
        <w:rPr>
          <w:rFonts w:asciiTheme="majorBidi" w:hAnsiTheme="majorBidi" w:cstheme="majorBidi"/>
        </w:rPr>
        <w:t>In this retrospective study, evaluation of the peri-implant bone level remodeling will be assessed based on 2D evaluation from Peri-apical radiographs for immediate implant placement. The evaluation will conduct for cases were extraction and immediate implant placed occurred simultaneously. The data collection will be obtained from Axium software from the period of 201</w:t>
      </w:r>
      <w:r w:rsidR="00813079">
        <w:rPr>
          <w:rFonts w:asciiTheme="majorBidi" w:hAnsiTheme="majorBidi" w:cstheme="majorBidi"/>
        </w:rPr>
        <w:t>9</w:t>
      </w:r>
      <w:r w:rsidRPr="00746900">
        <w:rPr>
          <w:rFonts w:asciiTheme="majorBidi" w:hAnsiTheme="majorBidi" w:cstheme="majorBidi"/>
        </w:rPr>
        <w:t xml:space="preserve">-2024. Patient/Chart will be reviewed and categorized based on age, sex, medical condition, implant brand and length, and the follow up </w:t>
      </w:r>
      <w:proofErr w:type="gramStart"/>
      <w:r w:rsidRPr="00746900">
        <w:rPr>
          <w:rFonts w:asciiTheme="majorBidi" w:hAnsiTheme="majorBidi" w:cstheme="majorBidi"/>
        </w:rPr>
        <w:t>x-rays</w:t>
      </w:r>
      <w:proofErr w:type="gramEnd"/>
      <w:r w:rsidRPr="00746900">
        <w:rPr>
          <w:rFonts w:asciiTheme="majorBidi" w:hAnsiTheme="majorBidi" w:cstheme="majorBidi"/>
        </w:rPr>
        <w:t xml:space="preserve"> evaluation for the immediate implant placement, 3 months, 6 months, 1 year and finally two years follow up. During the evaluation bone remodeling will be measured through Image “J” for PA radiographs and emergence angle will be calculated for the final prosthesis and will evaluate if that have any implant on the peri-implant bone level.</w:t>
      </w:r>
    </w:p>
    <w:p w14:paraId="0265071E" w14:textId="77777777" w:rsidR="00DB5B70" w:rsidRPr="00746900" w:rsidRDefault="00DB5B70" w:rsidP="00DB5B70">
      <w:pPr>
        <w:rPr>
          <w:rFonts w:asciiTheme="majorBidi" w:hAnsiTheme="majorBidi" w:cstheme="majorBidi"/>
        </w:rPr>
      </w:pPr>
    </w:p>
    <w:p w14:paraId="2EAB58E5" w14:textId="77777777" w:rsidR="00DB5B70" w:rsidRPr="00746900" w:rsidRDefault="00DB5B70" w:rsidP="00DB5B70">
      <w:pPr>
        <w:rPr>
          <w:rFonts w:asciiTheme="majorBidi" w:hAnsiTheme="majorBidi" w:cstheme="majorBidi"/>
        </w:rPr>
      </w:pPr>
    </w:p>
    <w:p w14:paraId="467A8DF1" w14:textId="77777777" w:rsidR="00DB5B70" w:rsidRPr="00746900" w:rsidRDefault="00DB5B70" w:rsidP="00DB5B70">
      <w:pPr>
        <w:rPr>
          <w:rFonts w:asciiTheme="majorBidi" w:hAnsiTheme="majorBidi" w:cstheme="majorBidi"/>
        </w:rPr>
      </w:pPr>
    </w:p>
    <w:p w14:paraId="4545ADF7" w14:textId="77777777" w:rsidR="00DB5B70" w:rsidRPr="00746900" w:rsidRDefault="00DB5B70" w:rsidP="00DB5B70">
      <w:pPr>
        <w:rPr>
          <w:rFonts w:asciiTheme="majorBidi" w:hAnsiTheme="majorBidi" w:cstheme="majorBidi"/>
        </w:rPr>
      </w:pPr>
    </w:p>
    <w:p w14:paraId="489326B2" w14:textId="77777777" w:rsidR="00DB5B70" w:rsidRPr="00746900" w:rsidRDefault="00DB5B70" w:rsidP="00DB5B70">
      <w:pPr>
        <w:rPr>
          <w:rFonts w:asciiTheme="majorBidi" w:hAnsiTheme="majorBidi" w:cstheme="majorBidi"/>
        </w:rPr>
      </w:pPr>
    </w:p>
    <w:p w14:paraId="506699FB" w14:textId="77777777" w:rsidR="00DB5B70" w:rsidRPr="00746900" w:rsidRDefault="00DB5B70" w:rsidP="00DB5B70">
      <w:pPr>
        <w:rPr>
          <w:rFonts w:asciiTheme="majorBidi" w:hAnsiTheme="majorBidi" w:cstheme="majorBidi"/>
        </w:rPr>
      </w:pPr>
    </w:p>
    <w:p w14:paraId="01EEC414" w14:textId="77777777" w:rsidR="00DB5B70" w:rsidRPr="00746900" w:rsidRDefault="00DB5B70" w:rsidP="00DB5B70">
      <w:pPr>
        <w:rPr>
          <w:rFonts w:asciiTheme="majorBidi" w:hAnsiTheme="majorBidi" w:cstheme="majorBidi"/>
        </w:rPr>
      </w:pPr>
    </w:p>
    <w:p w14:paraId="4AC86075" w14:textId="77777777" w:rsidR="00DB5B70" w:rsidRPr="00746900" w:rsidRDefault="00DB5B70" w:rsidP="00DB5B70">
      <w:pPr>
        <w:rPr>
          <w:rFonts w:asciiTheme="majorBidi" w:hAnsiTheme="majorBidi" w:cstheme="majorBidi"/>
        </w:rPr>
      </w:pPr>
    </w:p>
    <w:p w14:paraId="3E13D971" w14:textId="77777777" w:rsidR="00DB5B70" w:rsidRPr="00746900" w:rsidRDefault="00DB5B70" w:rsidP="00DB5B70">
      <w:pPr>
        <w:rPr>
          <w:rFonts w:asciiTheme="majorBidi" w:hAnsiTheme="majorBidi" w:cstheme="majorBidi"/>
        </w:rPr>
      </w:pPr>
    </w:p>
    <w:p w14:paraId="2D699AC4" w14:textId="77777777" w:rsidR="00DB5B70" w:rsidRPr="00746900" w:rsidRDefault="00DB5B70" w:rsidP="00DB5B70">
      <w:pPr>
        <w:rPr>
          <w:rFonts w:asciiTheme="majorBidi" w:hAnsiTheme="majorBidi" w:cstheme="majorBidi"/>
        </w:rPr>
      </w:pPr>
    </w:p>
    <w:p w14:paraId="42E171E2" w14:textId="77777777" w:rsidR="00DB5B70" w:rsidRPr="00746900" w:rsidRDefault="00DB5B70" w:rsidP="00DB5B70">
      <w:pPr>
        <w:rPr>
          <w:rFonts w:asciiTheme="majorBidi" w:hAnsiTheme="majorBidi" w:cstheme="majorBidi"/>
        </w:rPr>
      </w:pPr>
    </w:p>
    <w:p w14:paraId="2CD64252" w14:textId="77777777" w:rsidR="00DB5B70" w:rsidRPr="00746900" w:rsidRDefault="00DB5B70" w:rsidP="00DB5B70">
      <w:pPr>
        <w:rPr>
          <w:rFonts w:asciiTheme="majorBidi" w:hAnsiTheme="majorBidi" w:cstheme="majorBidi"/>
        </w:rPr>
      </w:pPr>
    </w:p>
    <w:p w14:paraId="4B088DBA" w14:textId="77777777" w:rsidR="00DB5B70" w:rsidRPr="00746900" w:rsidRDefault="00DB5B70" w:rsidP="00DB5B70">
      <w:pPr>
        <w:rPr>
          <w:rFonts w:asciiTheme="majorBidi" w:hAnsiTheme="majorBidi" w:cstheme="majorBidi"/>
        </w:rPr>
      </w:pPr>
    </w:p>
    <w:p w14:paraId="20091668" w14:textId="77777777" w:rsidR="00DB5B70" w:rsidRDefault="00DB5B70" w:rsidP="00DB5B70">
      <w:pPr>
        <w:rPr>
          <w:rFonts w:asciiTheme="majorBidi" w:hAnsiTheme="majorBidi" w:cstheme="majorBidi"/>
        </w:rPr>
      </w:pPr>
    </w:p>
    <w:p w14:paraId="27304230" w14:textId="77777777" w:rsidR="00E229C9" w:rsidRDefault="00E229C9" w:rsidP="00DB5B70">
      <w:pPr>
        <w:rPr>
          <w:rFonts w:asciiTheme="majorBidi" w:hAnsiTheme="majorBidi" w:cstheme="majorBidi"/>
        </w:rPr>
      </w:pPr>
    </w:p>
    <w:p w14:paraId="09E23D0B" w14:textId="77777777" w:rsidR="00E229C9" w:rsidRPr="00746900" w:rsidRDefault="00E229C9" w:rsidP="00DB5B70">
      <w:pPr>
        <w:rPr>
          <w:rFonts w:asciiTheme="majorBidi" w:hAnsiTheme="majorBidi" w:cstheme="majorBidi"/>
        </w:rPr>
      </w:pPr>
    </w:p>
    <w:p w14:paraId="6F680B91" w14:textId="77777777" w:rsidR="00DB5B70" w:rsidRPr="00746900" w:rsidRDefault="00DB5B70" w:rsidP="00DB5B70">
      <w:pPr>
        <w:rPr>
          <w:rFonts w:asciiTheme="majorBidi" w:hAnsiTheme="majorBidi" w:cstheme="majorBidi"/>
        </w:rPr>
      </w:pPr>
    </w:p>
    <w:p w14:paraId="193840F1" w14:textId="77777777" w:rsidR="00DB5B70" w:rsidRPr="00746900" w:rsidRDefault="00DB5B70" w:rsidP="00DB5B70">
      <w:pPr>
        <w:rPr>
          <w:rFonts w:asciiTheme="majorBidi" w:hAnsiTheme="majorBidi" w:cstheme="majorBidi"/>
        </w:rPr>
      </w:pPr>
    </w:p>
    <w:p w14:paraId="28528165" w14:textId="77777777" w:rsidR="00DB5B70" w:rsidRPr="00746900" w:rsidRDefault="00DB5B70" w:rsidP="00DB5B70">
      <w:pPr>
        <w:rPr>
          <w:rFonts w:asciiTheme="majorBidi" w:hAnsiTheme="majorBidi" w:cstheme="majorBidi"/>
        </w:rPr>
      </w:pPr>
    </w:p>
    <w:p w14:paraId="47EB48E1" w14:textId="77777777" w:rsidR="00DB5B70" w:rsidRPr="00845E74" w:rsidRDefault="00DB5B70" w:rsidP="00845E74">
      <w:pPr>
        <w:jc w:val="center"/>
        <w:rPr>
          <w:rFonts w:asciiTheme="majorBidi" w:hAnsiTheme="majorBidi" w:cstheme="majorBidi"/>
          <w:sz w:val="56"/>
          <w:szCs w:val="56"/>
        </w:rPr>
      </w:pPr>
    </w:p>
    <w:p w14:paraId="028AE268" w14:textId="343D9687" w:rsidR="00DB5B70" w:rsidRPr="00845E74" w:rsidRDefault="00DB5B70" w:rsidP="00845E74">
      <w:pPr>
        <w:jc w:val="center"/>
        <w:rPr>
          <w:rFonts w:asciiTheme="majorBidi" w:hAnsiTheme="majorBidi" w:cstheme="majorBidi"/>
          <w:sz w:val="56"/>
          <w:szCs w:val="56"/>
        </w:rPr>
      </w:pPr>
      <w:r w:rsidRPr="00845E74">
        <w:rPr>
          <w:rFonts w:asciiTheme="majorBidi" w:hAnsiTheme="majorBidi" w:cstheme="majorBidi"/>
          <w:sz w:val="56"/>
          <w:szCs w:val="56"/>
        </w:rPr>
        <w:t>Chapter II</w:t>
      </w:r>
    </w:p>
    <w:p w14:paraId="415B66C7" w14:textId="287583C6" w:rsidR="00DB5B70" w:rsidRPr="00845E74" w:rsidRDefault="00DB5B70" w:rsidP="00845E74">
      <w:pPr>
        <w:jc w:val="center"/>
        <w:rPr>
          <w:rFonts w:asciiTheme="majorBidi" w:hAnsiTheme="majorBidi" w:cstheme="majorBidi"/>
          <w:sz w:val="56"/>
          <w:szCs w:val="56"/>
        </w:rPr>
      </w:pPr>
      <w:r w:rsidRPr="00845E74">
        <w:rPr>
          <w:rFonts w:asciiTheme="majorBidi" w:hAnsiTheme="majorBidi" w:cstheme="majorBidi"/>
          <w:sz w:val="56"/>
          <w:szCs w:val="56"/>
        </w:rPr>
        <w:t>Thesis</w:t>
      </w:r>
    </w:p>
    <w:p w14:paraId="49BC05D3" w14:textId="77777777" w:rsidR="00DB5B70" w:rsidRDefault="00DB5B70" w:rsidP="00DB5B70"/>
    <w:p w14:paraId="2FA482FF" w14:textId="77777777" w:rsidR="00845E74" w:rsidRDefault="00845E74" w:rsidP="00DB5B70"/>
    <w:p w14:paraId="6A33075F" w14:textId="77777777" w:rsidR="00845E74" w:rsidRDefault="00845E74" w:rsidP="00DB5B70"/>
    <w:p w14:paraId="42FA6E24" w14:textId="77777777" w:rsidR="00845E74" w:rsidRDefault="00845E74" w:rsidP="00DB5B70"/>
    <w:p w14:paraId="3031802F" w14:textId="77777777" w:rsidR="00845E74" w:rsidRDefault="00845E74" w:rsidP="00DB5B70"/>
    <w:p w14:paraId="46F87E2E" w14:textId="77777777" w:rsidR="00845E74" w:rsidRDefault="00845E74" w:rsidP="00DB5B70"/>
    <w:p w14:paraId="10E4D86A" w14:textId="77777777" w:rsidR="00845E74" w:rsidRDefault="00845E74" w:rsidP="00DB5B70"/>
    <w:p w14:paraId="11991111" w14:textId="77777777" w:rsidR="00845E74" w:rsidRDefault="00845E74" w:rsidP="00DB5B70"/>
    <w:p w14:paraId="2A0FBC67" w14:textId="77777777" w:rsidR="004C4E1A" w:rsidRDefault="004C4E1A" w:rsidP="00DB5B70"/>
    <w:p w14:paraId="0EF53B2E" w14:textId="77777777" w:rsidR="004C4E1A" w:rsidRDefault="004C4E1A" w:rsidP="00DB5B70"/>
    <w:p w14:paraId="36CA7D10" w14:textId="77777777" w:rsidR="00845E74" w:rsidRDefault="00845E74" w:rsidP="00DB5B70"/>
    <w:p w14:paraId="1A643AD9" w14:textId="77777777" w:rsidR="00845E74" w:rsidRDefault="00845E74" w:rsidP="00DB5B70"/>
    <w:p w14:paraId="326E3A44" w14:textId="587505C6" w:rsidR="00EB2C18" w:rsidRPr="00B0351F" w:rsidRDefault="00845E74" w:rsidP="00B0351F">
      <w:pPr>
        <w:rPr>
          <w:b/>
          <w:bCs/>
        </w:rPr>
      </w:pPr>
      <w:r w:rsidRPr="00B0351F">
        <w:rPr>
          <w:rFonts w:asciiTheme="majorBidi" w:hAnsiTheme="majorBidi" w:cstheme="majorBidi"/>
          <w:b/>
          <w:bCs/>
        </w:rPr>
        <w:lastRenderedPageBreak/>
        <w:t>Introduction</w:t>
      </w:r>
      <w:r w:rsidRPr="00B0351F">
        <w:rPr>
          <w:b/>
          <w:bCs/>
        </w:rPr>
        <w:t>:</w:t>
      </w:r>
    </w:p>
    <w:p w14:paraId="07B18B19" w14:textId="77777777" w:rsidR="00E229C9" w:rsidRDefault="00E229C9" w:rsidP="00E229C9">
      <w:pPr>
        <w:spacing w:line="480" w:lineRule="auto"/>
        <w:ind w:firstLine="720"/>
        <w:rPr>
          <w:rFonts w:asciiTheme="majorBidi" w:hAnsiTheme="majorBidi" w:cstheme="majorBidi"/>
          <w:bCs/>
        </w:rPr>
      </w:pPr>
      <w:r w:rsidRPr="00746900">
        <w:rPr>
          <w:rFonts w:asciiTheme="majorBidi" w:hAnsiTheme="majorBidi" w:cstheme="majorBidi"/>
          <w:bCs/>
        </w:rPr>
        <w:t xml:space="preserve">Replacing missing </w:t>
      </w:r>
      <w:r>
        <w:rPr>
          <w:rFonts w:asciiTheme="majorBidi" w:hAnsiTheme="majorBidi" w:cstheme="majorBidi"/>
          <w:bCs/>
        </w:rPr>
        <w:t>teeth</w:t>
      </w:r>
      <w:r w:rsidRPr="00746900">
        <w:rPr>
          <w:rFonts w:asciiTheme="majorBidi" w:hAnsiTheme="majorBidi" w:cstheme="majorBidi"/>
          <w:bCs/>
        </w:rPr>
        <w:t xml:space="preserve"> to provide </w:t>
      </w:r>
      <w:r>
        <w:rPr>
          <w:rFonts w:asciiTheme="majorBidi" w:hAnsiTheme="majorBidi" w:cstheme="majorBidi"/>
          <w:bCs/>
        </w:rPr>
        <w:t xml:space="preserve">patients with </w:t>
      </w:r>
      <w:r w:rsidRPr="00746900">
        <w:rPr>
          <w:rFonts w:asciiTheme="majorBidi" w:hAnsiTheme="majorBidi" w:cstheme="majorBidi"/>
          <w:bCs/>
        </w:rPr>
        <w:t>better masticatory function and aesthetic</w:t>
      </w:r>
      <w:r>
        <w:rPr>
          <w:rFonts w:asciiTheme="majorBidi" w:hAnsiTheme="majorBidi" w:cstheme="majorBidi"/>
          <w:bCs/>
        </w:rPr>
        <w:t>s</w:t>
      </w:r>
      <w:r w:rsidRPr="00746900">
        <w:rPr>
          <w:rFonts w:asciiTheme="majorBidi" w:hAnsiTheme="majorBidi" w:cstheme="majorBidi"/>
          <w:bCs/>
        </w:rPr>
        <w:t xml:space="preserve"> </w:t>
      </w:r>
      <w:r>
        <w:rPr>
          <w:rFonts w:asciiTheme="majorBidi" w:hAnsiTheme="majorBidi" w:cstheme="majorBidi"/>
          <w:bCs/>
        </w:rPr>
        <w:t>is a major component of daily clinical practice</w:t>
      </w:r>
      <w:r w:rsidRPr="00746900">
        <w:rPr>
          <w:rFonts w:asciiTheme="majorBidi" w:hAnsiTheme="majorBidi" w:cstheme="majorBidi"/>
          <w:bCs/>
        </w:rPr>
        <w:t>. The dynamic and innovat</w:t>
      </w:r>
      <w:r>
        <w:rPr>
          <w:rFonts w:asciiTheme="majorBidi" w:hAnsiTheme="majorBidi" w:cstheme="majorBidi"/>
          <w:bCs/>
        </w:rPr>
        <w:t>ive</w:t>
      </w:r>
      <w:r w:rsidRPr="00746900">
        <w:rPr>
          <w:rFonts w:asciiTheme="majorBidi" w:hAnsiTheme="majorBidi" w:cstheme="majorBidi"/>
          <w:bCs/>
        </w:rPr>
        <w:t xml:space="preserve"> introduction of </w:t>
      </w:r>
      <w:proofErr w:type="spellStart"/>
      <w:r>
        <w:rPr>
          <w:rFonts w:asciiTheme="majorBidi" w:hAnsiTheme="majorBidi" w:cstheme="majorBidi"/>
          <w:bCs/>
        </w:rPr>
        <w:t>endosseous</w:t>
      </w:r>
      <w:proofErr w:type="spellEnd"/>
      <w:r>
        <w:rPr>
          <w:rFonts w:asciiTheme="majorBidi" w:hAnsiTheme="majorBidi" w:cstheme="majorBidi"/>
          <w:bCs/>
        </w:rPr>
        <w:t xml:space="preserve"> </w:t>
      </w:r>
      <w:r w:rsidRPr="00746900">
        <w:rPr>
          <w:rFonts w:asciiTheme="majorBidi" w:hAnsiTheme="majorBidi" w:cstheme="majorBidi"/>
          <w:bCs/>
        </w:rPr>
        <w:t>dental implant</w:t>
      </w:r>
      <w:r>
        <w:rPr>
          <w:rFonts w:asciiTheme="majorBidi" w:hAnsiTheme="majorBidi" w:cstheme="majorBidi"/>
          <w:bCs/>
        </w:rPr>
        <w:t>s</w:t>
      </w:r>
      <w:r w:rsidRPr="00746900">
        <w:rPr>
          <w:rFonts w:asciiTheme="majorBidi" w:hAnsiTheme="majorBidi" w:cstheme="majorBidi"/>
          <w:bCs/>
        </w:rPr>
        <w:t xml:space="preserve"> by</w:t>
      </w:r>
      <w:r>
        <w:rPr>
          <w:rFonts w:asciiTheme="majorBidi" w:hAnsiTheme="majorBidi" w:cstheme="majorBidi"/>
          <w:bCs/>
        </w:rPr>
        <w:t xml:space="preserve"> </w:t>
      </w:r>
      <w:proofErr w:type="spellStart"/>
      <w:r w:rsidRPr="00AF5ABF">
        <w:rPr>
          <w:rFonts w:ascii="Times New Roman" w:hAnsiTheme="majorHAnsi" w:cs="Times New Roman"/>
          <w:kern w:val="0"/>
        </w:rPr>
        <w:t>Br</w:t>
      </w:r>
      <w:r w:rsidRPr="00AF5ABF">
        <w:rPr>
          <w:rFonts w:ascii="Times New Roman" w:hAnsiTheme="majorHAnsi" w:cs="Times New Roman"/>
          <w:kern w:val="0"/>
        </w:rPr>
        <w:t>å</w:t>
      </w:r>
      <w:r w:rsidRPr="00AF5ABF">
        <w:rPr>
          <w:rFonts w:ascii="Times New Roman" w:hAnsiTheme="majorHAnsi" w:cs="Times New Roman"/>
          <w:kern w:val="0"/>
        </w:rPr>
        <w:t>nemark</w:t>
      </w:r>
      <w:proofErr w:type="spellEnd"/>
      <w:r w:rsidRPr="00AF5ABF">
        <w:rPr>
          <w:rFonts w:ascii="Times New Roman" w:hAnsiTheme="majorHAnsi" w:cs="Times New Roman"/>
          <w:kern w:val="0"/>
        </w:rPr>
        <w:t xml:space="preserve"> </w:t>
      </w:r>
      <w:r>
        <w:rPr>
          <w:rFonts w:ascii="Times New Roman" w:hAnsiTheme="majorHAnsi" w:cs="Times New Roman"/>
          <w:kern w:val="0"/>
        </w:rPr>
        <w:t xml:space="preserve">and colleagues represented a major technological advancement </w:t>
      </w:r>
      <w:r>
        <w:rPr>
          <w:rFonts w:asciiTheme="majorBidi" w:hAnsiTheme="majorBidi" w:cstheme="majorBidi"/>
          <w:bCs/>
        </w:rPr>
        <w:fldChar w:fldCharType="begin"/>
      </w:r>
      <w:r>
        <w:rPr>
          <w:rFonts w:asciiTheme="majorBidi" w:hAnsiTheme="majorBidi" w:cstheme="majorBidi"/>
          <w:bCs/>
        </w:rPr>
        <w:instrText xml:space="preserve"> ADDIN ZOTERO_ITEM CSL_CITATION {"citationID":"z3MaNJTu","properties":{"formattedCitation":"(Br\\uc0\\u229{}nemark et al., 1969)","plainCitation":"(Brånemark et al., 1969)","noteIndex":0},"citationItems":[{"id":16,"uris":["http://zotero.org/users/local/uf8AnBMd/items/YQSZ9CE6"],"itemData":{"id":16,"type":"article-journal","container-title":"Scandinavian Journal of Plastic and Reconstructive Surgery","DOI":"10.3109/02844316909036699","ISSN":"0036-5556","issue":"2","journalAbbreviation":"Scand J Plast Reconstr Surg","language":"eng","note":"PMID: 4924041","page":"81-100","source":"PubMed","title":"Intra-osseous anchorage of dental prostheses. I. Experimental studies","volume":"3","author":[{"family":"Brånemark","given":"P. I."},{"family":"Adell","given":"R."},{"family":"Breine","given":"U."},{"family":"Hansson","given":"B. O."},{"family":"Lindström","given":"J."},{"family":"Ohlsson","given":"A."}],"issued":{"date-parts":[["1969"]]}}}],"schema":"https://github.com/citation-style-language/schema/raw/master/csl-citation.json"} </w:instrText>
      </w:r>
      <w:r>
        <w:rPr>
          <w:rFonts w:asciiTheme="majorBidi" w:hAnsiTheme="majorBidi" w:cstheme="majorBidi"/>
          <w:bCs/>
        </w:rPr>
        <w:fldChar w:fldCharType="separate"/>
      </w:r>
      <w:r>
        <w:rPr>
          <w:rFonts w:ascii="Times New Roman" w:hAnsiTheme="majorHAnsi" w:cs="Times New Roman"/>
          <w:kern w:val="0"/>
        </w:rPr>
        <w:t xml:space="preserve"> </w:t>
      </w:r>
      <w:r>
        <w:rPr>
          <w:rFonts w:asciiTheme="majorBidi" w:hAnsiTheme="majorBidi" w:cstheme="majorBidi"/>
          <w:bCs/>
        </w:rPr>
        <w:fldChar w:fldCharType="end"/>
      </w:r>
      <w:r>
        <w:rPr>
          <w:rFonts w:asciiTheme="majorBidi" w:hAnsiTheme="majorBidi" w:cstheme="majorBidi"/>
          <w:bCs/>
        </w:rPr>
        <w:t>in modern day dentistry</w:t>
      </w:r>
      <w:r w:rsidRPr="00746900">
        <w:rPr>
          <w:rFonts w:asciiTheme="majorBidi" w:hAnsiTheme="majorBidi" w:cstheme="majorBidi"/>
          <w:bCs/>
        </w:rPr>
        <w:t>. Noteworthy</w:t>
      </w:r>
      <w:r>
        <w:rPr>
          <w:rFonts w:asciiTheme="majorBidi" w:hAnsiTheme="majorBidi" w:cstheme="majorBidi"/>
          <w:bCs/>
        </w:rPr>
        <w:t>,</w:t>
      </w:r>
      <w:r w:rsidRPr="00746900">
        <w:rPr>
          <w:rFonts w:asciiTheme="majorBidi" w:hAnsiTheme="majorBidi" w:cstheme="majorBidi"/>
          <w:bCs/>
        </w:rPr>
        <w:t xml:space="preserve"> </w:t>
      </w:r>
      <w:r>
        <w:rPr>
          <w:rFonts w:asciiTheme="majorBidi" w:hAnsiTheme="majorBidi" w:cstheme="majorBidi"/>
          <w:bCs/>
        </w:rPr>
        <w:t xml:space="preserve">the success of </w:t>
      </w:r>
      <w:r w:rsidRPr="00746900">
        <w:rPr>
          <w:rFonts w:asciiTheme="majorBidi" w:hAnsiTheme="majorBidi" w:cstheme="majorBidi"/>
          <w:bCs/>
        </w:rPr>
        <w:t>repla</w:t>
      </w:r>
      <w:r>
        <w:rPr>
          <w:rFonts w:asciiTheme="majorBidi" w:hAnsiTheme="majorBidi" w:cstheme="majorBidi"/>
          <w:bCs/>
        </w:rPr>
        <w:t>cing</w:t>
      </w:r>
      <w:r w:rsidRPr="00746900">
        <w:rPr>
          <w:rFonts w:asciiTheme="majorBidi" w:hAnsiTheme="majorBidi" w:cstheme="majorBidi"/>
          <w:bCs/>
        </w:rPr>
        <w:t xml:space="preserve"> teeth with </w:t>
      </w:r>
      <w:r>
        <w:rPr>
          <w:rFonts w:asciiTheme="majorBidi" w:hAnsiTheme="majorBidi" w:cstheme="majorBidi"/>
          <w:bCs/>
        </w:rPr>
        <w:t xml:space="preserve">implant-supported restorations </w:t>
      </w:r>
      <w:r w:rsidRPr="00746900">
        <w:rPr>
          <w:rFonts w:asciiTheme="majorBidi" w:hAnsiTheme="majorBidi" w:cstheme="majorBidi"/>
          <w:bCs/>
        </w:rPr>
        <w:t xml:space="preserve">dental implant </w:t>
      </w:r>
      <w:r>
        <w:rPr>
          <w:rFonts w:asciiTheme="majorBidi" w:hAnsiTheme="majorBidi" w:cstheme="majorBidi"/>
          <w:bCs/>
        </w:rPr>
        <w:t>can be complicated by morphologic changes in the alveolar bone that occur following extraction of teeth.</w:t>
      </w:r>
    </w:p>
    <w:p w14:paraId="59B68179" w14:textId="77777777" w:rsidR="00E229C9" w:rsidRDefault="00E229C9" w:rsidP="00E229C9">
      <w:pPr>
        <w:spacing w:line="480" w:lineRule="auto"/>
        <w:ind w:firstLine="720"/>
        <w:rPr>
          <w:rFonts w:asciiTheme="majorBidi" w:hAnsiTheme="majorBidi" w:cstheme="majorBidi"/>
        </w:rPr>
      </w:pPr>
      <w:r w:rsidRPr="00746900">
        <w:rPr>
          <w:rFonts w:asciiTheme="majorBidi" w:hAnsiTheme="majorBidi" w:cstheme="majorBidi"/>
        </w:rPr>
        <w:t>The concept of immediate placement of dental implant in fresh extraction socket</w:t>
      </w:r>
      <w:r>
        <w:rPr>
          <w:rFonts w:asciiTheme="majorBidi" w:hAnsiTheme="majorBidi" w:cstheme="majorBidi"/>
        </w:rPr>
        <w:t>s</w:t>
      </w:r>
      <w:r w:rsidRPr="00746900">
        <w:rPr>
          <w:rFonts w:asciiTheme="majorBidi" w:hAnsiTheme="majorBidi" w:cstheme="majorBidi"/>
        </w:rPr>
        <w:t xml:space="preserve"> was initially proposed by Germans in 1976, and credit belong</w:t>
      </w:r>
      <w:r>
        <w:rPr>
          <w:rFonts w:asciiTheme="majorBidi" w:hAnsiTheme="majorBidi" w:cstheme="majorBidi"/>
        </w:rPr>
        <w:t>s</w:t>
      </w:r>
      <w:r w:rsidRPr="00746900">
        <w:rPr>
          <w:rFonts w:asciiTheme="majorBidi" w:hAnsiTheme="majorBidi" w:cstheme="majorBidi"/>
        </w:rPr>
        <w:t xml:space="preserve"> to Profs. Schulte and Heimke</w:t>
      </w:r>
      <w:r>
        <w:rPr>
          <w:rFonts w:asciiTheme="majorBidi" w:hAnsiTheme="majorBidi" w:cstheme="majorBidi"/>
        </w:rPr>
        <w:t xml:space="preserve"> </w:t>
      </w:r>
      <w:r>
        <w:rPr>
          <w:rFonts w:asciiTheme="majorBidi" w:hAnsiTheme="majorBidi" w:cstheme="majorBidi"/>
        </w:rPr>
        <w:fldChar w:fldCharType="begin"/>
      </w:r>
      <w:r>
        <w:rPr>
          <w:rFonts w:asciiTheme="majorBidi" w:hAnsiTheme="majorBidi" w:cstheme="majorBidi"/>
        </w:rPr>
        <w:instrText xml:space="preserve"> ADDIN ZOTERO_ITEM CSL_CITATION {"citationID":"My4d1S8J","properties":{"formattedCitation":"(Schulte &amp; Heimke, 1976)","plainCitation":"(Schulte &amp; Heimke, 1976)","noteIndex":0},"citationItems":[{"id":23,"uris":["http://zotero.org/users/local/uf8AnBMd/items/B5ZGLG49"],"itemData":{"id":23,"type":"article-journal","container-title":"Die Quintessenz","ISSN":"0033-6580","issue":"6","journalAbbreviation":"Quintessenz","language":"ger","note":"PMID: 802007","page":"17 - 23","source":"PubMed","title":"[The Tübinger immediate implant]","volume":"27","author":[{"family":"Schulte","given":"W."},{"family":"Heimke","given":"G."}],"issued":{"date-parts":[["1976",6]]}}}],"schema":"https://github.com/citation-style-language/schema/raw/master/csl-citation.json"} </w:instrText>
      </w:r>
      <w:r>
        <w:rPr>
          <w:rFonts w:asciiTheme="majorBidi" w:hAnsiTheme="majorBidi" w:cstheme="majorBidi"/>
        </w:rPr>
        <w:fldChar w:fldCharType="separate"/>
      </w:r>
      <w:r>
        <w:rPr>
          <w:rFonts w:asciiTheme="majorBidi" w:hAnsiTheme="majorBidi" w:cstheme="majorBidi"/>
          <w:noProof/>
        </w:rPr>
        <w:t>(Schulte &amp; Heimke, 1976)</w:t>
      </w:r>
      <w:r>
        <w:rPr>
          <w:rFonts w:asciiTheme="majorBidi" w:hAnsiTheme="majorBidi" w:cstheme="majorBidi"/>
        </w:rPr>
        <w:fldChar w:fldCharType="end"/>
      </w:r>
      <w:r w:rsidRPr="00746900">
        <w:rPr>
          <w:rFonts w:asciiTheme="majorBidi" w:hAnsiTheme="majorBidi" w:cstheme="majorBidi"/>
        </w:rPr>
        <w:t xml:space="preserve">. This concept gained popularity </w:t>
      </w:r>
      <w:r>
        <w:rPr>
          <w:rFonts w:asciiTheme="majorBidi" w:hAnsiTheme="majorBidi" w:cstheme="majorBidi"/>
        </w:rPr>
        <w:t>because it addresses the</w:t>
      </w:r>
      <w:r w:rsidRPr="00746900">
        <w:rPr>
          <w:rFonts w:asciiTheme="majorBidi" w:hAnsiTheme="majorBidi" w:cstheme="majorBidi"/>
        </w:rPr>
        <w:t xml:space="preserve"> high aesthetic demand</w:t>
      </w:r>
      <w:r>
        <w:rPr>
          <w:rFonts w:asciiTheme="majorBidi" w:hAnsiTheme="majorBidi" w:cstheme="majorBidi"/>
        </w:rPr>
        <w:t>s of patients</w:t>
      </w:r>
      <w:r w:rsidRPr="00746900">
        <w:rPr>
          <w:rFonts w:asciiTheme="majorBidi" w:hAnsiTheme="majorBidi" w:cstheme="majorBidi"/>
        </w:rPr>
        <w:t xml:space="preserve"> particularly </w:t>
      </w:r>
      <w:r>
        <w:rPr>
          <w:rFonts w:asciiTheme="majorBidi" w:hAnsiTheme="majorBidi" w:cstheme="majorBidi"/>
        </w:rPr>
        <w:t>when replacing teeth in the anterior maxilla and</w:t>
      </w:r>
      <w:r w:rsidRPr="00746900">
        <w:rPr>
          <w:rFonts w:asciiTheme="majorBidi" w:hAnsiTheme="majorBidi" w:cstheme="majorBidi"/>
        </w:rPr>
        <w:t xml:space="preserve"> significant</w:t>
      </w:r>
      <w:r>
        <w:rPr>
          <w:rFonts w:asciiTheme="majorBidi" w:hAnsiTheme="majorBidi" w:cstheme="majorBidi"/>
        </w:rPr>
        <w:t>ly</w:t>
      </w:r>
      <w:r w:rsidRPr="00746900">
        <w:rPr>
          <w:rFonts w:asciiTheme="majorBidi" w:hAnsiTheme="majorBidi" w:cstheme="majorBidi"/>
        </w:rPr>
        <w:t xml:space="preserve"> reduc</w:t>
      </w:r>
      <w:r>
        <w:rPr>
          <w:rFonts w:asciiTheme="majorBidi" w:hAnsiTheme="majorBidi" w:cstheme="majorBidi"/>
        </w:rPr>
        <w:t>es</w:t>
      </w:r>
      <w:r w:rsidRPr="00746900">
        <w:rPr>
          <w:rFonts w:asciiTheme="majorBidi" w:hAnsiTheme="majorBidi" w:cstheme="majorBidi"/>
        </w:rPr>
        <w:t xml:space="preserve"> the number of surgical interventions </w:t>
      </w:r>
      <w:r>
        <w:rPr>
          <w:rFonts w:asciiTheme="majorBidi" w:hAnsiTheme="majorBidi" w:cstheme="majorBidi"/>
        </w:rPr>
        <w:t>resulting in</w:t>
      </w:r>
      <w:r w:rsidRPr="00746900">
        <w:rPr>
          <w:rFonts w:asciiTheme="majorBidi" w:hAnsiTheme="majorBidi" w:cstheme="majorBidi"/>
        </w:rPr>
        <w:t xml:space="preserve"> </w:t>
      </w:r>
      <w:r>
        <w:rPr>
          <w:rFonts w:asciiTheme="majorBidi" w:hAnsiTheme="majorBidi" w:cstheme="majorBidi"/>
        </w:rPr>
        <w:t xml:space="preserve">a </w:t>
      </w:r>
      <w:r w:rsidRPr="00746900">
        <w:rPr>
          <w:rFonts w:asciiTheme="majorBidi" w:hAnsiTheme="majorBidi" w:cstheme="majorBidi"/>
        </w:rPr>
        <w:t>shorted</w:t>
      </w:r>
      <w:r>
        <w:rPr>
          <w:rFonts w:asciiTheme="majorBidi" w:hAnsiTheme="majorBidi" w:cstheme="majorBidi"/>
        </w:rPr>
        <w:t xml:space="preserve"> overall</w:t>
      </w:r>
      <w:r w:rsidRPr="00746900">
        <w:rPr>
          <w:rFonts w:asciiTheme="majorBidi" w:hAnsiTheme="majorBidi" w:cstheme="majorBidi"/>
        </w:rPr>
        <w:t xml:space="preserve"> treatment time. </w:t>
      </w:r>
      <w:r>
        <w:rPr>
          <w:rFonts w:asciiTheme="majorBidi" w:hAnsiTheme="majorBidi" w:cstheme="majorBidi"/>
        </w:rPr>
        <w:t xml:space="preserve">Furthermore, </w:t>
      </w:r>
      <w:proofErr w:type="spellStart"/>
      <w:r>
        <w:rPr>
          <w:rFonts w:asciiTheme="majorBidi" w:hAnsiTheme="majorBidi" w:cstheme="majorBidi"/>
        </w:rPr>
        <w:t>Lazarra</w:t>
      </w:r>
      <w:proofErr w:type="spellEnd"/>
      <w:r>
        <w:rPr>
          <w:rFonts w:asciiTheme="majorBidi" w:hAnsiTheme="majorBidi" w:cstheme="majorBidi"/>
        </w:rPr>
        <w:t xml:space="preserve"> c</w:t>
      </w:r>
      <w:r w:rsidRPr="00746900">
        <w:rPr>
          <w:rFonts w:asciiTheme="majorBidi" w:hAnsiTheme="majorBidi" w:cstheme="majorBidi"/>
        </w:rPr>
        <w:t xml:space="preserve">oncluded that immediate implant placement helped preserve the integrity of the </w:t>
      </w:r>
      <w:r>
        <w:rPr>
          <w:rFonts w:asciiTheme="majorBidi" w:hAnsiTheme="majorBidi" w:cstheme="majorBidi"/>
        </w:rPr>
        <w:t>alveolar bone</w:t>
      </w:r>
      <w:r w:rsidRPr="00746900">
        <w:rPr>
          <w:rFonts w:asciiTheme="majorBidi" w:hAnsiTheme="majorBidi" w:cstheme="majorBidi"/>
        </w:rPr>
        <w:t>.</w:t>
      </w:r>
    </w:p>
    <w:p w14:paraId="2699B9A8" w14:textId="1507F662" w:rsidR="00B0351F" w:rsidRDefault="00B0351F" w:rsidP="00A678D4">
      <w:pPr>
        <w:spacing w:line="480" w:lineRule="auto"/>
        <w:rPr>
          <w:rFonts w:asciiTheme="majorBidi" w:hAnsiTheme="majorBidi" w:cstheme="majorBidi"/>
        </w:rPr>
      </w:pPr>
      <w:r>
        <w:rPr>
          <w:rFonts w:asciiTheme="majorBidi" w:hAnsiTheme="majorBidi" w:cstheme="majorBidi"/>
        </w:rPr>
        <w:tab/>
      </w:r>
      <w:r w:rsidR="00E229C9">
        <w:rPr>
          <w:rFonts w:asciiTheme="majorBidi" w:hAnsiTheme="majorBidi" w:cstheme="majorBidi"/>
        </w:rPr>
        <w:t xml:space="preserve">Long term success of dental implant requires stability of the peri-implant crestal bone level. It is relatively common that a degree of bone remodeling will occur following implant placement. One explanation for this is the body’s attempt to create sufficient space for reestablishment of the biologic width following exposure of the implant platform to the oral cavity </w:t>
      </w:r>
      <w:r w:rsidR="00E229C9">
        <w:rPr>
          <w:rFonts w:asciiTheme="majorBidi" w:hAnsiTheme="majorBidi" w:cstheme="majorBidi"/>
        </w:rPr>
        <w:fldChar w:fldCharType="begin"/>
      </w:r>
      <w:r w:rsidR="00E229C9">
        <w:rPr>
          <w:rFonts w:asciiTheme="majorBidi" w:hAnsiTheme="majorBidi" w:cstheme="majorBidi"/>
        </w:rPr>
        <w:instrText xml:space="preserve"> ADDIN ZOTERO_ITEM CSL_CITATION {"citationID":"QKZqDJLp","properties":{"formattedCitation":"(Albrektsson et al., 2017)","plainCitation":"(Albrektsson et al., 2017)","noteIndex":0},"citationItems":[{"id":47,"uris":["http://zotero.org/users/local/uf8AnBMd/items/LTZXSTJW"],"itemData":{"id":47,"type":"article-journal","abstract":"Successful osseointegration is the result of a controlled foreign body reaction to dental implants. Osseointegrated implants have demonstrated excellent long-term survivability, although they may be subject to limited marginal bone loss. Marginal bone loss during the first few years after implant placement seldom represents disease, but is instead the result of an adaptive bone response to surgical trauma and implant loading. It is not uncommon for implants with early marginal bone loss to enter a long-lasting state of bone stability. Extensive bone resorption after the first year is generally due to an exacerbation of adverse body reactions caused by non-optimal implant components, adverse surgery or prosthodontics and/or compromised patient factors. Disease in the form of peri-implantitis is a late complication that affects some implants with suppuration and rapid loss of crestal bone, and is probably caused by bacterial pathogens and immunological reactions. Unfortunately, the literature is not consistent with respect to the type or magnitude of clinical implant problems, including how they are defined and diagnosed. If the peri-implantitis diagnosis is confined to cases with infection, suppuration and significant bone loss, the frequency of the disease is relatively low, which is in sharp contrast to the frequencies reported with unrealistic definitions of peri-implantitis. We suggest that when modern implants are placed by properly trained individuals, only 1-2% of implants show true peri-implantitis during follow-up periods of 10 years or more. Peri-implantitis must be separated from the initial and self-limiting marginal bone loss.","container-title":"Periodontology 2000","DOI":"10.1111/prd.12176","ISSN":"1600-0757","issue":"1","journalAbbreviation":"Periodontol 2000","language":"eng","note":"PMID: 28000272","page":"41-50","source":"PubMed","title":"Initial and long-term crestal bone responses to modern dental implants","volume":"73","author":[{"family":"Albrektsson","given":"Tomas"},{"family":"Chrcanovic","given":"Bruno"},{"family":"Östman","given":"Per-Olov"},{"family":"Sennerby","given":"Lars"}],"issued":{"date-parts":[["2017",2]]}}}],"schema":"https://github.com/citation-style-language/schema/raw/master/csl-citation.json"} </w:instrText>
      </w:r>
      <w:r w:rsidR="00E229C9">
        <w:rPr>
          <w:rFonts w:asciiTheme="majorBidi" w:hAnsiTheme="majorBidi" w:cstheme="majorBidi"/>
        </w:rPr>
        <w:fldChar w:fldCharType="separate"/>
      </w:r>
      <w:r w:rsidR="00E229C9">
        <w:rPr>
          <w:rFonts w:asciiTheme="majorBidi" w:hAnsiTheme="majorBidi" w:cstheme="majorBidi"/>
          <w:noProof/>
        </w:rPr>
        <w:t>(Albrektsson et al., 2017)</w:t>
      </w:r>
      <w:r w:rsidR="00E229C9">
        <w:rPr>
          <w:rFonts w:asciiTheme="majorBidi" w:hAnsiTheme="majorBidi" w:cstheme="majorBidi"/>
        </w:rPr>
        <w:fldChar w:fldCharType="end"/>
      </w:r>
      <w:r w:rsidR="00E229C9">
        <w:rPr>
          <w:rFonts w:asciiTheme="majorBidi" w:hAnsiTheme="majorBidi" w:cstheme="majorBidi"/>
        </w:rPr>
        <w:t xml:space="preserve">. This remodeling process needs to be distinguished from pathological bone loss, or peri-implantitis </w:t>
      </w:r>
      <w:r w:rsidR="00E229C9">
        <w:rPr>
          <w:rFonts w:asciiTheme="majorBidi" w:hAnsiTheme="majorBidi" w:cstheme="majorBidi"/>
        </w:rPr>
        <w:fldChar w:fldCharType="begin"/>
      </w:r>
      <w:r w:rsidR="00E229C9">
        <w:rPr>
          <w:rFonts w:asciiTheme="majorBidi" w:hAnsiTheme="majorBidi" w:cstheme="majorBidi"/>
        </w:rPr>
        <w:instrText xml:space="preserve"> ADDIN ZOTERO_ITEM CSL_CITATION {"citationID":"vjRWaEBS","properties":{"formattedCitation":"(Berglundh et al., 2018)","plainCitation":"(Berglundh et al., 2018)","noteIndex":0},"citationItems":[{"id":34,"uris":["http://zotero.org/users/local/uf8AnBMd/items/7B4NG8JZ"],"itemData":{"id":34,"type":"article-journal","abstract":"A classification for peri-implant diseases and conditions was presented. Focused questions on the characteristics of peri-implant health, peri-implant mucositis, peri-implantitis, and soft- and hard-tissue deficiencies were addressed. Peri-implant health is characterized by the absence of erythema, bleeding on probing, swelling, and suppuration. It is not possible to define a range of probing depths compatible with health; Peri-implant health can exist around implants with reduced bone support. The main clinical characteristic of peri-implant mucositis is bleeding on gentle probing. Erythema, swelling, and/or suppuration may also be present. An increase in probing depth is often observed in the presence of peri-implant mucositis due to swelling or decrease in probing resistance. There is strong evidence from animal and human experimental studies that plaque is the etiological factor for peri-implant mucositis. Peri-implantitis is a plaque-associated pathological condition occurring in tissues around dental implants, characterized by inflammation in the peri-implant mucosa and subsequent progressive loss of supporting bone. Peri-implantitis sites exhibit clinical signs of inflammation, bleeding on probing, and/or suppuration, increased probing depths and/or recession of the mucosal margin in addition to radiographic bone loss. The evidence is equivocal regarding the effect of keratinized mucosa on the long-term health of the peri-implant tissue. It appears, however, that keratinized mucosa may have advantages regarding patient comfort and ease of plaque removal. Case definitions in day-to-day clinical practice and in epidemiological or disease-surveillance studies for peri-implant health, peri-implant mucositis, and peri-implantitis were introduced. The proposed case definitions should be viewed within the context that there is no generic implant and that there are numerous implant designs with different surface characteristics, surgical and loading protocols. It is recommended that the clinician obtain baseline radiographic and probing measurements following the completion of the implant-supported prosthesis.","container-title":"Journal of Periodontology","DOI":"10.1002/JPER.17-0739","ISSN":"1943-3670","issue":"S1","language":"en","license":"© 2018 American Academy of Periodontology and European Federation of Periodontology","note":"_eprint: https://aap.onlinelibrary.wiley.com/doi/pdf/10.1002/JPER.17-0739","page":"S313-S318","source":"Wiley Online Library","title":"Peri-implant diseases and conditions: Consensus report of workgroup 4 of the 2017 World Workshop on the Classification of Periodontal and Peri-Implant Diseases and Conditions","title-short":"Peri-implant diseases and conditions","volume":"89","author":[{"family":"Berglundh","given":"Tord"},{"family":"Armitage","given":"Gary"},{"family":"Araujo","given":"Mauricio G."},{"family":"Avila-Ortiz","given":"Gustavo"},{"family":"Blanco","given":"Juan"},{"family":"Camargo","given":"Paulo M."},{"family":"Chen","given":"Stephen"},{"family":"Cochran","given":"David"},{"family":"Derks","given":"Jan"},{"family":"Figuero","given":"Elena"},{"family":"Hämmerle","given":"Christoph H.F."},{"family":"Heitz-Mayfield","given":"Lisa J.A."},{"family":"Huynh-Ba","given":"Guy"},{"family":"Iacono","given":"Vincent"},{"family":"Koo","given":"Ki-Tae"},{"family":"Lambert","given":"France"},{"family":"McCauley","given":"Laurie"},{"family":"Quirynen","given":"Marc"},{"family":"Renvert","given":"Stefan"},{"family":"Salvi","given":"Giovanni E."},{"family":"Schwarz","given":"Frank"},{"family":"Tarnow","given":"Dennis"},{"family":"Tomasi","given":"Cristiano"},{"family":"Wang","given":"Hom-Lay"},{"family":"Zitzmann","given":"Nicola"}],"issued":{"date-parts":[["2018"]]}}}],"schema":"https://github.com/citation-style-language/schema/raw/master/csl-citation.json"} </w:instrText>
      </w:r>
      <w:r w:rsidR="00E229C9">
        <w:rPr>
          <w:rFonts w:asciiTheme="majorBidi" w:hAnsiTheme="majorBidi" w:cstheme="majorBidi"/>
        </w:rPr>
        <w:fldChar w:fldCharType="separate"/>
      </w:r>
      <w:r w:rsidR="00E229C9">
        <w:rPr>
          <w:rFonts w:asciiTheme="majorBidi" w:hAnsiTheme="majorBidi" w:cstheme="majorBidi"/>
          <w:noProof/>
        </w:rPr>
        <w:t>(Berglundh et al., 2018)</w:t>
      </w:r>
      <w:r w:rsidR="00E229C9">
        <w:rPr>
          <w:rFonts w:asciiTheme="majorBidi" w:hAnsiTheme="majorBidi" w:cstheme="majorBidi"/>
        </w:rPr>
        <w:fldChar w:fldCharType="end"/>
      </w:r>
      <w:r w:rsidR="00E229C9">
        <w:rPr>
          <w:rFonts w:asciiTheme="majorBidi" w:hAnsiTheme="majorBidi" w:cstheme="majorBidi"/>
        </w:rPr>
        <w:t xml:space="preserve">. Despite the initial peri-implant crestal bone remodeling that is recognized as part of the normal healing process, one needs to consider this with caution because the amount and the rate of the bone remodeling has a </w:t>
      </w:r>
      <w:r w:rsidR="00E229C9">
        <w:rPr>
          <w:rFonts w:asciiTheme="majorBidi" w:hAnsiTheme="majorBidi" w:cstheme="majorBidi"/>
        </w:rPr>
        <w:lastRenderedPageBreak/>
        <w:t xml:space="preserve">great impact on implant success and potential susceptibility to peri-implantitis </w:t>
      </w:r>
      <w:r w:rsidR="00E229C9">
        <w:rPr>
          <w:rFonts w:asciiTheme="majorBidi" w:hAnsiTheme="majorBidi" w:cstheme="majorBidi"/>
        </w:rPr>
        <w:fldChar w:fldCharType="begin"/>
      </w:r>
      <w:r w:rsidR="00E229C9">
        <w:rPr>
          <w:rFonts w:asciiTheme="majorBidi" w:hAnsiTheme="majorBidi" w:cstheme="majorBidi"/>
        </w:rPr>
        <w:instrText xml:space="preserve"> ADDIN ZOTERO_ITEM CSL_CITATION {"citationID":"4FShorik","properties":{"formattedCitation":"(Galindo-Moreno et al., 2015)","plainCitation":"(Galindo-Moreno et al., 2015)","noteIndex":0},"citationItems":[{"id":52,"uris":["http://zotero.org/users/local/uf8AnBMd/items/SLMZGFQQ"],"itemData":{"id":52,"type":"article-journal","abstract":"AIM: The aim of this study was to analyze marginal bone loss (MBL) rates around implants to establish the difference between physiological bone loss and bone loss due to peri-implantitis.\nMATERIALS AND METHODS: Five hundred and eight implants were placed in the posterior maxilla in 208 patients. Data were gathered on age, gender, bone substratum (grafted or pristine), prosthetic connection, smoking and alcohol habits, and previous periodontitis. MBL was radiographically analyzed in three time frames (5 months post-surgery and at 6 and 18 months post-loading). Nonparametric receiver operating curve (ROC) analysis and mixed linear model analysis were used to determine whether implants could be classified as high or low bone loser type (BLT) and to establish the influence of this factor on MBL rates.\nRESULTS: Marginal bone loss rates were significantly affected by BLT, connection type, bone substratum, and smoking. Bone loss rates at 18 months were associated with initial bone loss rates: 96% of implants with an MBL of &gt;2 mm at 18 months had lost 0.44 mm or more at 6 months post-loading.\nCONCLUSION: Implants with increased MBL rates at early stages (healing and immediate post-loading periods) are likely to reach MBL values that compromise their final outcome. Initial (healing, immediate post-loading) MBL rates around an implant of more than 0.44 mm/year are an indication of peri-implant bone loss progression.","container-title":"Clinical Oral Implants Research","DOI":"10.1111/clr.12324","ISSN":"1600-0501","issue":"4","journalAbbreviation":"Clin Oral Implants Res","language":"eng","note":"PMID: 24383987","page":"e28-e34","source":"PubMed","title":"Marginal bone loss as success criterion in implant dentistry: beyond 2 mm","title-short":"Marginal bone loss as success criterion in implant dentistry","volume":"26","author":[{"family":"Galindo-Moreno","given":"Pablo"},{"family":"León-Cano","given":"Ana"},{"family":"Ortega-Oller","given":"Inmaculada"},{"family":"Monje","given":"Alberto"},{"family":"O Valle","given":"Francisco"},{"family":"Catena","given":"Andrés"}],"issued":{"date-parts":[["2015",4]]}}}],"schema":"https://github.com/citation-style-language/schema/raw/master/csl-citation.json"} </w:instrText>
      </w:r>
      <w:r w:rsidR="00E229C9">
        <w:rPr>
          <w:rFonts w:asciiTheme="majorBidi" w:hAnsiTheme="majorBidi" w:cstheme="majorBidi"/>
        </w:rPr>
        <w:fldChar w:fldCharType="separate"/>
      </w:r>
      <w:r w:rsidR="00E229C9">
        <w:rPr>
          <w:rFonts w:asciiTheme="majorBidi" w:hAnsiTheme="majorBidi" w:cstheme="majorBidi"/>
          <w:noProof/>
        </w:rPr>
        <w:t>(Galindo-Moreno et al., 2015)</w:t>
      </w:r>
      <w:r w:rsidR="00E229C9">
        <w:rPr>
          <w:rFonts w:asciiTheme="majorBidi" w:hAnsiTheme="majorBidi" w:cstheme="majorBidi"/>
        </w:rPr>
        <w:fldChar w:fldCharType="end"/>
      </w:r>
      <w:r w:rsidR="00E229C9">
        <w:rPr>
          <w:rFonts w:asciiTheme="majorBidi" w:hAnsiTheme="majorBidi" w:cstheme="majorBidi"/>
        </w:rPr>
        <w:t>.</w:t>
      </w:r>
    </w:p>
    <w:p w14:paraId="056F8644" w14:textId="76144EE0" w:rsidR="00E229C9" w:rsidRDefault="00B0351F" w:rsidP="00E229C9">
      <w:pPr>
        <w:tabs>
          <w:tab w:val="left" w:pos="630"/>
        </w:tabs>
        <w:spacing w:line="480" w:lineRule="auto"/>
        <w:rPr>
          <w:rFonts w:asciiTheme="majorBidi" w:hAnsiTheme="majorBidi" w:cstheme="majorBidi"/>
        </w:rPr>
      </w:pPr>
      <w:r>
        <w:rPr>
          <w:rFonts w:asciiTheme="majorBidi" w:hAnsiTheme="majorBidi" w:cstheme="majorBidi"/>
        </w:rPr>
        <w:tab/>
      </w:r>
      <w:r w:rsidR="00E229C9">
        <w:rPr>
          <w:rFonts w:asciiTheme="majorBidi" w:hAnsiTheme="majorBidi" w:cstheme="majorBidi"/>
        </w:rPr>
        <w:tab/>
        <w:t xml:space="preserve">Recently, investigators sought to evaluate the impact of two restorative factors on crestal bone remodeling following delayed implant </w:t>
      </w:r>
      <w:r w:rsidR="00E229C9">
        <w:rPr>
          <w:rFonts w:asciiTheme="majorBidi" w:hAnsiTheme="majorBidi" w:cstheme="majorBidi"/>
        </w:rPr>
        <w:t>placement:</w:t>
      </w:r>
      <w:r w:rsidR="00E229C9">
        <w:rPr>
          <w:rFonts w:asciiTheme="majorBidi" w:hAnsiTheme="majorBidi" w:cstheme="majorBidi"/>
        </w:rPr>
        <w:t xml:space="preserve"> the transmucosal abutment height and the emergence angle (REA) of implant-supported crowns. The authors concluded that a transmucosal abutment height being of </w:t>
      </w:r>
      <w:r w:rsidR="00E229C9">
        <w:rPr>
          <w:rFonts w:asciiTheme="majorBidi" w:hAnsiTheme="majorBidi" w:cstheme="majorBidi"/>
        </w:rPr>
        <w:sym w:font="Symbol" w:char="F03E"/>
      </w:r>
      <w:r w:rsidR="00E229C9">
        <w:rPr>
          <w:rFonts w:asciiTheme="majorBidi" w:hAnsiTheme="majorBidi" w:cstheme="majorBidi"/>
        </w:rPr>
        <w:t xml:space="preserve"> 2 mm from the fixture level and REA of </w:t>
      </w:r>
      <w:r w:rsidR="00E229C9">
        <w:rPr>
          <w:rFonts w:asciiTheme="majorBidi" w:hAnsiTheme="majorBidi" w:cstheme="majorBidi"/>
        </w:rPr>
        <w:sym w:font="Symbol" w:char="F0A3"/>
      </w:r>
      <w:r w:rsidR="00E229C9">
        <w:rPr>
          <w:rFonts w:asciiTheme="majorBidi" w:hAnsiTheme="majorBidi" w:cstheme="majorBidi"/>
        </w:rPr>
        <w:t xml:space="preserve"> 30</w:t>
      </w:r>
      <w:r w:rsidR="00E229C9">
        <w:rPr>
          <w:rFonts w:asciiTheme="majorBidi" w:hAnsiTheme="majorBidi" w:cstheme="majorBidi"/>
          <w:vertAlign w:val="superscript"/>
        </w:rPr>
        <w:t xml:space="preserve">o </w:t>
      </w:r>
      <w:r w:rsidR="00E229C9">
        <w:rPr>
          <w:rFonts w:asciiTheme="majorBidi" w:hAnsiTheme="majorBidi" w:cstheme="majorBidi"/>
        </w:rPr>
        <w:t xml:space="preserve">will reduce the risk of peri-implantitis (PI) and marginal bone loss (MBL) </w:t>
      </w:r>
      <w:r w:rsidR="00E229C9">
        <w:rPr>
          <w:rFonts w:asciiTheme="majorBidi" w:hAnsiTheme="majorBidi" w:cstheme="majorBidi"/>
        </w:rPr>
        <w:fldChar w:fldCharType="begin"/>
      </w:r>
      <w:r w:rsidR="00E229C9">
        <w:rPr>
          <w:rFonts w:asciiTheme="majorBidi" w:hAnsiTheme="majorBidi" w:cstheme="majorBidi"/>
        </w:rPr>
        <w:instrText xml:space="preserve"> ADDIN ZOTERO_ITEM CSL_CITATION {"citationID":"k0hTPSy0","properties":{"formattedCitation":"(Misch et al., 2025)","plainCitation":"(Misch et al., 2025)","noteIndex":0},"citationItems":[{"id":55,"uris":["http://zotero.org/users/local/uf8AnBMd/items/W7LZD3JR"],"itemData":{"id":55,"type":"article-journal","abstract":"INTRODUCTION: This study aimed to investigate the combined effect of trans-mucosal abutment height (TmAH) and restorative emergence angle (REA) on marginal bone loss (MBL) around bone-level implants.\nMETHODS: Implant radiographs 12-18 months after crown placement (T0) and at least one year later (T1) were retrospectively analyzed. Sites were separated into four groups: Long/Narrow-Angle (LN) with TmAH &gt; 2 mm and REA &lt; 30°, Long/Wide-Angle (LW) with TmAH &gt; 2 mm and REA ≥ 30°, Short/Narrow-Angle (SN) with TmAH &lt; 2 mm and REA &lt; 30°, and Short/Wide-Angle (SW) with TmAH &lt; 2 mm and REA ≥ 30°. MBL was calculated, and multiple linear regression analysis was performed to control for patient-level and implant/prosthesis-level factors.\nRESULTS: 192 implants pertaining to 119 patients were included. Group significantly influenced MBL experience (p &lt; 0.001). Group SW experienced on average 0.48 mm (95% CI: 0.25-0.71, p &lt; 0.001), 0.43 mm (95% CI: 0.18-0.68, p = 0.001), and 0.25 mm (95% CI: 0.00-0.45, p = 0.013) greater MBL compared to Groups LN, LW, and SN, respectively. Group was also a significant factor impacting the development of peri-implantitis (p = 0.041), with Group SW displaying a roughly 4× greater likelihood of having peri-implantitis (PI) diagnosed compared to Groups LN (OR: 4.04; p = 0.091) and LW (OR: 4.19; p = 0.013). Every 1 mm increase in TmAH significantly decreased the likelihood of MBL &gt; 0 mm (OR = 0.63; p = 0.003).\nCONCLUSIONS: Abutment height &gt; 2 mm may play a role in reducing PI and MBL related to ≥ 30° REA around bone-level implants. REA was found to only be a significant factor when TmAH is less than 2 mm.","container-title":"Clinical Oral Implants Research","DOI":"10.1111/clr.14408","ISSN":"1600-0501","issue":"5","journalAbbreviation":"Clin Oral Implants Res","language":"eng","note":"PMID: 39927705\nPMCID: PMC12066925","page":"600-612","source":"PubMed","title":"Combined Effect of Abutment Height and Restoration Emergence Angle on Peri-Implant Bone Loss Progression: A Retrospective Analysis","title-short":"Combined Effect of Abutment Height and Restoration Emergence Angle on Peri-Implant Bone Loss Progression","volume":"36","author":[{"family":"Misch","given":"Jonathan"},{"family":"Abu-Reyal","given":"Sawsan"},{"family":"Lohana","given":"Danyal"},{"family":"Mandil","given":"Obada"},{"family":"Saleh","given":"Muhammad H. A."},{"family":"Li","given":"Junying"},{"family":"Wang","given":"Hom-Lay"},{"family":"Ravidà","given":"Andrea"}],"issued":{"date-parts":[["2025",5]]}}}],"schema":"https://github.com/citation-style-language/schema/raw/master/csl-citation.json"} </w:instrText>
      </w:r>
      <w:r w:rsidR="00E229C9">
        <w:rPr>
          <w:rFonts w:asciiTheme="majorBidi" w:hAnsiTheme="majorBidi" w:cstheme="majorBidi"/>
        </w:rPr>
        <w:fldChar w:fldCharType="separate"/>
      </w:r>
      <w:r w:rsidR="00E229C9">
        <w:rPr>
          <w:rFonts w:asciiTheme="majorBidi" w:hAnsiTheme="majorBidi" w:cstheme="majorBidi"/>
          <w:noProof/>
        </w:rPr>
        <w:t>(Misch et al., 2025)</w:t>
      </w:r>
      <w:r w:rsidR="00E229C9">
        <w:rPr>
          <w:rFonts w:asciiTheme="majorBidi" w:hAnsiTheme="majorBidi" w:cstheme="majorBidi"/>
        </w:rPr>
        <w:fldChar w:fldCharType="end"/>
      </w:r>
      <w:r w:rsidR="00E229C9">
        <w:rPr>
          <w:rFonts w:asciiTheme="majorBidi" w:hAnsiTheme="majorBidi" w:cstheme="majorBidi"/>
        </w:rPr>
        <w:t>.</w:t>
      </w:r>
    </w:p>
    <w:p w14:paraId="227E946E" w14:textId="7425001B" w:rsidR="00E229C9" w:rsidRPr="00746900" w:rsidRDefault="00E229C9" w:rsidP="00E229C9">
      <w:pPr>
        <w:spacing w:line="480" w:lineRule="auto"/>
        <w:rPr>
          <w:rFonts w:asciiTheme="majorBidi" w:hAnsiTheme="majorBidi" w:cstheme="majorBidi"/>
        </w:rPr>
      </w:pPr>
      <w:r>
        <w:rPr>
          <w:rFonts w:asciiTheme="majorBidi" w:hAnsiTheme="majorBidi" w:cstheme="majorBidi"/>
        </w:rPr>
        <w:t xml:space="preserve"> </w:t>
      </w:r>
      <w:r>
        <w:rPr>
          <w:rFonts w:asciiTheme="majorBidi" w:hAnsiTheme="majorBidi" w:cstheme="majorBidi"/>
        </w:rPr>
        <w:tab/>
        <w:t xml:space="preserve">This retrospective evaluation aims to evaluate the </w:t>
      </w:r>
      <w:r w:rsidRPr="00746900">
        <w:rPr>
          <w:rFonts w:asciiTheme="majorBidi" w:hAnsiTheme="majorBidi" w:cstheme="majorBidi"/>
        </w:rPr>
        <w:t>peri-implant bone level remodeling after immediate implant placement</w:t>
      </w:r>
      <w:r>
        <w:rPr>
          <w:rFonts w:asciiTheme="majorBidi" w:hAnsiTheme="majorBidi" w:cstheme="majorBidi"/>
        </w:rPr>
        <w:t xml:space="preserve">, during the 3 months follow up, during the impression visit, delivery of the final process and evaluation the peri-implant bone level changes after following up period after the fixture being loaded. The </w:t>
      </w:r>
      <w:r>
        <w:rPr>
          <w:rFonts w:asciiTheme="majorBidi" w:hAnsiTheme="majorBidi" w:cstheme="majorBidi"/>
        </w:rPr>
        <w:t>secondary goal</w:t>
      </w:r>
      <w:r>
        <w:rPr>
          <w:rFonts w:asciiTheme="majorBidi" w:hAnsiTheme="majorBidi" w:cstheme="majorBidi"/>
        </w:rPr>
        <w:t xml:space="preserve"> is to determine whether the restorative emergence angle values (REA) and affects the extent of crestal bone remodeling.</w:t>
      </w:r>
    </w:p>
    <w:p w14:paraId="1C15FD29" w14:textId="6D10FC80" w:rsidR="00255F58" w:rsidRPr="00746900" w:rsidRDefault="00A678D4" w:rsidP="00E229C9">
      <w:pPr>
        <w:spacing w:line="480" w:lineRule="auto"/>
        <w:rPr>
          <w:rFonts w:asciiTheme="majorBidi" w:hAnsiTheme="majorBidi" w:cstheme="majorBidi"/>
        </w:rPr>
      </w:pPr>
      <w:r>
        <w:rPr>
          <w:rFonts w:asciiTheme="majorBidi" w:hAnsiTheme="majorBidi" w:cstheme="majorBidi"/>
        </w:rPr>
        <w:t xml:space="preserve"> </w:t>
      </w:r>
    </w:p>
    <w:p w14:paraId="6A168574" w14:textId="77777777" w:rsidR="00EB2C18" w:rsidRPr="00746900" w:rsidRDefault="00EB2C18" w:rsidP="00EB2C18">
      <w:pPr>
        <w:spacing w:line="480" w:lineRule="auto"/>
        <w:ind w:firstLine="720"/>
        <w:rPr>
          <w:rFonts w:asciiTheme="majorBidi" w:hAnsiTheme="majorBidi" w:cstheme="majorBidi"/>
          <w:bCs/>
        </w:rPr>
      </w:pPr>
    </w:p>
    <w:p w14:paraId="2045B697" w14:textId="77777777" w:rsidR="00845E74" w:rsidRDefault="00845E74" w:rsidP="00DB5B70"/>
    <w:p w14:paraId="5149ACF8" w14:textId="77777777" w:rsidR="00845E74" w:rsidRDefault="00845E74" w:rsidP="00DB5B70"/>
    <w:p w14:paraId="72687397" w14:textId="77777777" w:rsidR="00845E74" w:rsidRDefault="00845E74" w:rsidP="00DB5B70"/>
    <w:p w14:paraId="7D124D2A" w14:textId="77777777" w:rsidR="00845E74" w:rsidRDefault="00845E74" w:rsidP="00DB5B70"/>
    <w:p w14:paraId="75666C9C" w14:textId="77777777" w:rsidR="00845E74" w:rsidRDefault="00845E74" w:rsidP="00DB5B70"/>
    <w:p w14:paraId="3E16A053" w14:textId="77777777" w:rsidR="00845E74" w:rsidRDefault="00845E74" w:rsidP="00DB5B70"/>
    <w:p w14:paraId="081C06F3" w14:textId="77777777" w:rsidR="00845E74" w:rsidRDefault="00845E74" w:rsidP="00DB5B70"/>
    <w:p w14:paraId="4EACBD8F" w14:textId="77777777" w:rsidR="00845E74" w:rsidRDefault="00845E74" w:rsidP="00DB5B70"/>
    <w:p w14:paraId="60F59D27" w14:textId="77777777" w:rsidR="00845E74" w:rsidRDefault="00845E74" w:rsidP="00DB5B70"/>
    <w:p w14:paraId="36172054" w14:textId="3C19A8F2" w:rsidR="00845E74" w:rsidRPr="00DC700F" w:rsidRDefault="00845E74" w:rsidP="00DC700F">
      <w:pPr>
        <w:spacing w:line="480" w:lineRule="auto"/>
        <w:rPr>
          <w:rFonts w:asciiTheme="majorBidi" w:hAnsiTheme="majorBidi" w:cstheme="majorBidi"/>
          <w:b/>
          <w:bCs/>
        </w:rPr>
      </w:pPr>
      <w:r w:rsidRPr="00DC700F">
        <w:rPr>
          <w:rFonts w:asciiTheme="majorBidi" w:hAnsiTheme="majorBidi" w:cstheme="majorBidi"/>
          <w:b/>
          <w:bCs/>
        </w:rPr>
        <w:lastRenderedPageBreak/>
        <w:t>Material and Methods:</w:t>
      </w:r>
    </w:p>
    <w:p w14:paraId="1A3EA991" w14:textId="7001550A" w:rsidR="000B0A79" w:rsidRPr="00DC700F" w:rsidRDefault="000B0A79" w:rsidP="00DE1721">
      <w:pPr>
        <w:spacing w:line="480" w:lineRule="auto"/>
        <w:rPr>
          <w:rFonts w:asciiTheme="majorBidi" w:hAnsiTheme="majorBidi" w:cstheme="majorBidi"/>
        </w:rPr>
      </w:pPr>
      <w:r w:rsidRPr="00DC700F">
        <w:rPr>
          <w:rFonts w:asciiTheme="majorBidi" w:hAnsiTheme="majorBidi" w:cstheme="majorBidi"/>
        </w:rPr>
        <w:t>Overview:</w:t>
      </w:r>
      <w:r w:rsidR="00A678D4" w:rsidRPr="00DC700F">
        <w:rPr>
          <w:rFonts w:asciiTheme="majorBidi" w:hAnsiTheme="majorBidi" w:cstheme="majorBidi"/>
        </w:rPr>
        <w:tab/>
      </w:r>
    </w:p>
    <w:p w14:paraId="2458D15F" w14:textId="1A7BCB9B" w:rsidR="00845E74" w:rsidRDefault="00A678D4" w:rsidP="00DE1721">
      <w:pPr>
        <w:spacing w:line="480" w:lineRule="auto"/>
        <w:ind w:firstLine="720"/>
        <w:rPr>
          <w:rFonts w:asciiTheme="majorBidi" w:hAnsiTheme="majorBidi" w:cstheme="majorBidi"/>
        </w:rPr>
      </w:pPr>
      <w:r w:rsidRPr="00DC700F">
        <w:rPr>
          <w:rFonts w:asciiTheme="majorBidi" w:hAnsiTheme="majorBidi" w:cstheme="majorBidi"/>
        </w:rPr>
        <w:t xml:space="preserve">This retrospective evaluation was conducted in alignment with all ethical standards and proper protocols were followed. Also, this retrospective evaluation utilized data from Axium data base at the University of Pennsylvania School of Dental Medicine and data was anonymized and handled with compliance to all regulation which ensure </w:t>
      </w:r>
      <w:r w:rsidR="000B0A79" w:rsidRPr="00DC700F">
        <w:rPr>
          <w:rFonts w:asciiTheme="majorBidi" w:hAnsiTheme="majorBidi" w:cstheme="majorBidi"/>
        </w:rPr>
        <w:t xml:space="preserve">confidentiality, and the privacy of human subjects included. This retrospective evaluation was approved by the University of Pennsylvania School of Dental Medicine, institutional Review Board for Human Studies (IRB Protocol #857448) which approve that procedures completed and conducted were in accordance with ethical protocols and standards. </w:t>
      </w:r>
    </w:p>
    <w:p w14:paraId="46B9B184" w14:textId="06C706BC" w:rsidR="00E229C9" w:rsidRPr="00E229C9" w:rsidRDefault="00E229C9" w:rsidP="00E229C9">
      <w:pPr>
        <w:spacing w:line="480" w:lineRule="auto"/>
        <w:rPr>
          <w:rFonts w:asciiTheme="majorBidi" w:hAnsiTheme="majorBidi" w:cstheme="majorBidi"/>
          <w:i/>
          <w:iCs/>
        </w:rPr>
      </w:pPr>
      <w:r w:rsidRPr="00E229C9">
        <w:rPr>
          <w:rFonts w:asciiTheme="majorBidi" w:hAnsiTheme="majorBidi" w:cstheme="majorBidi"/>
          <w:i/>
          <w:iCs/>
        </w:rPr>
        <w:t>Identification of subjects</w:t>
      </w:r>
    </w:p>
    <w:p w14:paraId="5E0CE158" w14:textId="5D1DC505" w:rsidR="00DC700F" w:rsidRPr="00DC700F" w:rsidRDefault="001E46C0" w:rsidP="00DE1721">
      <w:pPr>
        <w:spacing w:line="480" w:lineRule="auto"/>
        <w:ind w:firstLine="720"/>
        <w:rPr>
          <w:rFonts w:asciiTheme="majorBidi" w:hAnsiTheme="majorBidi" w:cstheme="majorBidi"/>
        </w:rPr>
      </w:pPr>
      <w:r w:rsidRPr="00DC700F">
        <w:rPr>
          <w:rFonts w:asciiTheme="majorBidi" w:hAnsiTheme="majorBidi" w:cstheme="majorBidi"/>
        </w:rPr>
        <w:t>In this retrospective evaluation, the data analysis conducted for patient seen at University of Pennsylvania School of Dental Medicine</w:t>
      </w:r>
      <w:r w:rsidR="00DC700F" w:rsidRPr="00DC700F">
        <w:rPr>
          <w:rFonts w:asciiTheme="majorBidi" w:hAnsiTheme="majorBidi" w:cstheme="majorBidi"/>
        </w:rPr>
        <w:t xml:space="preserve"> and underwent</w:t>
      </w:r>
      <w:r w:rsidRPr="00DC700F">
        <w:rPr>
          <w:rFonts w:asciiTheme="majorBidi" w:hAnsiTheme="majorBidi" w:cstheme="majorBidi"/>
        </w:rPr>
        <w:t xml:space="preserve"> dental implant</w:t>
      </w:r>
      <w:r w:rsidR="00DC700F" w:rsidRPr="00DC700F">
        <w:rPr>
          <w:rFonts w:asciiTheme="majorBidi" w:hAnsiTheme="majorBidi" w:cstheme="majorBidi"/>
        </w:rPr>
        <w:t xml:space="preserve"> surgery</w:t>
      </w:r>
      <w:r w:rsidRPr="00DC700F">
        <w:rPr>
          <w:rFonts w:asciiTheme="majorBidi" w:hAnsiTheme="majorBidi" w:cstheme="majorBidi"/>
        </w:rPr>
        <w:t xml:space="preserve"> (Bone level or Tissue Level Implants)</w:t>
      </w:r>
      <w:r w:rsidR="00DC700F" w:rsidRPr="00DC700F">
        <w:rPr>
          <w:rFonts w:asciiTheme="majorBidi" w:hAnsiTheme="majorBidi" w:cstheme="majorBidi"/>
        </w:rPr>
        <w:t xml:space="preserve"> and those implants were restored</w:t>
      </w:r>
      <w:r w:rsidRPr="00DC700F">
        <w:rPr>
          <w:rFonts w:asciiTheme="majorBidi" w:hAnsiTheme="majorBidi" w:cstheme="majorBidi"/>
        </w:rPr>
        <w:t xml:space="preserve"> at the </w:t>
      </w:r>
      <w:r w:rsidR="00DC700F" w:rsidRPr="00DC700F">
        <w:rPr>
          <w:rFonts w:asciiTheme="majorBidi" w:hAnsiTheme="majorBidi" w:cstheme="majorBidi"/>
        </w:rPr>
        <w:t>P</w:t>
      </w:r>
      <w:r w:rsidRPr="00DC700F">
        <w:rPr>
          <w:rFonts w:asciiTheme="majorBidi" w:hAnsiTheme="majorBidi" w:cstheme="majorBidi"/>
        </w:rPr>
        <w:t xml:space="preserve">eriodontics, </w:t>
      </w:r>
      <w:r w:rsidR="00DC700F" w:rsidRPr="00DC700F">
        <w:rPr>
          <w:rFonts w:asciiTheme="majorBidi" w:hAnsiTheme="majorBidi" w:cstheme="majorBidi"/>
        </w:rPr>
        <w:t>O</w:t>
      </w:r>
      <w:r w:rsidRPr="00DC700F">
        <w:rPr>
          <w:rFonts w:asciiTheme="majorBidi" w:hAnsiTheme="majorBidi" w:cstheme="majorBidi"/>
        </w:rPr>
        <w:t xml:space="preserve">ral </w:t>
      </w:r>
      <w:r w:rsidR="00DC700F" w:rsidRPr="00DC700F">
        <w:rPr>
          <w:rFonts w:asciiTheme="majorBidi" w:hAnsiTheme="majorBidi" w:cstheme="majorBidi"/>
        </w:rPr>
        <w:t>S</w:t>
      </w:r>
      <w:r w:rsidRPr="00DC700F">
        <w:rPr>
          <w:rFonts w:asciiTheme="majorBidi" w:hAnsiTheme="majorBidi" w:cstheme="majorBidi"/>
        </w:rPr>
        <w:t>urgery</w:t>
      </w:r>
      <w:r w:rsidR="00DC700F" w:rsidRPr="00DC700F">
        <w:rPr>
          <w:rFonts w:asciiTheme="majorBidi" w:hAnsiTheme="majorBidi" w:cstheme="majorBidi"/>
        </w:rPr>
        <w:t>, Prosthodontics</w:t>
      </w:r>
      <w:r w:rsidRPr="00DC700F">
        <w:rPr>
          <w:rFonts w:asciiTheme="majorBidi" w:hAnsiTheme="majorBidi" w:cstheme="majorBidi"/>
        </w:rPr>
        <w:t xml:space="preserve"> and </w:t>
      </w:r>
      <w:r w:rsidR="00DC700F" w:rsidRPr="00DC700F">
        <w:rPr>
          <w:rFonts w:asciiTheme="majorBidi" w:hAnsiTheme="majorBidi" w:cstheme="majorBidi"/>
        </w:rPr>
        <w:t>F</w:t>
      </w:r>
      <w:r w:rsidRPr="00DC700F">
        <w:rPr>
          <w:rFonts w:asciiTheme="majorBidi" w:hAnsiTheme="majorBidi" w:cstheme="majorBidi"/>
        </w:rPr>
        <w:t xml:space="preserve">aculty </w:t>
      </w:r>
      <w:r w:rsidR="00DC700F" w:rsidRPr="00DC700F">
        <w:rPr>
          <w:rFonts w:asciiTheme="majorBidi" w:hAnsiTheme="majorBidi" w:cstheme="majorBidi"/>
        </w:rPr>
        <w:t>P</w:t>
      </w:r>
      <w:r w:rsidRPr="00DC700F">
        <w:rPr>
          <w:rFonts w:asciiTheme="majorBidi" w:hAnsiTheme="majorBidi" w:cstheme="majorBidi"/>
        </w:rPr>
        <w:t>ractice clinics between Jan 2019 till December 2024</w:t>
      </w:r>
      <w:r w:rsidR="00DC700F" w:rsidRPr="00DC700F">
        <w:rPr>
          <w:rFonts w:asciiTheme="majorBidi" w:hAnsiTheme="majorBidi" w:cstheme="majorBidi"/>
        </w:rPr>
        <w:t xml:space="preserve">. </w:t>
      </w:r>
    </w:p>
    <w:p w14:paraId="4FEF58E5" w14:textId="05D2EC96" w:rsidR="000B0A79" w:rsidRPr="00DC700F" w:rsidRDefault="000B0A79" w:rsidP="00DE1721">
      <w:pPr>
        <w:spacing w:line="480" w:lineRule="auto"/>
        <w:rPr>
          <w:rFonts w:asciiTheme="majorBidi" w:hAnsiTheme="majorBidi" w:cstheme="majorBidi"/>
        </w:rPr>
      </w:pPr>
      <w:r w:rsidRPr="00DC700F">
        <w:rPr>
          <w:rFonts w:asciiTheme="majorBidi" w:hAnsiTheme="majorBidi" w:cstheme="majorBidi"/>
        </w:rPr>
        <w:t xml:space="preserve">Inclusion </w:t>
      </w:r>
      <w:r w:rsidR="001E46C0" w:rsidRPr="00DC700F">
        <w:rPr>
          <w:rFonts w:asciiTheme="majorBidi" w:hAnsiTheme="majorBidi" w:cstheme="majorBidi"/>
        </w:rPr>
        <w:t>Criteria</w:t>
      </w:r>
      <w:r w:rsidRPr="00DC700F">
        <w:rPr>
          <w:rFonts w:asciiTheme="majorBidi" w:hAnsiTheme="majorBidi" w:cstheme="majorBidi"/>
        </w:rPr>
        <w:t>:</w:t>
      </w:r>
    </w:p>
    <w:p w14:paraId="493FC928" w14:textId="5D5F183D" w:rsidR="000B0A79" w:rsidRPr="00DC700F" w:rsidRDefault="000B0A79" w:rsidP="00DE1721">
      <w:pPr>
        <w:pStyle w:val="ListParagraph"/>
        <w:numPr>
          <w:ilvl w:val="0"/>
          <w:numId w:val="1"/>
        </w:numPr>
        <w:spacing w:line="480" w:lineRule="auto"/>
        <w:rPr>
          <w:rFonts w:asciiTheme="majorBidi" w:hAnsiTheme="majorBidi" w:cstheme="majorBidi"/>
        </w:rPr>
      </w:pPr>
      <w:r w:rsidRPr="00DC700F">
        <w:rPr>
          <w:rFonts w:asciiTheme="majorBidi" w:hAnsiTheme="majorBidi" w:cstheme="majorBidi"/>
        </w:rPr>
        <w:t>Patient requiring</w:t>
      </w:r>
      <w:r w:rsidR="001E46C0" w:rsidRPr="00DC700F">
        <w:rPr>
          <w:rFonts w:asciiTheme="majorBidi" w:hAnsiTheme="majorBidi" w:cstheme="majorBidi"/>
        </w:rPr>
        <w:t xml:space="preserve"> single tooth</w:t>
      </w:r>
      <w:r w:rsidRPr="00DC700F">
        <w:rPr>
          <w:rFonts w:asciiTheme="majorBidi" w:hAnsiTheme="majorBidi" w:cstheme="majorBidi"/>
        </w:rPr>
        <w:t xml:space="preserve"> extraction of primary o</w:t>
      </w:r>
      <w:r w:rsidR="001E46C0" w:rsidRPr="00DC700F">
        <w:rPr>
          <w:rFonts w:asciiTheme="majorBidi" w:hAnsiTheme="majorBidi" w:cstheme="majorBidi"/>
        </w:rPr>
        <w:t xml:space="preserve">r </w:t>
      </w:r>
      <w:r w:rsidRPr="00DC700F">
        <w:rPr>
          <w:rFonts w:asciiTheme="majorBidi" w:hAnsiTheme="majorBidi" w:cstheme="majorBidi"/>
        </w:rPr>
        <w:t>permanent dentition.</w:t>
      </w:r>
    </w:p>
    <w:p w14:paraId="4064929A" w14:textId="1E8D9A6E" w:rsidR="000B0A79" w:rsidRPr="00DC700F" w:rsidRDefault="000B0A79" w:rsidP="00DE1721">
      <w:pPr>
        <w:pStyle w:val="ListParagraph"/>
        <w:numPr>
          <w:ilvl w:val="0"/>
          <w:numId w:val="1"/>
        </w:numPr>
        <w:spacing w:line="480" w:lineRule="auto"/>
        <w:rPr>
          <w:rFonts w:asciiTheme="majorBidi" w:hAnsiTheme="majorBidi" w:cstheme="majorBidi"/>
        </w:rPr>
      </w:pPr>
      <w:r w:rsidRPr="00DC700F">
        <w:rPr>
          <w:rFonts w:asciiTheme="majorBidi" w:hAnsiTheme="majorBidi" w:cstheme="majorBidi"/>
        </w:rPr>
        <w:t>Patient will receiving simultaneous implant placement after the extraction immediately</w:t>
      </w:r>
      <w:r w:rsidR="001E46C0" w:rsidRPr="00DC700F">
        <w:rPr>
          <w:rFonts w:asciiTheme="majorBidi" w:hAnsiTheme="majorBidi" w:cstheme="majorBidi"/>
        </w:rPr>
        <w:t>.</w:t>
      </w:r>
    </w:p>
    <w:p w14:paraId="4B18A01D" w14:textId="4469812E" w:rsidR="000B0A79" w:rsidRPr="00DC700F" w:rsidRDefault="001E46C0" w:rsidP="00DE1721">
      <w:pPr>
        <w:pStyle w:val="ListParagraph"/>
        <w:numPr>
          <w:ilvl w:val="0"/>
          <w:numId w:val="1"/>
        </w:numPr>
        <w:spacing w:line="480" w:lineRule="auto"/>
        <w:rPr>
          <w:rFonts w:asciiTheme="majorBidi" w:hAnsiTheme="majorBidi" w:cstheme="majorBidi"/>
        </w:rPr>
      </w:pPr>
      <w:r w:rsidRPr="00DC700F">
        <w:rPr>
          <w:rFonts w:asciiTheme="majorBidi" w:hAnsiTheme="majorBidi" w:cstheme="majorBidi"/>
        </w:rPr>
        <w:t>Patient included in this evaluation are 18 and older.</w:t>
      </w:r>
    </w:p>
    <w:p w14:paraId="37ED9339" w14:textId="05D80EBE" w:rsidR="001E46C0" w:rsidRPr="00DC700F" w:rsidRDefault="001E46C0" w:rsidP="00DE1721">
      <w:pPr>
        <w:pStyle w:val="ListParagraph"/>
        <w:numPr>
          <w:ilvl w:val="0"/>
          <w:numId w:val="1"/>
        </w:numPr>
        <w:spacing w:line="480" w:lineRule="auto"/>
        <w:rPr>
          <w:rFonts w:asciiTheme="majorBidi" w:hAnsiTheme="majorBidi" w:cstheme="majorBidi"/>
        </w:rPr>
      </w:pPr>
      <w:r w:rsidRPr="00DC700F">
        <w:rPr>
          <w:rFonts w:asciiTheme="majorBidi" w:hAnsiTheme="majorBidi" w:cstheme="majorBidi"/>
        </w:rPr>
        <w:t>Presence of periapical / bitewings radiographs for evaluation during the proposed phases.</w:t>
      </w:r>
    </w:p>
    <w:p w14:paraId="21B84D1D" w14:textId="1B2D4DF3" w:rsidR="001E46C0" w:rsidRPr="00DC700F" w:rsidRDefault="001E46C0" w:rsidP="00DE1721">
      <w:pPr>
        <w:pStyle w:val="ListParagraph"/>
        <w:numPr>
          <w:ilvl w:val="0"/>
          <w:numId w:val="1"/>
        </w:numPr>
        <w:spacing w:line="480" w:lineRule="auto"/>
        <w:rPr>
          <w:rFonts w:asciiTheme="majorBidi" w:hAnsiTheme="majorBidi" w:cstheme="majorBidi"/>
        </w:rPr>
      </w:pPr>
      <w:r w:rsidRPr="00DC700F">
        <w:rPr>
          <w:rFonts w:asciiTheme="majorBidi" w:hAnsiTheme="majorBidi" w:cstheme="majorBidi"/>
        </w:rPr>
        <w:lastRenderedPageBreak/>
        <w:t>Implant information from manufacture, width, and length are available (For radiographic measurement calibration)</w:t>
      </w:r>
    </w:p>
    <w:p w14:paraId="5A0D590F" w14:textId="3CFB31AD" w:rsidR="001E46C0" w:rsidRPr="00DC700F" w:rsidRDefault="001E46C0" w:rsidP="00DE1721">
      <w:pPr>
        <w:pStyle w:val="ListParagraph"/>
        <w:numPr>
          <w:ilvl w:val="0"/>
          <w:numId w:val="1"/>
        </w:numPr>
        <w:spacing w:line="480" w:lineRule="auto"/>
        <w:rPr>
          <w:rFonts w:asciiTheme="majorBidi" w:hAnsiTheme="majorBidi" w:cstheme="majorBidi"/>
        </w:rPr>
      </w:pPr>
      <w:r w:rsidRPr="00DC700F">
        <w:rPr>
          <w:rFonts w:asciiTheme="majorBidi" w:hAnsiTheme="majorBidi" w:cstheme="majorBidi"/>
        </w:rPr>
        <w:t xml:space="preserve">Presence of adjacent dentition. </w:t>
      </w:r>
    </w:p>
    <w:p w14:paraId="1DA9AD71" w14:textId="2DA21109" w:rsidR="001E46C0" w:rsidRPr="00DC700F" w:rsidRDefault="001E46C0" w:rsidP="00DE1721">
      <w:pPr>
        <w:pStyle w:val="ListParagraph"/>
        <w:numPr>
          <w:ilvl w:val="0"/>
          <w:numId w:val="1"/>
        </w:numPr>
        <w:spacing w:line="480" w:lineRule="auto"/>
        <w:rPr>
          <w:rFonts w:asciiTheme="majorBidi" w:hAnsiTheme="majorBidi" w:cstheme="majorBidi"/>
        </w:rPr>
      </w:pPr>
      <w:r w:rsidRPr="00DC700F">
        <w:rPr>
          <w:rFonts w:asciiTheme="majorBidi" w:hAnsiTheme="majorBidi" w:cstheme="majorBidi"/>
        </w:rPr>
        <w:t xml:space="preserve">Bone, and tissue level implants. </w:t>
      </w:r>
    </w:p>
    <w:p w14:paraId="70185C34" w14:textId="335A1ADD" w:rsidR="000B0A79" w:rsidRPr="00DC700F" w:rsidRDefault="000B0A79" w:rsidP="00DE1721">
      <w:pPr>
        <w:spacing w:line="480" w:lineRule="auto"/>
        <w:rPr>
          <w:rFonts w:asciiTheme="majorBidi" w:hAnsiTheme="majorBidi" w:cstheme="majorBidi"/>
        </w:rPr>
      </w:pPr>
      <w:r w:rsidRPr="00DC700F">
        <w:rPr>
          <w:rFonts w:asciiTheme="majorBidi" w:hAnsiTheme="majorBidi" w:cstheme="majorBidi"/>
        </w:rPr>
        <w:t>Exclusion Criteria:</w:t>
      </w:r>
    </w:p>
    <w:p w14:paraId="0D39CF62" w14:textId="2431CB48" w:rsidR="001E46C0" w:rsidRPr="00DC700F" w:rsidRDefault="001E46C0" w:rsidP="00DE1721">
      <w:pPr>
        <w:pStyle w:val="ListParagraph"/>
        <w:numPr>
          <w:ilvl w:val="0"/>
          <w:numId w:val="2"/>
        </w:numPr>
        <w:spacing w:line="480" w:lineRule="auto"/>
        <w:rPr>
          <w:rFonts w:asciiTheme="majorBidi" w:hAnsiTheme="majorBidi" w:cstheme="majorBidi"/>
        </w:rPr>
      </w:pPr>
      <w:r w:rsidRPr="00DC700F">
        <w:rPr>
          <w:rFonts w:asciiTheme="majorBidi" w:hAnsiTheme="majorBidi" w:cstheme="majorBidi"/>
        </w:rPr>
        <w:t>Full arch restoration.</w:t>
      </w:r>
    </w:p>
    <w:p w14:paraId="1457EBD3" w14:textId="382D335E" w:rsidR="001E46C0" w:rsidRPr="00DC700F" w:rsidRDefault="001E46C0" w:rsidP="00DE1721">
      <w:pPr>
        <w:pStyle w:val="ListParagraph"/>
        <w:numPr>
          <w:ilvl w:val="0"/>
          <w:numId w:val="2"/>
        </w:numPr>
        <w:spacing w:line="480" w:lineRule="auto"/>
        <w:rPr>
          <w:rFonts w:asciiTheme="majorBidi" w:hAnsiTheme="majorBidi" w:cstheme="majorBidi"/>
        </w:rPr>
      </w:pPr>
      <w:r w:rsidRPr="00DC700F">
        <w:rPr>
          <w:rFonts w:asciiTheme="majorBidi" w:hAnsiTheme="majorBidi" w:cstheme="majorBidi"/>
        </w:rPr>
        <w:t>Multiple adjacent implants.</w:t>
      </w:r>
    </w:p>
    <w:p w14:paraId="0B0697A0" w14:textId="366ABEF9" w:rsidR="001E46C0" w:rsidRPr="00DC700F" w:rsidRDefault="001E46C0" w:rsidP="00DE1721">
      <w:pPr>
        <w:pStyle w:val="ListParagraph"/>
        <w:numPr>
          <w:ilvl w:val="0"/>
          <w:numId w:val="2"/>
        </w:numPr>
        <w:spacing w:line="480" w:lineRule="auto"/>
        <w:rPr>
          <w:rFonts w:asciiTheme="majorBidi" w:hAnsiTheme="majorBidi" w:cstheme="majorBidi"/>
        </w:rPr>
      </w:pPr>
      <w:r w:rsidRPr="00DC700F">
        <w:rPr>
          <w:rFonts w:asciiTheme="majorBidi" w:hAnsiTheme="majorBidi" w:cstheme="majorBidi"/>
        </w:rPr>
        <w:t>Poor documentation (Crown/Implant junction is not visible).</w:t>
      </w:r>
    </w:p>
    <w:p w14:paraId="431FCF91" w14:textId="68412ECA" w:rsidR="001E46C0" w:rsidRPr="00DC700F" w:rsidRDefault="001E46C0" w:rsidP="00DE1721">
      <w:pPr>
        <w:pStyle w:val="ListParagraph"/>
        <w:numPr>
          <w:ilvl w:val="0"/>
          <w:numId w:val="2"/>
        </w:numPr>
        <w:spacing w:line="480" w:lineRule="auto"/>
        <w:rPr>
          <w:rFonts w:asciiTheme="majorBidi" w:hAnsiTheme="majorBidi" w:cstheme="majorBidi"/>
        </w:rPr>
      </w:pPr>
      <w:r w:rsidRPr="00DC700F">
        <w:rPr>
          <w:rFonts w:asciiTheme="majorBidi" w:hAnsiTheme="majorBidi" w:cstheme="majorBidi"/>
        </w:rPr>
        <w:t>Lack of follow up x-rays/Impression or final delivery.</w:t>
      </w:r>
    </w:p>
    <w:p w14:paraId="31482628" w14:textId="1EB4BEDE" w:rsidR="001E46C0" w:rsidRPr="00DC700F" w:rsidRDefault="001E46C0" w:rsidP="00DE1721">
      <w:pPr>
        <w:pStyle w:val="ListParagraph"/>
        <w:numPr>
          <w:ilvl w:val="0"/>
          <w:numId w:val="2"/>
        </w:numPr>
        <w:spacing w:line="480" w:lineRule="auto"/>
        <w:rPr>
          <w:rFonts w:asciiTheme="majorBidi" w:hAnsiTheme="majorBidi" w:cstheme="majorBidi"/>
        </w:rPr>
      </w:pPr>
      <w:r w:rsidRPr="00DC700F">
        <w:rPr>
          <w:rFonts w:asciiTheme="majorBidi" w:hAnsiTheme="majorBidi" w:cstheme="majorBidi"/>
        </w:rPr>
        <w:t>Implant that underwent peri-implantitis treatment.</w:t>
      </w:r>
    </w:p>
    <w:p w14:paraId="023526F6" w14:textId="5C360042" w:rsidR="001E46C0" w:rsidRPr="00DC700F" w:rsidRDefault="001E46C0" w:rsidP="00DE1721">
      <w:pPr>
        <w:pStyle w:val="ListParagraph"/>
        <w:numPr>
          <w:ilvl w:val="0"/>
          <w:numId w:val="2"/>
        </w:numPr>
        <w:spacing w:line="480" w:lineRule="auto"/>
        <w:rPr>
          <w:rFonts w:asciiTheme="majorBidi" w:hAnsiTheme="majorBidi" w:cstheme="majorBidi"/>
        </w:rPr>
      </w:pPr>
      <w:r w:rsidRPr="00DC700F">
        <w:rPr>
          <w:rFonts w:asciiTheme="majorBidi" w:hAnsiTheme="majorBidi" w:cstheme="majorBidi"/>
        </w:rPr>
        <w:t xml:space="preserve">Sites were previously treated due implant failures. </w:t>
      </w:r>
    </w:p>
    <w:p w14:paraId="0BA7723D" w14:textId="0094D755" w:rsidR="000B0A79" w:rsidRPr="00E229C9" w:rsidRDefault="000B0A79" w:rsidP="00DE1721">
      <w:pPr>
        <w:spacing w:line="480" w:lineRule="auto"/>
        <w:rPr>
          <w:rFonts w:asciiTheme="majorBidi" w:hAnsiTheme="majorBidi" w:cstheme="majorBidi"/>
          <w:i/>
          <w:iCs/>
        </w:rPr>
      </w:pPr>
      <w:r w:rsidRPr="00E229C9">
        <w:rPr>
          <w:rFonts w:asciiTheme="majorBidi" w:hAnsiTheme="majorBidi" w:cstheme="majorBidi"/>
          <w:i/>
          <w:iCs/>
        </w:rPr>
        <w:t>Data Collection</w:t>
      </w:r>
    </w:p>
    <w:p w14:paraId="0DE36901" w14:textId="062EA9B0" w:rsidR="00B14FEB" w:rsidRPr="00DC700F" w:rsidRDefault="00B14FEB" w:rsidP="00DE1721">
      <w:pPr>
        <w:spacing w:line="480" w:lineRule="auto"/>
        <w:rPr>
          <w:rFonts w:asciiTheme="majorBidi" w:hAnsiTheme="majorBidi" w:cstheme="majorBidi"/>
        </w:rPr>
      </w:pPr>
      <w:r>
        <w:rPr>
          <w:rFonts w:asciiTheme="majorBidi" w:hAnsiTheme="majorBidi" w:cstheme="majorBidi"/>
        </w:rPr>
        <w:tab/>
        <w:t xml:space="preserve">Axium data was filtered and extracted for patient underwent extraction/surgical extraction and immediate implant placement in the same visit. Data was extracted using these codes </w:t>
      </w:r>
      <w:r w:rsidRPr="00B14FEB">
        <w:rPr>
          <w:rFonts w:asciiTheme="majorBidi" w:hAnsiTheme="majorBidi" w:cstheme="majorBidi"/>
        </w:rPr>
        <w:t>D7210 surgical removal or D7140 extraction and D6010</w:t>
      </w:r>
      <w:r>
        <w:rPr>
          <w:rFonts w:asciiTheme="majorBidi" w:hAnsiTheme="majorBidi" w:cstheme="majorBidi"/>
        </w:rPr>
        <w:t xml:space="preserve"> for the implant placement. Then each chart was reviewed and filtered based on the inclusion criteria. Relevant patient information was collected, which include patient age, gender, site require extraction, implant brand, implant length, implant diameter and loading status at the implant placement stage (Cover screw, healing abutment, custom healing abutment, or temporary crown). Then data was evaluated in details and x-rays was reviewed to calculate the peri-implant bone level at the implant placement (T0), 3 months follow up (T1), at the impression appointment (T2), after the delivery of the prosthesis </w:t>
      </w:r>
      <w:r>
        <w:rPr>
          <w:rFonts w:asciiTheme="majorBidi" w:hAnsiTheme="majorBidi" w:cstheme="majorBidi"/>
        </w:rPr>
        <w:lastRenderedPageBreak/>
        <w:t>(T</w:t>
      </w:r>
      <w:r w:rsidR="00F22A35">
        <w:rPr>
          <w:rFonts w:asciiTheme="majorBidi" w:hAnsiTheme="majorBidi" w:cstheme="majorBidi"/>
        </w:rPr>
        <w:t>3</w:t>
      </w:r>
      <w:r>
        <w:rPr>
          <w:rFonts w:asciiTheme="majorBidi" w:hAnsiTheme="majorBidi" w:cstheme="majorBidi"/>
        </w:rPr>
        <w:t>) and follow of the prosthesis if applicable (T</w:t>
      </w:r>
      <w:r w:rsidR="00F22A35">
        <w:rPr>
          <w:rFonts w:asciiTheme="majorBidi" w:hAnsiTheme="majorBidi" w:cstheme="majorBidi"/>
        </w:rPr>
        <w:t>4</w:t>
      </w:r>
      <w:r>
        <w:rPr>
          <w:rFonts w:asciiTheme="majorBidi" w:hAnsiTheme="majorBidi" w:cstheme="majorBidi"/>
        </w:rPr>
        <w:t>). Implant failure was identified as the removal, loss of the implant due to loss of osteointegration (n=</w:t>
      </w:r>
      <w:r w:rsidR="00564665">
        <w:rPr>
          <w:rFonts w:asciiTheme="majorBidi" w:hAnsiTheme="majorBidi" w:cstheme="majorBidi"/>
        </w:rPr>
        <w:t>16) (Albrektsson 2014)</w:t>
      </w:r>
    </w:p>
    <w:p w14:paraId="1AF4E01C" w14:textId="35F9D5A1" w:rsidR="000B0A79" w:rsidRPr="00E229C9" w:rsidRDefault="00E229C9" w:rsidP="00DE1721">
      <w:pPr>
        <w:spacing w:line="480" w:lineRule="auto"/>
        <w:rPr>
          <w:rFonts w:asciiTheme="majorBidi" w:hAnsiTheme="majorBidi" w:cstheme="majorBidi"/>
          <w:i/>
          <w:iCs/>
        </w:rPr>
      </w:pPr>
      <w:r w:rsidRPr="00E229C9">
        <w:rPr>
          <w:rFonts w:asciiTheme="majorBidi" w:hAnsiTheme="majorBidi" w:cstheme="majorBidi"/>
          <w:i/>
          <w:iCs/>
        </w:rPr>
        <w:t>Measurement of crestal bone levels</w:t>
      </w:r>
    </w:p>
    <w:p w14:paraId="5547B24B" w14:textId="401E4FEA" w:rsidR="00564665" w:rsidRPr="00DC700F" w:rsidRDefault="00564665" w:rsidP="00DE1721">
      <w:pPr>
        <w:spacing w:line="480" w:lineRule="auto"/>
        <w:rPr>
          <w:rFonts w:asciiTheme="majorBidi" w:hAnsiTheme="majorBidi" w:cstheme="majorBidi"/>
        </w:rPr>
      </w:pPr>
      <w:r>
        <w:rPr>
          <w:rFonts w:asciiTheme="majorBidi" w:hAnsiTheme="majorBidi" w:cstheme="majorBidi"/>
        </w:rPr>
        <w:tab/>
        <w:t>The measurements were completed utilizing Image J – Free software to measure the peri-implant bone level during the periods mentioned above. Implant length, or diameter was utilized to calibrate the measurements. Peri-implant bone level measured at T0, T1, T2, T3, T4</w:t>
      </w:r>
      <w:r w:rsidR="00F22A35">
        <w:rPr>
          <w:rFonts w:asciiTheme="majorBidi" w:hAnsiTheme="majorBidi" w:cstheme="majorBidi"/>
        </w:rPr>
        <w:t xml:space="preserve"> </w:t>
      </w:r>
      <w:r>
        <w:rPr>
          <w:rFonts w:asciiTheme="majorBidi" w:hAnsiTheme="majorBidi" w:cstheme="majorBidi"/>
        </w:rPr>
        <w:t xml:space="preserve">at the mesial and the distal aspect of the implant from the fixture level to the bone level surrounding the implant. In this review there is not clinical input from the status of the implant or other factors such as the shape of the final prosthesis in 3D format or the soft tissue thickness/quality around the implant.  </w:t>
      </w:r>
    </w:p>
    <w:p w14:paraId="52CB695B" w14:textId="5CF317B2" w:rsidR="000B0A79" w:rsidRPr="00E229C9" w:rsidRDefault="00E229C9" w:rsidP="00DE1721">
      <w:pPr>
        <w:spacing w:line="480" w:lineRule="auto"/>
        <w:rPr>
          <w:rFonts w:asciiTheme="majorBidi" w:hAnsiTheme="majorBidi" w:cstheme="majorBidi"/>
          <w:i/>
          <w:iCs/>
        </w:rPr>
      </w:pPr>
      <w:r w:rsidRPr="00E229C9">
        <w:rPr>
          <w:rFonts w:asciiTheme="majorBidi" w:hAnsiTheme="majorBidi" w:cstheme="majorBidi"/>
          <w:i/>
          <w:iCs/>
        </w:rPr>
        <w:t>Determination of restorative angle</w:t>
      </w:r>
    </w:p>
    <w:p w14:paraId="73A6FA89" w14:textId="0374B0C4" w:rsidR="00564665" w:rsidRPr="00DC700F" w:rsidRDefault="00564665" w:rsidP="00DE1721">
      <w:pPr>
        <w:spacing w:line="480" w:lineRule="auto"/>
        <w:rPr>
          <w:rFonts w:asciiTheme="majorBidi" w:hAnsiTheme="majorBidi" w:cstheme="majorBidi"/>
        </w:rPr>
      </w:pPr>
      <w:r>
        <w:rPr>
          <w:rFonts w:asciiTheme="majorBidi" w:hAnsiTheme="majorBidi" w:cstheme="majorBidi"/>
        </w:rPr>
        <w:tab/>
        <w:t xml:space="preserve">The measurements were completed on both Mesial and distal aspect of the final prosthesis emergence angle utilizing Image J – Free software. </w:t>
      </w:r>
      <w:r w:rsidR="00DE1721">
        <w:rPr>
          <w:rFonts w:asciiTheme="majorBidi" w:hAnsiTheme="majorBidi" w:cstheme="majorBidi"/>
        </w:rPr>
        <w:t xml:space="preserve">REA was measured utilizing the implant platform as base point </w:t>
      </w:r>
      <w:r w:rsidR="00AF5ABF">
        <w:rPr>
          <w:rFonts w:asciiTheme="majorBidi" w:hAnsiTheme="majorBidi" w:cstheme="majorBidi"/>
        </w:rPr>
        <w:fldChar w:fldCharType="begin"/>
      </w:r>
      <w:r w:rsidR="00AF5ABF">
        <w:rPr>
          <w:rFonts w:asciiTheme="majorBidi" w:hAnsiTheme="majorBidi" w:cstheme="majorBidi"/>
        </w:rPr>
        <w:instrText xml:space="preserve"> ADDIN ZOTERO_ITEM CSL_CITATION {"citationID":"EN4Bz2Lx","properties":{"formattedCitation":"(Misch et al., 2025)","plainCitation":"(Misch et al., 2025)","noteIndex":0},"citationItems":[{"id":55,"uris":["http://zotero.org/users/local/uf8AnBMd/items/W7LZD3JR"],"itemData":{"id":55,"type":"article-journal","abstract":"INTRODUCTION: This study aimed to investigate the combined effect of trans-mucosal abutment height (TmAH) and restorative emergence angle (REA) on marginal bone loss (MBL) around bone-level implants.\nMETHODS: Implant radiographs 12-18 months after crown placement (T0) and at least one year later (T1) were retrospectively analyzed. Sites were separated into four groups: Long/Narrow-Angle (LN) with TmAH &gt; 2 mm and REA &lt; 30°, Long/Wide-Angle (LW) with TmAH &gt; 2 mm and REA ≥ 30°, Short/Narrow-Angle (SN) with TmAH &lt; 2 mm and REA &lt; 30°, and Short/Wide-Angle (SW) with TmAH &lt; 2 mm and REA ≥ 30°. MBL was calculated, and multiple linear regression analysis was performed to control for patient-level and implant/prosthesis-level factors.\nRESULTS: 192 implants pertaining to 119 patients were included. Group significantly influenced MBL experience (p &lt; 0.001). Group SW experienced on average 0.48 mm (95% CI: 0.25-0.71, p &lt; 0.001), 0.43 mm (95% CI: 0.18-0.68, p = 0.001), and 0.25 mm (95% CI: 0.00-0.45, p = 0.013) greater MBL compared to Groups LN, LW, and SN, respectively. Group was also a significant factor impacting the development of peri-implantitis (p = 0.041), with Group SW displaying a roughly 4× greater likelihood of having peri-implantitis (PI) diagnosed compared to Groups LN (OR: 4.04; p = 0.091) and LW (OR: 4.19; p = 0.013). Every 1 mm increase in TmAH significantly decreased the likelihood of MBL &gt; 0 mm (OR = 0.63; p = 0.003).\nCONCLUSIONS: Abutment height &gt; 2 mm may play a role in reducing PI and MBL related to ≥ 30° REA around bone-level implants. REA was found to only be a significant factor when TmAH is less than 2 mm.","container-title":"Clinical Oral Implants Research","DOI":"10.1111/clr.14408","ISSN":"1600-0501","issue":"5","journalAbbreviation":"Clin Oral Implants Res","language":"eng","note":"PMID: 39927705\nPMCID: PMC12066925","page":"600-612","source":"PubMed","title":"Combined Effect of Abutment Height and Restoration Emergence Angle on Peri-Implant Bone Loss Progression: A Retrospective Analysis","title-short":"Combined Effect of Abutment Height and Restoration Emergence Angle on Peri-Implant Bone Loss Progression","volume":"36","author":[{"family":"Misch","given":"Jonathan"},{"family":"Abu-Reyal","given":"Sawsan"},{"family":"Lohana","given":"Danyal"},{"family":"Mandil","given":"Obada"},{"family":"Saleh","given":"Muhammad H. A."},{"family":"Li","given":"Junying"},{"family":"Wang","given":"Hom-Lay"},{"family":"Ravidà","given":"Andrea"}],"issued":{"date-parts":[["2025",5]]}}}],"schema":"https://github.com/citation-style-language/schema/raw/master/csl-citation.json"} </w:instrText>
      </w:r>
      <w:r w:rsidR="00AF5ABF">
        <w:rPr>
          <w:rFonts w:asciiTheme="majorBidi" w:hAnsiTheme="majorBidi" w:cstheme="majorBidi"/>
        </w:rPr>
        <w:fldChar w:fldCharType="separate"/>
      </w:r>
      <w:r w:rsidR="00AF5ABF">
        <w:rPr>
          <w:rFonts w:asciiTheme="majorBidi" w:hAnsiTheme="majorBidi" w:cstheme="majorBidi"/>
          <w:noProof/>
        </w:rPr>
        <w:t>(Misch et al., 2025)</w:t>
      </w:r>
      <w:r w:rsidR="00AF5ABF">
        <w:rPr>
          <w:rFonts w:asciiTheme="majorBidi" w:hAnsiTheme="majorBidi" w:cstheme="majorBidi"/>
        </w:rPr>
        <w:fldChar w:fldCharType="end"/>
      </w:r>
      <w:r w:rsidR="00DE1721">
        <w:rPr>
          <w:rFonts w:asciiTheme="majorBidi" w:hAnsiTheme="majorBidi" w:cstheme="majorBidi"/>
        </w:rPr>
        <w:t xml:space="preserve">. Those finding grouped into two main categories based on the REA value which being greater than 30 degrees or less than 30 degrees. </w:t>
      </w:r>
    </w:p>
    <w:p w14:paraId="01DD6A26" w14:textId="2E0F726C" w:rsidR="000B0A79" w:rsidRDefault="000B0A79" w:rsidP="00DE1721">
      <w:pPr>
        <w:spacing w:line="480" w:lineRule="auto"/>
        <w:rPr>
          <w:rFonts w:asciiTheme="majorBidi" w:hAnsiTheme="majorBidi" w:cstheme="majorBidi"/>
        </w:rPr>
      </w:pPr>
      <w:r w:rsidRPr="00DC700F">
        <w:rPr>
          <w:rFonts w:asciiTheme="majorBidi" w:hAnsiTheme="majorBidi" w:cstheme="majorBidi"/>
        </w:rPr>
        <w:t>Statistical analysis:</w:t>
      </w:r>
    </w:p>
    <w:p w14:paraId="0EDCBEF7" w14:textId="58E1E1B2" w:rsidR="00DE1721" w:rsidRPr="00DC700F" w:rsidRDefault="00DE1721" w:rsidP="00DE1721">
      <w:pPr>
        <w:spacing w:line="480" w:lineRule="auto"/>
        <w:rPr>
          <w:rFonts w:asciiTheme="majorBidi" w:hAnsiTheme="majorBidi" w:cstheme="majorBidi"/>
        </w:rPr>
      </w:pPr>
      <w:r>
        <w:rPr>
          <w:rFonts w:asciiTheme="majorBidi" w:hAnsiTheme="majorBidi" w:cstheme="majorBidi"/>
        </w:rPr>
        <w:tab/>
        <w:t xml:space="preserve">The primary objective of this retrospective review is to evaluate the peri-implant level changes during different period time frames (T0, T1, T2, T3, </w:t>
      </w:r>
      <w:r w:rsidR="00F22A35">
        <w:rPr>
          <w:rFonts w:asciiTheme="majorBidi" w:hAnsiTheme="majorBidi" w:cstheme="majorBidi"/>
        </w:rPr>
        <w:t>and T4</w:t>
      </w:r>
      <w:r>
        <w:rPr>
          <w:rFonts w:asciiTheme="majorBidi" w:hAnsiTheme="majorBidi" w:cstheme="majorBidi"/>
        </w:rPr>
        <w:t xml:space="preserve">). The secondary goal is to calculate the REA and investigate the impact this value has on the peri-implant bone level around dental implants. </w:t>
      </w:r>
    </w:p>
    <w:p w14:paraId="56C9E5A5" w14:textId="77777777" w:rsidR="000B0A79" w:rsidRDefault="000B0A79" w:rsidP="000B0A79"/>
    <w:p w14:paraId="28096DF0" w14:textId="77777777" w:rsidR="00DE1721" w:rsidRDefault="00DE1721" w:rsidP="00845E74"/>
    <w:p w14:paraId="3379FD27" w14:textId="0CCB64C9" w:rsidR="00845E74" w:rsidRPr="00DE1721" w:rsidRDefault="00845E74" w:rsidP="00DE1721">
      <w:pPr>
        <w:spacing w:line="480" w:lineRule="auto"/>
        <w:rPr>
          <w:rFonts w:asciiTheme="majorBidi" w:hAnsiTheme="majorBidi" w:cstheme="majorBidi"/>
          <w:b/>
          <w:bCs/>
        </w:rPr>
      </w:pPr>
      <w:r w:rsidRPr="00DE1721">
        <w:rPr>
          <w:rFonts w:asciiTheme="majorBidi" w:hAnsiTheme="majorBidi" w:cstheme="majorBidi"/>
          <w:b/>
          <w:bCs/>
        </w:rPr>
        <w:lastRenderedPageBreak/>
        <w:t>Results:</w:t>
      </w:r>
    </w:p>
    <w:p w14:paraId="25CA0307" w14:textId="4F65CE55" w:rsidR="00DE1721" w:rsidRPr="00E229C9" w:rsidRDefault="00DE1721" w:rsidP="00DE1721">
      <w:pPr>
        <w:spacing w:line="480" w:lineRule="auto"/>
        <w:rPr>
          <w:rFonts w:asciiTheme="majorBidi" w:hAnsiTheme="majorBidi" w:cstheme="majorBidi"/>
          <w:b/>
          <w:bCs/>
          <w:i/>
          <w:iCs/>
        </w:rPr>
      </w:pPr>
      <w:r w:rsidRPr="00E229C9">
        <w:rPr>
          <w:rFonts w:asciiTheme="majorBidi" w:hAnsiTheme="majorBidi" w:cstheme="majorBidi"/>
          <w:b/>
          <w:bCs/>
          <w:i/>
          <w:iCs/>
        </w:rPr>
        <w:t>Demograph</w:t>
      </w:r>
      <w:r w:rsidR="00E229C9" w:rsidRPr="00E229C9">
        <w:rPr>
          <w:rFonts w:asciiTheme="majorBidi" w:hAnsiTheme="majorBidi" w:cstheme="majorBidi"/>
          <w:b/>
          <w:bCs/>
          <w:i/>
          <w:iCs/>
        </w:rPr>
        <w:t>ics</w:t>
      </w:r>
      <w:r w:rsidR="00E229C9">
        <w:rPr>
          <w:rFonts w:asciiTheme="majorBidi" w:hAnsiTheme="majorBidi" w:cstheme="majorBidi"/>
          <w:b/>
          <w:bCs/>
          <w:i/>
          <w:iCs/>
        </w:rPr>
        <w:t>:</w:t>
      </w:r>
    </w:p>
    <w:p w14:paraId="15197E14" w14:textId="139F9A4A" w:rsidR="00845A02" w:rsidRDefault="00DE1721" w:rsidP="00845A02">
      <w:pPr>
        <w:spacing w:line="480" w:lineRule="auto"/>
        <w:rPr>
          <w:rFonts w:asciiTheme="majorBidi" w:hAnsiTheme="majorBidi" w:cstheme="majorBidi"/>
        </w:rPr>
      </w:pPr>
      <w:r>
        <w:rPr>
          <w:rFonts w:asciiTheme="majorBidi" w:hAnsiTheme="majorBidi" w:cstheme="majorBidi"/>
        </w:rPr>
        <w:t xml:space="preserve">The initial data included 218 </w:t>
      </w:r>
      <w:r w:rsidR="00F22A35">
        <w:rPr>
          <w:rFonts w:asciiTheme="majorBidi" w:hAnsiTheme="majorBidi" w:cstheme="majorBidi"/>
        </w:rPr>
        <w:t>charts</w:t>
      </w:r>
      <w:r>
        <w:rPr>
          <w:rFonts w:asciiTheme="majorBidi" w:hAnsiTheme="majorBidi" w:cstheme="majorBidi"/>
        </w:rPr>
        <w:t xml:space="preserve"> to review (Pertaining </w:t>
      </w:r>
      <w:r w:rsidR="00966C1C">
        <w:rPr>
          <w:rFonts w:asciiTheme="majorBidi" w:hAnsiTheme="majorBidi" w:cstheme="majorBidi"/>
        </w:rPr>
        <w:t xml:space="preserve">to 205 patients, 99 males (45.4%) and 119 females (54.5%) average age for population included 59 </w:t>
      </w:r>
      <w:proofErr w:type="gramStart"/>
      <w:r w:rsidR="00966C1C">
        <w:rPr>
          <w:rFonts w:asciiTheme="majorBidi" w:hAnsiTheme="majorBidi" w:cstheme="majorBidi"/>
        </w:rPr>
        <w:t>year</w:t>
      </w:r>
      <w:proofErr w:type="gramEnd"/>
      <w:r w:rsidR="00966C1C">
        <w:rPr>
          <w:rFonts w:asciiTheme="majorBidi" w:hAnsiTheme="majorBidi" w:cstheme="majorBidi"/>
        </w:rPr>
        <w:t xml:space="preserve"> of age. After the evaluation of each chart and obtaining the x-rays records the remaining total of the population was 155 chart</w:t>
      </w:r>
      <w:r w:rsidR="00F22A35">
        <w:rPr>
          <w:rFonts w:asciiTheme="majorBidi" w:hAnsiTheme="majorBidi" w:cstheme="majorBidi"/>
        </w:rPr>
        <w:t xml:space="preserve">s </w:t>
      </w:r>
      <w:r w:rsidR="00966C1C">
        <w:rPr>
          <w:rFonts w:asciiTheme="majorBidi" w:hAnsiTheme="majorBidi" w:cstheme="majorBidi"/>
        </w:rPr>
        <w:t>that was reviewed. A spreadsheet was created to include chart number, gender, age, medical history, tooth type (A: Anterior, PM: Premolar, M: Molar), implant brand, implant diameter and implant length, loading status (Cover screw, healing abutment, custom healing abutment or temporary crown), then peri-implant bone level values at (T0, T1, T2, T3, T4) and finally the restoration emergency angle.</w:t>
      </w:r>
    </w:p>
    <w:p w14:paraId="6F33F2DD" w14:textId="139D502D" w:rsidR="00DE1721" w:rsidRDefault="00966C1C" w:rsidP="00845A02">
      <w:pPr>
        <w:spacing w:line="480" w:lineRule="auto"/>
        <w:jc w:val="center"/>
        <w:rPr>
          <w:rFonts w:asciiTheme="majorBidi" w:hAnsiTheme="majorBidi" w:cstheme="majorBidi"/>
        </w:rPr>
      </w:pPr>
      <w:r>
        <w:rPr>
          <w:rFonts w:asciiTheme="majorBidi" w:hAnsiTheme="majorBidi" w:cstheme="majorBidi"/>
        </w:rPr>
        <w:t xml:space="preserve"> </w:t>
      </w:r>
      <w:r w:rsidR="00845A02">
        <w:rPr>
          <w:rFonts w:asciiTheme="majorBidi" w:hAnsiTheme="majorBidi" w:cstheme="majorBidi"/>
          <w:noProof/>
        </w:rPr>
        <w:drawing>
          <wp:inline distT="0" distB="0" distL="0" distR="0" wp14:anchorId="2B64E272" wp14:editId="50B8793D">
            <wp:extent cx="2975020" cy="1339403"/>
            <wp:effectExtent l="0" t="0" r="0" b="6985"/>
            <wp:docPr id="1378720598"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5894B0EB" w14:textId="7EA291C0" w:rsidR="00845A02" w:rsidRDefault="00F22A35" w:rsidP="00845A02">
      <w:pPr>
        <w:spacing w:line="480" w:lineRule="auto"/>
        <w:jc w:val="center"/>
        <w:rPr>
          <w:rFonts w:asciiTheme="majorBidi" w:hAnsiTheme="majorBidi" w:cstheme="majorBidi"/>
        </w:rPr>
      </w:pPr>
      <w:r>
        <w:rPr>
          <w:rFonts w:asciiTheme="majorBidi" w:hAnsiTheme="majorBidi" w:cstheme="majorBidi"/>
          <w:noProof/>
        </w:rPr>
        <w:drawing>
          <wp:inline distT="0" distB="0" distL="0" distR="0" wp14:anchorId="3DBE5DC0" wp14:editId="3A8D5EA8">
            <wp:extent cx="6387921" cy="2227580"/>
            <wp:effectExtent l="25400" t="0" r="64135" b="0"/>
            <wp:docPr id="577688366"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3B33FBE9" w14:textId="58FDC8F4" w:rsidR="00F031E3" w:rsidRPr="00CA2D44" w:rsidRDefault="00F031E3" w:rsidP="00F031E3">
      <w:pPr>
        <w:spacing w:before="360" w:after="120" w:line="480" w:lineRule="auto"/>
        <w:outlineLvl w:val="2"/>
        <w:rPr>
          <w:rFonts w:asciiTheme="majorBidi" w:eastAsia="Times New Roman" w:hAnsiTheme="majorBidi" w:cstheme="majorBidi"/>
          <w:b/>
          <w:bCs/>
          <w:kern w:val="0"/>
          <w14:ligatures w14:val="none"/>
        </w:rPr>
      </w:pPr>
      <w:r w:rsidRPr="00F031E3">
        <w:rPr>
          <w:rFonts w:asciiTheme="majorBidi" w:eastAsia="Times New Roman" w:hAnsiTheme="majorBidi" w:cstheme="majorBidi"/>
          <w:b/>
          <w:bCs/>
          <w:kern w:val="0"/>
          <w14:ligatures w14:val="none"/>
        </w:rPr>
        <w:lastRenderedPageBreak/>
        <w:t>Statistical analysis:</w:t>
      </w:r>
    </w:p>
    <w:p w14:paraId="75357222" w14:textId="77777777" w:rsidR="00F031E3" w:rsidRPr="00CA2D44" w:rsidRDefault="00F031E3" w:rsidP="00F031E3">
      <w:pPr>
        <w:spacing w:line="480" w:lineRule="auto"/>
        <w:rPr>
          <w:rFonts w:asciiTheme="majorBidi" w:eastAsia="Times New Roman" w:hAnsiTheme="majorBidi" w:cstheme="majorBidi"/>
          <w:kern w:val="0"/>
          <w14:ligatures w14:val="none"/>
        </w:rPr>
      </w:pPr>
      <w:r w:rsidRPr="00CA2D44">
        <w:rPr>
          <w:rFonts w:asciiTheme="majorBidi" w:eastAsia="Times New Roman" w:hAnsiTheme="majorBidi" w:cstheme="majorBidi"/>
          <w:kern w:val="0"/>
          <w14:ligatures w14:val="none"/>
        </w:rPr>
        <w:t>Data were initially managed and arranged in an Excel sheet (Excel Microsoft Software) and then imported to Stata version 16.1 software (</w:t>
      </w:r>
      <w:proofErr w:type="spellStart"/>
      <w:r w:rsidRPr="00CA2D44">
        <w:rPr>
          <w:rFonts w:asciiTheme="majorBidi" w:eastAsia="Times New Roman" w:hAnsiTheme="majorBidi" w:cstheme="majorBidi"/>
          <w:kern w:val="0"/>
          <w14:ligatures w14:val="none"/>
        </w:rPr>
        <w:t>StataCorp</w:t>
      </w:r>
      <w:proofErr w:type="spellEnd"/>
      <w:r w:rsidRPr="00CA2D44">
        <w:rPr>
          <w:rFonts w:asciiTheme="majorBidi" w:eastAsia="Times New Roman" w:hAnsiTheme="majorBidi" w:cstheme="majorBidi"/>
          <w:kern w:val="0"/>
          <w14:ligatures w14:val="none"/>
        </w:rPr>
        <w:t xml:space="preserve">, </w:t>
      </w:r>
      <w:proofErr w:type="spellStart"/>
      <w:r w:rsidRPr="00CA2D44">
        <w:rPr>
          <w:rFonts w:asciiTheme="majorBidi" w:eastAsia="Times New Roman" w:hAnsiTheme="majorBidi" w:cstheme="majorBidi"/>
          <w:kern w:val="0"/>
          <w14:ligatures w14:val="none"/>
        </w:rPr>
        <w:t>CollegeStation</w:t>
      </w:r>
      <w:proofErr w:type="spellEnd"/>
      <w:r w:rsidRPr="00CA2D44">
        <w:rPr>
          <w:rFonts w:asciiTheme="majorBidi" w:eastAsia="Times New Roman" w:hAnsiTheme="majorBidi" w:cstheme="majorBidi"/>
          <w:kern w:val="0"/>
          <w14:ligatures w14:val="none"/>
        </w:rPr>
        <w:t xml:space="preserve">, TX, USA) for analysis. The imported data were assessed for normal distribution using the Shapiro-Wilk test. The measurement data were expressed as </w:t>
      </w:r>
      <w:r>
        <w:rPr>
          <w:rFonts w:asciiTheme="majorBidi" w:eastAsia="Times New Roman" w:hAnsiTheme="majorBidi" w:cstheme="majorBidi"/>
          <w:kern w:val="0"/>
          <w14:ligatures w14:val="none"/>
        </w:rPr>
        <w:t>mean</w:t>
      </w:r>
      <w:r w:rsidRPr="00CA2D44">
        <w:rPr>
          <w:rFonts w:asciiTheme="majorBidi" w:eastAsia="Times New Roman" w:hAnsiTheme="majorBidi" w:cstheme="majorBidi"/>
          <w:kern w:val="0"/>
          <w14:ligatures w14:val="none"/>
        </w:rPr>
        <w:t> ± </w:t>
      </w:r>
      <w:proofErr w:type="spellStart"/>
      <w:r w:rsidRPr="00CA2D44">
        <w:rPr>
          <w:rFonts w:asciiTheme="majorBidi" w:eastAsia="Times New Roman" w:hAnsiTheme="majorBidi" w:cstheme="majorBidi"/>
          <w:kern w:val="0"/>
          <w14:ligatures w14:val="none"/>
        </w:rPr>
        <w:t>sd</w:t>
      </w:r>
      <w:proofErr w:type="spellEnd"/>
      <w:r w:rsidRPr="00CA2D44">
        <w:rPr>
          <w:rFonts w:asciiTheme="majorBidi" w:eastAsia="Times New Roman" w:hAnsiTheme="majorBidi" w:cstheme="majorBidi"/>
          <w:kern w:val="0"/>
          <w14:ligatures w14:val="none"/>
        </w:rPr>
        <w:t xml:space="preserve"> (“</w:t>
      </w:r>
      <w:proofErr w:type="spellStart"/>
      <w:r w:rsidRPr="00CA2D44">
        <w:rPr>
          <w:rFonts w:asciiTheme="majorBidi" w:eastAsia="Times New Roman" w:hAnsiTheme="majorBidi" w:cstheme="majorBidi"/>
          <w:kern w:val="0"/>
          <w14:ligatures w14:val="none"/>
        </w:rPr>
        <w:t>sd</w:t>
      </w:r>
      <w:proofErr w:type="spellEnd"/>
      <w:r w:rsidRPr="00CA2D44">
        <w:rPr>
          <w:rFonts w:asciiTheme="majorBidi" w:eastAsia="Times New Roman" w:hAnsiTheme="majorBidi" w:cstheme="majorBidi"/>
          <w:kern w:val="0"/>
          <w14:ligatures w14:val="none"/>
        </w:rPr>
        <w:t xml:space="preserve">" was standing for “standard deviation of the sample mean”) if they </w:t>
      </w:r>
      <w:r>
        <w:rPr>
          <w:rFonts w:asciiTheme="majorBidi" w:eastAsia="Times New Roman" w:hAnsiTheme="majorBidi" w:cstheme="majorBidi"/>
          <w:kern w:val="0"/>
          <w14:ligatures w14:val="none"/>
        </w:rPr>
        <w:t>are</w:t>
      </w:r>
      <w:r w:rsidRPr="00CA2D44">
        <w:rPr>
          <w:rFonts w:asciiTheme="majorBidi" w:eastAsia="Times New Roman" w:hAnsiTheme="majorBidi" w:cstheme="majorBidi"/>
          <w:kern w:val="0"/>
          <w14:ligatures w14:val="none"/>
        </w:rPr>
        <w:t xml:space="preserve"> normal</w:t>
      </w:r>
      <w:r>
        <w:rPr>
          <w:rFonts w:asciiTheme="majorBidi" w:eastAsia="Times New Roman" w:hAnsiTheme="majorBidi" w:cstheme="majorBidi"/>
          <w:kern w:val="0"/>
          <w14:ligatures w14:val="none"/>
        </w:rPr>
        <w:t>ly</w:t>
      </w:r>
      <w:r w:rsidRPr="00CA2D44">
        <w:rPr>
          <w:rFonts w:asciiTheme="majorBidi" w:eastAsia="Times New Roman" w:hAnsiTheme="majorBidi" w:cstheme="majorBidi"/>
          <w:kern w:val="0"/>
          <w14:ligatures w14:val="none"/>
        </w:rPr>
        <w:t xml:space="preserve"> distribut</w:t>
      </w:r>
      <w:r>
        <w:rPr>
          <w:rFonts w:asciiTheme="majorBidi" w:eastAsia="Times New Roman" w:hAnsiTheme="majorBidi" w:cstheme="majorBidi"/>
          <w:kern w:val="0"/>
          <w14:ligatures w14:val="none"/>
        </w:rPr>
        <w:t>ed</w:t>
      </w:r>
      <w:r w:rsidRPr="00CA2D44">
        <w:rPr>
          <w:rFonts w:asciiTheme="majorBidi" w:eastAsia="Times New Roman" w:hAnsiTheme="majorBidi" w:cstheme="majorBidi"/>
          <w:kern w:val="0"/>
          <w14:ligatures w14:val="none"/>
        </w:rPr>
        <w:t xml:space="preserve">, the measurement data were expressed as the median and range or interquartile range (IQR) if they </w:t>
      </w:r>
      <w:r>
        <w:rPr>
          <w:rFonts w:asciiTheme="majorBidi" w:eastAsia="Times New Roman" w:hAnsiTheme="majorBidi" w:cstheme="majorBidi"/>
          <w:kern w:val="0"/>
          <w14:ligatures w14:val="none"/>
        </w:rPr>
        <w:t>are not</w:t>
      </w:r>
      <w:r w:rsidRPr="00CA2D44">
        <w:rPr>
          <w:rFonts w:asciiTheme="majorBidi" w:eastAsia="Times New Roman" w:hAnsiTheme="majorBidi" w:cstheme="majorBidi"/>
          <w:kern w:val="0"/>
          <w14:ligatures w14:val="none"/>
        </w:rPr>
        <w:t xml:space="preserve"> normal</w:t>
      </w:r>
      <w:r>
        <w:rPr>
          <w:rFonts w:asciiTheme="majorBidi" w:eastAsia="Times New Roman" w:hAnsiTheme="majorBidi" w:cstheme="majorBidi"/>
          <w:kern w:val="0"/>
          <w14:ligatures w14:val="none"/>
        </w:rPr>
        <w:t>ly</w:t>
      </w:r>
      <w:r w:rsidRPr="00CA2D44">
        <w:rPr>
          <w:rFonts w:asciiTheme="majorBidi" w:eastAsia="Times New Roman" w:hAnsiTheme="majorBidi" w:cstheme="majorBidi"/>
          <w:kern w:val="0"/>
          <w14:ligatures w14:val="none"/>
        </w:rPr>
        <w:t xml:space="preserve"> distribut</w:t>
      </w:r>
      <w:r>
        <w:rPr>
          <w:rFonts w:asciiTheme="majorBidi" w:eastAsia="Times New Roman" w:hAnsiTheme="majorBidi" w:cstheme="majorBidi"/>
          <w:kern w:val="0"/>
          <w14:ligatures w14:val="none"/>
        </w:rPr>
        <w:t>ed</w:t>
      </w:r>
      <w:r w:rsidRPr="00CA2D44">
        <w:rPr>
          <w:rFonts w:asciiTheme="majorBidi" w:eastAsia="Times New Roman" w:hAnsiTheme="majorBidi" w:cstheme="majorBidi"/>
          <w:kern w:val="0"/>
          <w14:ligatures w14:val="none"/>
        </w:rPr>
        <w:t xml:space="preserve">. Baseline (T0) and marginal bone loss difference for (T0-T3) for mesial side were not normally distributed (P &lt; 0.05). </w:t>
      </w:r>
      <w:proofErr w:type="spellStart"/>
      <w:r w:rsidRPr="00CA2D44">
        <w:rPr>
          <w:rFonts w:asciiTheme="majorBidi" w:eastAsia="Times New Roman" w:hAnsiTheme="majorBidi" w:cstheme="majorBidi"/>
          <w:kern w:val="0"/>
          <w14:ligatures w14:val="none"/>
        </w:rPr>
        <w:t>Wilcocxon</w:t>
      </w:r>
      <w:proofErr w:type="spellEnd"/>
      <w:r w:rsidRPr="00CA2D44">
        <w:rPr>
          <w:rFonts w:asciiTheme="majorBidi" w:eastAsia="Times New Roman" w:hAnsiTheme="majorBidi" w:cstheme="majorBidi"/>
          <w:kern w:val="0"/>
          <w14:ligatures w14:val="none"/>
        </w:rPr>
        <w:t xml:space="preserve"> signed rank test was used </w:t>
      </w:r>
      <w:proofErr w:type="spellStart"/>
      <w:r w:rsidRPr="00CA2D44">
        <w:rPr>
          <w:rFonts w:asciiTheme="majorBidi" w:eastAsia="Times New Roman" w:hAnsiTheme="majorBidi" w:cstheme="majorBidi"/>
          <w:kern w:val="0"/>
          <w14:ligatures w14:val="none"/>
        </w:rPr>
        <w:t>used</w:t>
      </w:r>
      <w:proofErr w:type="spellEnd"/>
      <w:r w:rsidRPr="00CA2D44">
        <w:rPr>
          <w:rFonts w:asciiTheme="majorBidi" w:eastAsia="Times New Roman" w:hAnsiTheme="majorBidi" w:cstheme="majorBidi"/>
          <w:kern w:val="0"/>
          <w14:ligatures w14:val="none"/>
        </w:rPr>
        <w:t xml:space="preserve"> to examine the differences between the initial (T0) and follow-up phases of marginal bone loss (T</w:t>
      </w:r>
      <w:proofErr w:type="gramStart"/>
      <w:r w:rsidRPr="00CA2D44">
        <w:rPr>
          <w:rFonts w:asciiTheme="majorBidi" w:eastAsia="Times New Roman" w:hAnsiTheme="majorBidi" w:cstheme="majorBidi"/>
          <w:kern w:val="0"/>
          <w14:ligatures w14:val="none"/>
        </w:rPr>
        <w:t>1,T2,T3,T</w:t>
      </w:r>
      <w:proofErr w:type="gramEnd"/>
      <w:r w:rsidRPr="00CA2D44">
        <w:rPr>
          <w:rFonts w:asciiTheme="majorBidi" w:eastAsia="Times New Roman" w:hAnsiTheme="majorBidi" w:cstheme="majorBidi"/>
          <w:kern w:val="0"/>
          <w14:ligatures w14:val="none"/>
        </w:rPr>
        <w:t xml:space="preserve">4). </w:t>
      </w:r>
      <w:proofErr w:type="spellStart"/>
      <w:r w:rsidRPr="00CA2D44">
        <w:rPr>
          <w:rFonts w:asciiTheme="majorBidi" w:eastAsia="Times New Roman" w:hAnsiTheme="majorBidi" w:cstheme="majorBidi"/>
          <w:kern w:val="0"/>
          <w14:ligatures w14:val="none"/>
        </w:rPr>
        <w:t>Addtionally</w:t>
      </w:r>
      <w:proofErr w:type="spellEnd"/>
      <w:r w:rsidRPr="00CA2D44">
        <w:rPr>
          <w:rFonts w:asciiTheme="majorBidi" w:eastAsia="Times New Roman" w:hAnsiTheme="majorBidi" w:cstheme="majorBidi"/>
          <w:kern w:val="0"/>
          <w14:ligatures w14:val="none"/>
        </w:rPr>
        <w:t xml:space="preserve">, to evaluate changes in bone level from baseline (T0) to the time of restoration delivery (T3), stratified by </w:t>
      </w:r>
      <w:r>
        <w:rPr>
          <w:rFonts w:asciiTheme="majorBidi" w:eastAsia="Times New Roman" w:hAnsiTheme="majorBidi" w:cstheme="majorBidi"/>
          <w:kern w:val="0"/>
          <w14:ligatures w14:val="none"/>
        </w:rPr>
        <w:t xml:space="preserve">restorative </w:t>
      </w:r>
      <w:r w:rsidRPr="00CA2D44">
        <w:rPr>
          <w:rFonts w:asciiTheme="majorBidi" w:eastAsia="Times New Roman" w:hAnsiTheme="majorBidi" w:cstheme="majorBidi"/>
          <w:kern w:val="0"/>
          <w14:ligatures w14:val="none"/>
        </w:rPr>
        <w:t>emergence angle groups (&gt;30° vs. ≤30°), Wilcoxon signed-rank tests were performed separately for mesial and distal sites.</w:t>
      </w:r>
    </w:p>
    <w:p w14:paraId="1E68755E" w14:textId="77777777" w:rsidR="00F031E3" w:rsidRPr="00CA2D44" w:rsidRDefault="00F031E3" w:rsidP="00F031E3">
      <w:pPr>
        <w:spacing w:line="480" w:lineRule="auto"/>
        <w:rPr>
          <w:rFonts w:asciiTheme="majorBidi" w:eastAsia="Times New Roman" w:hAnsiTheme="majorBidi" w:cstheme="majorBidi"/>
          <w:kern w:val="0"/>
          <w14:ligatures w14:val="none"/>
        </w:rPr>
      </w:pPr>
      <w:r w:rsidRPr="00CA2D44">
        <w:rPr>
          <w:rFonts w:asciiTheme="majorBidi" w:eastAsia="Times New Roman" w:hAnsiTheme="majorBidi" w:cstheme="majorBidi"/>
          <w:kern w:val="0"/>
          <w14:ligatures w14:val="none"/>
        </w:rPr>
        <w:t xml:space="preserve">To evaluate difference in MBL between </w:t>
      </w:r>
      <w:r>
        <w:rPr>
          <w:rFonts w:asciiTheme="majorBidi" w:eastAsia="Times New Roman" w:hAnsiTheme="majorBidi" w:cstheme="majorBidi"/>
          <w:kern w:val="0"/>
          <w14:ligatures w14:val="none"/>
        </w:rPr>
        <w:t>REA</w:t>
      </w:r>
      <w:r w:rsidRPr="00CA2D44">
        <w:rPr>
          <w:rFonts w:asciiTheme="majorBidi" w:eastAsia="Times New Roman" w:hAnsiTheme="majorBidi" w:cstheme="majorBidi"/>
          <w:kern w:val="0"/>
          <w14:ligatures w14:val="none"/>
        </w:rPr>
        <w:t xml:space="preserve"> groups (&gt;30° vs. ≤30°) within each specific tooth type and site, an independent t-test was used. One-way ANOVA was used for comparison between multiple groups</w:t>
      </w:r>
      <w:r>
        <w:rPr>
          <w:rFonts w:asciiTheme="majorBidi" w:eastAsia="Times New Roman" w:hAnsiTheme="majorBidi" w:cstheme="majorBidi"/>
          <w:kern w:val="0"/>
          <w14:ligatures w14:val="none"/>
        </w:rPr>
        <w:t xml:space="preserve"> including REA, teeth positions and each site individually</w:t>
      </w:r>
      <w:r w:rsidRPr="00CA2D44">
        <w:rPr>
          <w:rFonts w:asciiTheme="majorBidi" w:eastAsia="Times New Roman" w:hAnsiTheme="majorBidi" w:cstheme="majorBidi"/>
          <w:kern w:val="0"/>
          <w14:ligatures w14:val="none"/>
        </w:rPr>
        <w:t xml:space="preserve">, and if homogeneity of variance was found, the Bonferroni test was used for post hoc multiple comparisons. </w:t>
      </w:r>
      <w:r>
        <w:rPr>
          <w:rFonts w:asciiTheme="majorBidi" w:eastAsia="Times New Roman" w:hAnsiTheme="majorBidi" w:cstheme="majorBidi"/>
          <w:kern w:val="0"/>
          <w14:ligatures w14:val="none"/>
        </w:rPr>
        <w:t xml:space="preserve">Finally, </w:t>
      </w:r>
      <w:r w:rsidRPr="00CA2D44">
        <w:rPr>
          <w:rFonts w:asciiTheme="majorBidi" w:eastAsia="Times New Roman" w:hAnsiTheme="majorBidi" w:cstheme="majorBidi"/>
          <w:kern w:val="0"/>
          <w14:ligatures w14:val="none"/>
        </w:rPr>
        <w:t>Spearman rank correlation analysis was used for correlation analysis. </w:t>
      </w:r>
      <w:r w:rsidRPr="00CA2D44">
        <w:rPr>
          <w:rFonts w:asciiTheme="majorBidi" w:eastAsia="Times New Roman" w:hAnsiTheme="majorBidi" w:cstheme="majorBidi"/>
          <w:i/>
          <w:iCs/>
          <w:kern w:val="0"/>
          <w14:ligatures w14:val="none"/>
        </w:rPr>
        <w:t>P</w:t>
      </w:r>
      <w:r w:rsidRPr="00CA2D44">
        <w:rPr>
          <w:rFonts w:asciiTheme="majorBidi" w:eastAsia="Times New Roman" w:hAnsiTheme="majorBidi" w:cstheme="majorBidi"/>
          <w:kern w:val="0"/>
          <w14:ligatures w14:val="none"/>
        </w:rPr>
        <w:t xml:space="preserve"> &lt; 0.05 </w:t>
      </w:r>
      <w:proofErr w:type="gramStart"/>
      <w:r w:rsidRPr="00CA2D44">
        <w:rPr>
          <w:rFonts w:asciiTheme="majorBidi" w:eastAsia="Times New Roman" w:hAnsiTheme="majorBidi" w:cstheme="majorBidi"/>
          <w:kern w:val="0"/>
          <w14:ligatures w14:val="none"/>
        </w:rPr>
        <w:t>was considered to be</w:t>
      </w:r>
      <w:proofErr w:type="gramEnd"/>
      <w:r w:rsidRPr="00CA2D44">
        <w:rPr>
          <w:rFonts w:asciiTheme="majorBidi" w:eastAsia="Times New Roman" w:hAnsiTheme="majorBidi" w:cstheme="majorBidi"/>
          <w:kern w:val="0"/>
          <w14:ligatures w14:val="none"/>
        </w:rPr>
        <w:t xml:space="preserve"> a statistically significant difference.</w:t>
      </w:r>
    </w:p>
    <w:p w14:paraId="286B6A19" w14:textId="77777777" w:rsidR="00F031E3" w:rsidRPr="00CA2D44" w:rsidRDefault="00F031E3" w:rsidP="00F031E3">
      <w:pPr>
        <w:rPr>
          <w:rFonts w:asciiTheme="majorBidi" w:eastAsia="Times New Roman" w:hAnsiTheme="majorBidi" w:cstheme="majorBidi"/>
          <w:kern w:val="0"/>
          <w14:ligatures w14:val="none"/>
        </w:rPr>
      </w:pPr>
    </w:p>
    <w:p w14:paraId="25048506" w14:textId="77777777" w:rsidR="00F031E3" w:rsidRDefault="00F031E3" w:rsidP="00F031E3">
      <w:pPr>
        <w:pStyle w:val="NormalWeb"/>
        <w:rPr>
          <w:rFonts w:asciiTheme="majorBidi" w:hAnsiTheme="majorBidi" w:cstheme="majorBidi"/>
          <w:b/>
          <w:bCs/>
          <w:color w:val="000000"/>
        </w:rPr>
      </w:pPr>
    </w:p>
    <w:p w14:paraId="0AB6AFBF" w14:textId="77777777" w:rsidR="00F031E3" w:rsidRDefault="00F031E3" w:rsidP="00F031E3">
      <w:pPr>
        <w:pStyle w:val="NormalWeb"/>
        <w:rPr>
          <w:rFonts w:asciiTheme="majorBidi" w:hAnsiTheme="majorBidi" w:cstheme="majorBidi"/>
          <w:b/>
          <w:bCs/>
          <w:color w:val="000000"/>
        </w:rPr>
      </w:pPr>
    </w:p>
    <w:p w14:paraId="1672D63B" w14:textId="77777777" w:rsidR="00F031E3" w:rsidRDefault="00F031E3" w:rsidP="00F031E3">
      <w:pPr>
        <w:pStyle w:val="NormalWeb"/>
        <w:rPr>
          <w:rFonts w:asciiTheme="majorBidi" w:hAnsiTheme="majorBidi" w:cstheme="majorBidi"/>
          <w:b/>
          <w:bCs/>
          <w:color w:val="000000"/>
        </w:rPr>
      </w:pPr>
    </w:p>
    <w:p w14:paraId="50E2603C" w14:textId="6814D24C" w:rsidR="00F031E3" w:rsidRPr="00E229C9" w:rsidRDefault="00E229C9" w:rsidP="00F031E3">
      <w:pPr>
        <w:pStyle w:val="NormalWeb"/>
        <w:spacing w:line="480" w:lineRule="auto"/>
        <w:rPr>
          <w:rFonts w:asciiTheme="majorBidi" w:hAnsiTheme="majorBidi" w:cstheme="majorBidi"/>
          <w:b/>
          <w:bCs/>
          <w:i/>
          <w:iCs/>
          <w:color w:val="000000"/>
        </w:rPr>
      </w:pPr>
      <w:r w:rsidRPr="00E229C9">
        <w:rPr>
          <w:rFonts w:asciiTheme="majorBidi" w:hAnsiTheme="majorBidi" w:cstheme="majorBidi"/>
          <w:b/>
          <w:bCs/>
          <w:i/>
          <w:iCs/>
          <w:color w:val="000000"/>
        </w:rPr>
        <w:lastRenderedPageBreak/>
        <w:t>Crestal bone changes</w:t>
      </w:r>
    </w:p>
    <w:p w14:paraId="5DA645E3" w14:textId="6625BD77" w:rsidR="00F031E3" w:rsidRPr="00F031E3" w:rsidRDefault="00F031E3" w:rsidP="00F031E3">
      <w:pPr>
        <w:pStyle w:val="NormalWeb"/>
        <w:spacing w:line="480" w:lineRule="auto"/>
        <w:rPr>
          <w:rFonts w:asciiTheme="majorBidi" w:hAnsiTheme="majorBidi" w:cstheme="majorBidi"/>
          <w:b/>
          <w:bCs/>
          <w:color w:val="000000"/>
        </w:rPr>
      </w:pPr>
      <w:r w:rsidRPr="00CA2D44">
        <w:rPr>
          <w:rFonts w:asciiTheme="majorBidi" w:hAnsiTheme="majorBidi" w:cstheme="majorBidi"/>
          <w:color w:val="000000"/>
        </w:rPr>
        <w:t xml:space="preserve">The comparison </w:t>
      </w:r>
      <w:r w:rsidRPr="00CA2D44">
        <w:rPr>
          <w:rFonts w:asciiTheme="majorBidi" w:hAnsiTheme="majorBidi" w:cstheme="majorBidi"/>
        </w:rPr>
        <w:t xml:space="preserve">between the MBL measurements between baseline (T0) and subsequent time points (T1–T4) </w:t>
      </w:r>
      <w:r w:rsidRPr="00CA2D44">
        <w:rPr>
          <w:rFonts w:asciiTheme="majorBidi" w:hAnsiTheme="majorBidi" w:cstheme="majorBidi"/>
          <w:color w:val="000000"/>
        </w:rPr>
        <w:t xml:space="preserve">was carried out using </w:t>
      </w:r>
      <w:proofErr w:type="spellStart"/>
      <w:r w:rsidRPr="00CA2D44">
        <w:rPr>
          <w:rFonts w:asciiTheme="majorBidi" w:hAnsiTheme="majorBidi" w:cstheme="majorBidi"/>
        </w:rPr>
        <w:t>wilcoxon</w:t>
      </w:r>
      <w:proofErr w:type="spellEnd"/>
      <w:r w:rsidRPr="00CA2D44">
        <w:rPr>
          <w:rFonts w:asciiTheme="majorBidi" w:hAnsiTheme="majorBidi" w:cstheme="majorBidi"/>
        </w:rPr>
        <w:t xml:space="preserve"> signed-rank test as non-parametric test for all teeth together in Table </w:t>
      </w:r>
      <w:proofErr w:type="gramStart"/>
      <w:r w:rsidRPr="00CA2D44">
        <w:rPr>
          <w:rFonts w:asciiTheme="majorBidi" w:hAnsiTheme="majorBidi" w:cstheme="majorBidi"/>
        </w:rPr>
        <w:t>1..</w:t>
      </w:r>
      <w:proofErr w:type="gramEnd"/>
      <w:r w:rsidRPr="00CA2D44">
        <w:rPr>
          <w:rFonts w:asciiTheme="majorBidi" w:hAnsiTheme="majorBidi" w:cstheme="majorBidi"/>
        </w:rPr>
        <w:t xml:space="preserve"> Paired comparisons of bone levels between baseline (T0) and subsequent follow-up timepoints (T1–T4) revealed a consistent trend of MBL following immediate implant placement. The median MBL from T0 to T1 was </w:t>
      </w:r>
      <w:r w:rsidRPr="00CA2D44">
        <w:rPr>
          <w:rStyle w:val="Strong"/>
          <w:rFonts w:asciiTheme="majorBidi" w:eastAsiaTheme="majorEastAsia" w:hAnsiTheme="majorBidi" w:cstheme="majorBidi"/>
        </w:rPr>
        <w:t>1.00 mm</w:t>
      </w:r>
      <w:r w:rsidRPr="00CA2D44">
        <w:rPr>
          <w:rFonts w:asciiTheme="majorBidi" w:hAnsiTheme="majorBidi" w:cstheme="majorBidi"/>
        </w:rPr>
        <w:t xml:space="preserve"> (IQR: 1.75 mm), increasing to </w:t>
      </w:r>
      <w:r w:rsidRPr="00CA2D44">
        <w:rPr>
          <w:rStyle w:val="Strong"/>
          <w:rFonts w:asciiTheme="majorBidi" w:eastAsiaTheme="majorEastAsia" w:hAnsiTheme="majorBidi" w:cstheme="majorBidi"/>
        </w:rPr>
        <w:t>1.50 mm</w:t>
      </w:r>
      <w:r w:rsidRPr="00CA2D44">
        <w:rPr>
          <w:rFonts w:asciiTheme="majorBidi" w:hAnsiTheme="majorBidi" w:cstheme="majorBidi"/>
        </w:rPr>
        <w:t xml:space="preserve"> (IQR: 1.00 mm) at T2. At the time of restoration delivery (T3), the median MBL reached </w:t>
      </w:r>
      <w:r w:rsidRPr="00CA2D44">
        <w:rPr>
          <w:rStyle w:val="Strong"/>
          <w:rFonts w:asciiTheme="majorBidi" w:eastAsiaTheme="majorEastAsia" w:hAnsiTheme="majorBidi" w:cstheme="majorBidi"/>
        </w:rPr>
        <w:t>2.00 mm</w:t>
      </w:r>
      <w:r w:rsidRPr="00CA2D44">
        <w:rPr>
          <w:rFonts w:asciiTheme="majorBidi" w:hAnsiTheme="majorBidi" w:cstheme="majorBidi"/>
        </w:rPr>
        <w:t xml:space="preserve"> (IQR: 1.50 mm). This value remained stable at the final follow-up (T4) with a median of </w:t>
      </w:r>
      <w:r w:rsidRPr="00CA2D44">
        <w:rPr>
          <w:rStyle w:val="Strong"/>
          <w:rFonts w:asciiTheme="majorBidi" w:eastAsiaTheme="majorEastAsia" w:hAnsiTheme="majorBidi" w:cstheme="majorBidi"/>
        </w:rPr>
        <w:t>2.00 mm</w:t>
      </w:r>
      <w:r w:rsidRPr="00CA2D44">
        <w:rPr>
          <w:rFonts w:asciiTheme="majorBidi" w:hAnsiTheme="majorBidi" w:cstheme="majorBidi"/>
        </w:rPr>
        <w:t xml:space="preserve"> and a slightly wider IQR of </w:t>
      </w:r>
      <w:r w:rsidRPr="00CA2D44">
        <w:rPr>
          <w:rStyle w:val="Strong"/>
          <w:rFonts w:asciiTheme="majorBidi" w:eastAsiaTheme="majorEastAsia" w:hAnsiTheme="majorBidi" w:cstheme="majorBidi"/>
        </w:rPr>
        <w:t>2.00 mm</w:t>
      </w:r>
      <w:r w:rsidRPr="00CA2D44">
        <w:rPr>
          <w:rFonts w:asciiTheme="majorBidi" w:hAnsiTheme="majorBidi" w:cstheme="majorBidi"/>
        </w:rPr>
        <w:t>, indicating increased variability among participants. These results confirm that the observed MBL at each phase was statistically significant compared to baseline.</w:t>
      </w:r>
    </w:p>
    <w:p w14:paraId="4ED3F24D" w14:textId="77777777" w:rsidR="00F031E3" w:rsidRPr="00CA2D44" w:rsidRDefault="00F031E3" w:rsidP="00F031E3">
      <w:pPr>
        <w:pStyle w:val="NormalWeb"/>
        <w:rPr>
          <w:rFonts w:asciiTheme="majorBidi" w:hAnsiTheme="majorBidi" w:cstheme="majorBidi"/>
        </w:rPr>
      </w:pPr>
      <w:r w:rsidRPr="00CA2D44">
        <w:rPr>
          <w:rFonts w:asciiTheme="majorBidi" w:hAnsiTheme="majorBidi" w:cstheme="majorBidi"/>
          <w:color w:val="000000" w:themeColor="text1"/>
        </w:rPr>
        <w:t xml:space="preserve">Table 1: </w:t>
      </w:r>
      <w:r w:rsidRPr="00CA2D44">
        <w:rPr>
          <w:rFonts w:asciiTheme="majorBidi" w:hAnsiTheme="majorBidi" w:cstheme="majorBidi"/>
          <w:b/>
          <w:bCs/>
          <w:color w:val="000000"/>
        </w:rPr>
        <w:t>Marginal Bone Level Changes Over Time</w:t>
      </w:r>
    </w:p>
    <w:tbl>
      <w:tblPr>
        <w:tblStyle w:val="TableGrid"/>
        <w:tblW w:w="0" w:type="auto"/>
        <w:jc w:val="center"/>
        <w:tblLook w:val="04A0" w:firstRow="1" w:lastRow="0" w:firstColumn="1" w:lastColumn="0" w:noHBand="0" w:noVBand="1"/>
      </w:tblPr>
      <w:tblGrid>
        <w:gridCol w:w="3402"/>
        <w:gridCol w:w="2698"/>
        <w:gridCol w:w="1559"/>
      </w:tblGrid>
      <w:tr w:rsidR="00F031E3" w:rsidRPr="00CA2D44" w14:paraId="366FD3CD" w14:textId="77777777" w:rsidTr="0027686B">
        <w:trPr>
          <w:jc w:val="center"/>
        </w:trPr>
        <w:tc>
          <w:tcPr>
            <w:tcW w:w="3402" w:type="dxa"/>
          </w:tcPr>
          <w:p w14:paraId="34035B4D" w14:textId="77777777" w:rsidR="00F031E3" w:rsidRPr="00CA2D44" w:rsidRDefault="00F031E3" w:rsidP="0027686B">
            <w:pPr>
              <w:rPr>
                <w:rFonts w:asciiTheme="majorBidi" w:hAnsiTheme="majorBidi" w:cstheme="majorBidi"/>
                <w:b/>
                <w:bCs/>
                <w:color w:val="000000" w:themeColor="text1"/>
              </w:rPr>
            </w:pPr>
            <w:r w:rsidRPr="00CA2D44">
              <w:rPr>
                <w:rFonts w:asciiTheme="majorBidi" w:hAnsiTheme="majorBidi" w:cstheme="majorBidi"/>
                <w:b/>
                <w:bCs/>
                <w:color w:val="000000" w:themeColor="text1"/>
              </w:rPr>
              <w:t>Parameter</w:t>
            </w:r>
          </w:p>
        </w:tc>
        <w:tc>
          <w:tcPr>
            <w:tcW w:w="2698" w:type="dxa"/>
          </w:tcPr>
          <w:p w14:paraId="7FD25EF4" w14:textId="77777777" w:rsidR="00F031E3" w:rsidRDefault="00F031E3" w:rsidP="0027686B">
            <w:pPr>
              <w:jc w:val="center"/>
              <w:rPr>
                <w:rFonts w:asciiTheme="majorBidi" w:hAnsiTheme="majorBidi" w:cstheme="majorBidi"/>
                <w:b/>
                <w:bCs/>
                <w:color w:val="000000" w:themeColor="text1"/>
              </w:rPr>
            </w:pPr>
            <w:r w:rsidRPr="00CA2D44">
              <w:rPr>
                <w:rFonts w:asciiTheme="majorBidi" w:hAnsiTheme="majorBidi" w:cstheme="majorBidi"/>
                <w:b/>
                <w:bCs/>
                <w:color w:val="000000" w:themeColor="text1"/>
              </w:rPr>
              <w:t>MBL mm</w:t>
            </w:r>
          </w:p>
          <w:p w14:paraId="4491A981" w14:textId="77777777" w:rsidR="00F031E3" w:rsidRPr="00CA2D44" w:rsidRDefault="00F031E3" w:rsidP="0027686B">
            <w:pPr>
              <w:jc w:val="center"/>
              <w:rPr>
                <w:rFonts w:asciiTheme="majorBidi" w:hAnsiTheme="majorBidi" w:cstheme="majorBidi"/>
                <w:b/>
                <w:bCs/>
                <w:color w:val="000000" w:themeColor="text1"/>
              </w:rPr>
            </w:pPr>
            <w:r w:rsidRPr="00CA2D44">
              <w:rPr>
                <w:rFonts w:asciiTheme="majorBidi" w:hAnsiTheme="majorBidi" w:cstheme="majorBidi"/>
                <w:b/>
                <w:bCs/>
                <w:color w:val="000000" w:themeColor="text1"/>
              </w:rPr>
              <w:t>Median (Range)</w:t>
            </w:r>
          </w:p>
        </w:tc>
        <w:tc>
          <w:tcPr>
            <w:tcW w:w="1559" w:type="dxa"/>
          </w:tcPr>
          <w:p w14:paraId="2320A53D" w14:textId="77777777" w:rsidR="00F031E3" w:rsidRPr="00CA2D44" w:rsidRDefault="00F031E3" w:rsidP="0027686B">
            <w:pPr>
              <w:jc w:val="center"/>
              <w:rPr>
                <w:rFonts w:asciiTheme="majorBidi" w:hAnsiTheme="majorBidi" w:cstheme="majorBidi"/>
                <w:b/>
                <w:bCs/>
                <w:color w:val="000000" w:themeColor="text1"/>
              </w:rPr>
            </w:pPr>
            <w:r w:rsidRPr="00CA2D44">
              <w:rPr>
                <w:rFonts w:asciiTheme="majorBidi" w:hAnsiTheme="majorBidi" w:cstheme="majorBidi"/>
                <w:b/>
                <w:bCs/>
                <w:color w:val="000000" w:themeColor="text1"/>
              </w:rPr>
              <w:t>p-value</w:t>
            </w:r>
          </w:p>
        </w:tc>
      </w:tr>
      <w:tr w:rsidR="00F031E3" w:rsidRPr="00CA2D44" w14:paraId="14D3CA7F" w14:textId="77777777" w:rsidTr="0027686B">
        <w:trPr>
          <w:trHeight w:val="292"/>
          <w:jc w:val="center"/>
        </w:trPr>
        <w:tc>
          <w:tcPr>
            <w:tcW w:w="3402" w:type="dxa"/>
          </w:tcPr>
          <w:p w14:paraId="7B1D339D" w14:textId="77777777" w:rsidR="00F031E3" w:rsidRPr="00CA2D44" w:rsidRDefault="00F031E3" w:rsidP="0027686B">
            <w:pPr>
              <w:rPr>
                <w:rFonts w:asciiTheme="majorBidi" w:hAnsiTheme="majorBidi" w:cstheme="majorBidi"/>
                <w:color w:val="000000" w:themeColor="text1"/>
                <w:vertAlign w:val="superscript"/>
              </w:rPr>
            </w:pPr>
            <w:r w:rsidRPr="00CA2D44">
              <w:rPr>
                <w:rFonts w:asciiTheme="majorBidi" w:hAnsiTheme="majorBidi" w:cstheme="majorBidi"/>
                <w:color w:val="000000" w:themeColor="text1"/>
              </w:rPr>
              <w:t xml:space="preserve">Difference T0–T1 </w:t>
            </w:r>
          </w:p>
        </w:tc>
        <w:tc>
          <w:tcPr>
            <w:tcW w:w="2698" w:type="dxa"/>
          </w:tcPr>
          <w:p w14:paraId="2A520D91"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rPr>
              <w:t>1.00 (2.00 − 0.25)</w:t>
            </w:r>
          </w:p>
        </w:tc>
        <w:tc>
          <w:tcPr>
            <w:tcW w:w="1559" w:type="dxa"/>
          </w:tcPr>
          <w:p w14:paraId="28DF2D26"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color w:val="000000" w:themeColor="text1"/>
              </w:rPr>
              <w:t>&lt; 0.001</w:t>
            </w:r>
          </w:p>
        </w:tc>
      </w:tr>
      <w:tr w:rsidR="00F031E3" w:rsidRPr="00CA2D44" w14:paraId="382AC0A0" w14:textId="77777777" w:rsidTr="0027686B">
        <w:trPr>
          <w:trHeight w:val="375"/>
          <w:jc w:val="center"/>
        </w:trPr>
        <w:tc>
          <w:tcPr>
            <w:tcW w:w="3402" w:type="dxa"/>
          </w:tcPr>
          <w:p w14:paraId="1C0C2CC0" w14:textId="77777777" w:rsidR="00F031E3" w:rsidRPr="00CA2D44" w:rsidRDefault="00F031E3" w:rsidP="0027686B">
            <w:pPr>
              <w:rPr>
                <w:rFonts w:asciiTheme="majorBidi" w:hAnsiTheme="majorBidi" w:cstheme="majorBidi"/>
                <w:color w:val="000000" w:themeColor="text1"/>
                <w:vertAlign w:val="superscript"/>
              </w:rPr>
            </w:pPr>
            <w:r w:rsidRPr="00CA2D44">
              <w:rPr>
                <w:rFonts w:asciiTheme="majorBidi" w:hAnsiTheme="majorBidi" w:cstheme="majorBidi"/>
                <w:color w:val="000000" w:themeColor="text1"/>
              </w:rPr>
              <w:t xml:space="preserve">Difference T0–T2 </w:t>
            </w:r>
          </w:p>
        </w:tc>
        <w:tc>
          <w:tcPr>
            <w:tcW w:w="2698" w:type="dxa"/>
          </w:tcPr>
          <w:p w14:paraId="1A1D8796"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rPr>
              <w:t>1.50 (2.00 − 1.00)</w:t>
            </w:r>
          </w:p>
        </w:tc>
        <w:tc>
          <w:tcPr>
            <w:tcW w:w="1559" w:type="dxa"/>
          </w:tcPr>
          <w:p w14:paraId="79E7440E"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color w:val="000000" w:themeColor="text1"/>
              </w:rPr>
              <w:t>&lt; 0.001</w:t>
            </w:r>
          </w:p>
        </w:tc>
      </w:tr>
      <w:tr w:rsidR="00F031E3" w:rsidRPr="00CA2D44" w14:paraId="18892129" w14:textId="77777777" w:rsidTr="0027686B">
        <w:trPr>
          <w:trHeight w:val="315"/>
          <w:jc w:val="center"/>
        </w:trPr>
        <w:tc>
          <w:tcPr>
            <w:tcW w:w="3402" w:type="dxa"/>
          </w:tcPr>
          <w:p w14:paraId="5B2C978F" w14:textId="77777777" w:rsidR="00F031E3" w:rsidRPr="00CA2D44" w:rsidRDefault="00F031E3" w:rsidP="0027686B">
            <w:pPr>
              <w:rPr>
                <w:rFonts w:asciiTheme="majorBidi" w:hAnsiTheme="majorBidi" w:cstheme="majorBidi"/>
                <w:color w:val="000000" w:themeColor="text1"/>
                <w:vertAlign w:val="superscript"/>
              </w:rPr>
            </w:pPr>
            <w:r w:rsidRPr="00CA2D44">
              <w:rPr>
                <w:rFonts w:asciiTheme="majorBidi" w:hAnsiTheme="majorBidi" w:cstheme="majorBidi"/>
                <w:color w:val="000000" w:themeColor="text1"/>
              </w:rPr>
              <w:t>Difference T0–T3</w:t>
            </w:r>
          </w:p>
        </w:tc>
        <w:tc>
          <w:tcPr>
            <w:tcW w:w="2698" w:type="dxa"/>
          </w:tcPr>
          <w:p w14:paraId="58BF3632"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rPr>
              <w:t>2.00 (2.50 − 1.00)</w:t>
            </w:r>
          </w:p>
        </w:tc>
        <w:tc>
          <w:tcPr>
            <w:tcW w:w="1559" w:type="dxa"/>
          </w:tcPr>
          <w:p w14:paraId="3A8EEF8F"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color w:val="000000" w:themeColor="text1"/>
              </w:rPr>
              <w:t>&lt; 0.001</w:t>
            </w:r>
          </w:p>
        </w:tc>
      </w:tr>
      <w:tr w:rsidR="00F031E3" w:rsidRPr="00CA2D44" w14:paraId="33B1F5FA" w14:textId="77777777" w:rsidTr="0027686B">
        <w:trPr>
          <w:trHeight w:val="379"/>
          <w:jc w:val="center"/>
        </w:trPr>
        <w:tc>
          <w:tcPr>
            <w:tcW w:w="3402" w:type="dxa"/>
          </w:tcPr>
          <w:p w14:paraId="5FC9DE0F" w14:textId="77777777" w:rsidR="00F031E3" w:rsidRPr="00CA2D44" w:rsidRDefault="00F031E3" w:rsidP="0027686B">
            <w:pPr>
              <w:rPr>
                <w:rFonts w:asciiTheme="majorBidi" w:hAnsiTheme="majorBidi" w:cstheme="majorBidi"/>
                <w:color w:val="000000" w:themeColor="text1"/>
              </w:rPr>
            </w:pPr>
            <w:r w:rsidRPr="00CA2D44">
              <w:rPr>
                <w:rFonts w:asciiTheme="majorBidi" w:hAnsiTheme="majorBidi" w:cstheme="majorBidi"/>
                <w:color w:val="000000" w:themeColor="text1"/>
              </w:rPr>
              <w:t xml:space="preserve">Difference T0–T4 </w:t>
            </w:r>
          </w:p>
        </w:tc>
        <w:tc>
          <w:tcPr>
            <w:tcW w:w="2698" w:type="dxa"/>
          </w:tcPr>
          <w:p w14:paraId="5E58E02E"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rPr>
              <w:t>2.00 (3.00 − 1.00)</w:t>
            </w:r>
          </w:p>
        </w:tc>
        <w:tc>
          <w:tcPr>
            <w:tcW w:w="1559" w:type="dxa"/>
          </w:tcPr>
          <w:p w14:paraId="129D32C9"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color w:val="000000" w:themeColor="text1"/>
              </w:rPr>
              <w:t>&lt; 0.001</w:t>
            </w:r>
          </w:p>
        </w:tc>
      </w:tr>
    </w:tbl>
    <w:p w14:paraId="4D36510F" w14:textId="77777777" w:rsidR="00F031E3" w:rsidRDefault="00F031E3" w:rsidP="00F031E3">
      <w:pPr>
        <w:jc w:val="center"/>
        <w:rPr>
          <w:rFonts w:asciiTheme="majorBidi" w:hAnsiTheme="majorBidi" w:cstheme="majorBidi"/>
          <w:color w:val="000000" w:themeColor="text1"/>
          <w:sz w:val="20"/>
          <w:szCs w:val="20"/>
        </w:rPr>
      </w:pPr>
      <w:r w:rsidRPr="00CA2D44">
        <w:rPr>
          <w:rFonts w:asciiTheme="majorBidi" w:hAnsiTheme="majorBidi" w:cstheme="majorBidi"/>
          <w:color w:val="000000" w:themeColor="text1"/>
          <w:sz w:val="20"/>
          <w:szCs w:val="20"/>
        </w:rPr>
        <w:t xml:space="preserve">Comparison made using </w:t>
      </w:r>
      <w:r>
        <w:rPr>
          <w:rFonts w:asciiTheme="majorBidi" w:hAnsiTheme="majorBidi" w:cstheme="majorBidi"/>
          <w:color w:val="000000" w:themeColor="text1"/>
          <w:sz w:val="20"/>
          <w:szCs w:val="20"/>
        </w:rPr>
        <w:t xml:space="preserve">non-parametric </w:t>
      </w:r>
      <w:r w:rsidRPr="00CA2D44">
        <w:rPr>
          <w:rFonts w:asciiTheme="majorBidi" w:hAnsiTheme="majorBidi" w:cstheme="majorBidi"/>
          <w:sz w:val="20"/>
          <w:szCs w:val="20"/>
        </w:rPr>
        <w:t>Wilcoxon signed-rank test.</w:t>
      </w:r>
      <w:r w:rsidRPr="00CA2D44">
        <w:rPr>
          <w:rFonts w:asciiTheme="majorBidi" w:hAnsiTheme="majorBidi" w:cstheme="majorBidi"/>
          <w:color w:val="000000" w:themeColor="text1"/>
          <w:sz w:val="20"/>
          <w:szCs w:val="20"/>
        </w:rPr>
        <w:t xml:space="preserve"> </w:t>
      </w:r>
      <w:proofErr w:type="spellStart"/>
      <w:r w:rsidRPr="00CA2D44">
        <w:rPr>
          <w:rFonts w:asciiTheme="majorBidi" w:hAnsiTheme="majorBidi" w:cstheme="majorBidi"/>
          <w:color w:val="000000" w:themeColor="text1"/>
          <w:sz w:val="20"/>
          <w:szCs w:val="20"/>
        </w:rPr>
        <w:t>Signficnat</w:t>
      </w:r>
      <w:proofErr w:type="spellEnd"/>
      <w:r w:rsidRPr="00CA2D44">
        <w:rPr>
          <w:rFonts w:asciiTheme="majorBidi" w:hAnsiTheme="majorBidi" w:cstheme="majorBidi"/>
          <w:color w:val="000000" w:themeColor="text1"/>
          <w:sz w:val="20"/>
          <w:szCs w:val="20"/>
        </w:rPr>
        <w:t xml:space="preserve"> level at </w:t>
      </w:r>
      <w:r w:rsidRPr="00CA2D44">
        <w:rPr>
          <w:rFonts w:asciiTheme="majorBidi" w:hAnsiTheme="majorBidi" w:cstheme="majorBidi"/>
          <w:i/>
          <w:iCs/>
          <w:color w:val="000000" w:themeColor="text1"/>
          <w:sz w:val="20"/>
          <w:szCs w:val="20"/>
        </w:rPr>
        <w:t>p</w:t>
      </w:r>
      <w:r w:rsidRPr="00CA2D44">
        <w:rPr>
          <w:rFonts w:asciiTheme="majorBidi" w:hAnsiTheme="majorBidi" w:cstheme="majorBidi"/>
          <w:color w:val="000000" w:themeColor="text1"/>
          <w:sz w:val="20"/>
          <w:szCs w:val="20"/>
        </w:rPr>
        <w:t>&lt;0.05</w:t>
      </w:r>
    </w:p>
    <w:p w14:paraId="37D0931A" w14:textId="77777777" w:rsidR="00F031E3" w:rsidRPr="00CA2D44" w:rsidRDefault="00F031E3" w:rsidP="00F031E3">
      <w:pPr>
        <w:jc w:val="center"/>
        <w:rPr>
          <w:rFonts w:asciiTheme="majorBidi" w:hAnsiTheme="majorBidi" w:cstheme="majorBidi"/>
          <w:color w:val="000000" w:themeColor="text1"/>
          <w:sz w:val="20"/>
          <w:szCs w:val="20"/>
        </w:rPr>
      </w:pPr>
    </w:p>
    <w:p w14:paraId="57A82070" w14:textId="4B7323B9" w:rsidR="00F031E3" w:rsidRPr="00F031E3" w:rsidRDefault="00F031E3" w:rsidP="00F031E3">
      <w:pPr>
        <w:spacing w:line="480" w:lineRule="auto"/>
        <w:rPr>
          <w:rFonts w:asciiTheme="majorBidi" w:hAnsiTheme="majorBidi" w:cstheme="majorBidi"/>
          <w:b/>
          <w:bCs/>
          <w:color w:val="000000"/>
        </w:rPr>
      </w:pPr>
      <w:r w:rsidRPr="00F031E3">
        <w:rPr>
          <w:rFonts w:asciiTheme="majorBidi" w:hAnsiTheme="majorBidi" w:cstheme="majorBidi"/>
          <w:b/>
          <w:bCs/>
          <w:color w:val="000000"/>
        </w:rPr>
        <w:t>T0–T3 MBL Differences Stratified by Restorative Emergence Angle:</w:t>
      </w:r>
    </w:p>
    <w:p w14:paraId="18A15084" w14:textId="174426E0" w:rsidR="00F031E3" w:rsidRPr="00F031E3" w:rsidRDefault="00F031E3" w:rsidP="00F031E3">
      <w:pPr>
        <w:spacing w:line="480" w:lineRule="auto"/>
        <w:rPr>
          <w:rFonts w:asciiTheme="majorBidi" w:eastAsia="Times New Roman" w:hAnsiTheme="majorBidi" w:cstheme="majorBidi"/>
          <w:kern w:val="0"/>
          <w14:ligatures w14:val="none"/>
        </w:rPr>
      </w:pPr>
      <w:r w:rsidRPr="00CA2D44">
        <w:rPr>
          <w:rFonts w:asciiTheme="majorBidi" w:hAnsiTheme="majorBidi" w:cstheme="majorBidi"/>
        </w:rPr>
        <w:t xml:space="preserve">The assessment of the difference between </w:t>
      </w:r>
      <w:r w:rsidRPr="00CA2D44">
        <w:rPr>
          <w:rFonts w:asciiTheme="majorBidi" w:eastAsia="Times New Roman" w:hAnsiTheme="majorBidi" w:cstheme="majorBidi"/>
          <w:kern w:val="0"/>
          <w14:ligatures w14:val="none"/>
        </w:rPr>
        <w:t xml:space="preserve">bone level from baseline (T0) to the time of restoration delivery (T3), stratified by </w:t>
      </w:r>
      <w:r>
        <w:rPr>
          <w:rFonts w:asciiTheme="majorBidi" w:eastAsia="Times New Roman" w:hAnsiTheme="majorBidi" w:cstheme="majorBidi"/>
          <w:kern w:val="0"/>
          <w14:ligatures w14:val="none"/>
        </w:rPr>
        <w:t>REA</w:t>
      </w:r>
      <w:r w:rsidRPr="00CA2D44">
        <w:rPr>
          <w:rFonts w:asciiTheme="majorBidi" w:eastAsia="Times New Roman" w:hAnsiTheme="majorBidi" w:cstheme="majorBidi"/>
          <w:kern w:val="0"/>
          <w14:ligatures w14:val="none"/>
        </w:rPr>
        <w:t xml:space="preserve"> groups (&gt;30° vs </w:t>
      </w:r>
      <w:r w:rsidRPr="00CA2D44">
        <w:rPr>
          <w:rFonts w:asciiTheme="majorBidi" w:hAnsiTheme="majorBidi" w:cstheme="majorBidi"/>
          <w:color w:val="1F1F1F"/>
          <w:sz w:val="21"/>
          <w:szCs w:val="21"/>
        </w:rPr>
        <w:t>≤</w:t>
      </w:r>
      <w:r w:rsidRPr="00CA2D44">
        <w:rPr>
          <w:rFonts w:asciiTheme="majorBidi" w:eastAsia="Times New Roman" w:hAnsiTheme="majorBidi" w:cstheme="majorBidi"/>
          <w:kern w:val="0"/>
          <w14:ligatures w14:val="none"/>
        </w:rPr>
        <w:t xml:space="preserve">30°), using Wilcoxon signed-rank tests were performed separately for mesial and distal sites Table 2. The median marginal bone level (MBL) change from baseline (T0) to restoration delivery (T3) was 2.0 mm across all </w:t>
      </w:r>
      <w:r>
        <w:rPr>
          <w:rFonts w:asciiTheme="majorBidi" w:eastAsia="Times New Roman" w:hAnsiTheme="majorBidi" w:cstheme="majorBidi"/>
          <w:kern w:val="0"/>
          <w14:ligatures w14:val="none"/>
        </w:rPr>
        <w:t>REA</w:t>
      </w:r>
      <w:r w:rsidRPr="00CA2D44">
        <w:rPr>
          <w:rFonts w:asciiTheme="majorBidi" w:eastAsia="Times New Roman" w:hAnsiTheme="majorBidi" w:cstheme="majorBidi"/>
          <w:kern w:val="0"/>
          <w14:ligatures w14:val="none"/>
        </w:rPr>
        <w:t xml:space="preserve"> groups (&gt;30° </w:t>
      </w:r>
      <w:r w:rsidRPr="00CA2D44">
        <w:rPr>
          <w:rFonts w:asciiTheme="majorBidi" w:eastAsia="Times New Roman" w:hAnsiTheme="majorBidi" w:cstheme="majorBidi"/>
          <w:kern w:val="0"/>
          <w14:ligatures w14:val="none"/>
        </w:rPr>
        <w:lastRenderedPageBreak/>
        <w:t xml:space="preserve">and ≤30°) and both mesial and distal sites. Interquartile ranges (IQRs) were similar, ranging from 1.0 to 3.0 mm for </w:t>
      </w:r>
      <w:r>
        <w:rPr>
          <w:rFonts w:asciiTheme="majorBidi" w:eastAsia="Times New Roman" w:hAnsiTheme="majorBidi" w:cstheme="majorBidi"/>
          <w:kern w:val="0"/>
          <w14:ligatures w14:val="none"/>
        </w:rPr>
        <w:t>R</w:t>
      </w:r>
      <w:r w:rsidRPr="00CA2D44">
        <w:rPr>
          <w:rFonts w:asciiTheme="majorBidi" w:eastAsia="Times New Roman" w:hAnsiTheme="majorBidi" w:cstheme="majorBidi"/>
          <w:kern w:val="0"/>
          <w14:ligatures w14:val="none"/>
        </w:rPr>
        <w:t xml:space="preserve">EA &gt;30°, and 1.0 to 2.0 mm for </w:t>
      </w:r>
      <w:r>
        <w:rPr>
          <w:rFonts w:asciiTheme="majorBidi" w:eastAsia="Times New Roman" w:hAnsiTheme="majorBidi" w:cstheme="majorBidi"/>
          <w:kern w:val="0"/>
          <w14:ligatures w14:val="none"/>
        </w:rPr>
        <w:t>R</w:t>
      </w:r>
      <w:r w:rsidRPr="00CA2D44">
        <w:rPr>
          <w:rFonts w:asciiTheme="majorBidi" w:eastAsia="Times New Roman" w:hAnsiTheme="majorBidi" w:cstheme="majorBidi"/>
          <w:kern w:val="0"/>
          <w14:ligatures w14:val="none"/>
        </w:rPr>
        <w:t>EA </w:t>
      </w:r>
      <w:r w:rsidRPr="00CA2D44">
        <w:rPr>
          <w:rFonts w:asciiTheme="majorBidi" w:hAnsiTheme="majorBidi" w:cstheme="majorBidi"/>
          <w:color w:val="1F1F1F"/>
          <w:sz w:val="21"/>
          <w:szCs w:val="21"/>
        </w:rPr>
        <w:t>≤</w:t>
      </w:r>
      <w:r w:rsidRPr="00CA2D44">
        <w:rPr>
          <w:rFonts w:asciiTheme="majorBidi" w:eastAsia="Times New Roman" w:hAnsiTheme="majorBidi" w:cstheme="majorBidi"/>
          <w:kern w:val="0"/>
          <w14:ligatures w14:val="none"/>
        </w:rPr>
        <w:t xml:space="preserve"> 30°. Despite the similar magnitude of bone loss, Wilcoxon signed-rank tests indicated statistically significant changes within all groups (p &lt; 0.001), confirming consistent MBL reductions over time. </w:t>
      </w:r>
    </w:p>
    <w:p w14:paraId="7F9A9FE1" w14:textId="77777777" w:rsidR="00F031E3" w:rsidRPr="00CA2D44" w:rsidRDefault="00F031E3" w:rsidP="00F031E3">
      <w:pPr>
        <w:rPr>
          <w:rFonts w:asciiTheme="majorBidi" w:hAnsiTheme="majorBidi" w:cstheme="majorBidi"/>
          <w:b/>
          <w:bCs/>
          <w:color w:val="000000"/>
        </w:rPr>
      </w:pPr>
      <w:r w:rsidRPr="00CA2D44">
        <w:rPr>
          <w:rFonts w:asciiTheme="majorBidi" w:hAnsiTheme="majorBidi" w:cstheme="majorBidi"/>
          <w:b/>
          <w:bCs/>
          <w:color w:val="000000"/>
        </w:rPr>
        <w:t xml:space="preserve">Table 2. T0–T3 MBL Differences Stratified by </w:t>
      </w:r>
      <w:r>
        <w:rPr>
          <w:rFonts w:asciiTheme="majorBidi" w:hAnsiTheme="majorBidi" w:cstheme="majorBidi"/>
          <w:b/>
          <w:bCs/>
          <w:color w:val="000000"/>
        </w:rPr>
        <w:t xml:space="preserve">Restorative </w:t>
      </w:r>
      <w:r w:rsidRPr="00CA2D44">
        <w:rPr>
          <w:rFonts w:asciiTheme="majorBidi" w:hAnsiTheme="majorBidi" w:cstheme="majorBidi"/>
          <w:b/>
          <w:bCs/>
          <w:color w:val="000000"/>
        </w:rPr>
        <w:t>Emergence Angle</w:t>
      </w:r>
    </w:p>
    <w:tbl>
      <w:tblPr>
        <w:tblStyle w:val="TableGrid"/>
        <w:tblW w:w="0" w:type="auto"/>
        <w:jc w:val="center"/>
        <w:tblLook w:val="04A0" w:firstRow="1" w:lastRow="0" w:firstColumn="1" w:lastColumn="0" w:noHBand="0" w:noVBand="1"/>
      </w:tblPr>
      <w:tblGrid>
        <w:gridCol w:w="3260"/>
        <w:gridCol w:w="2049"/>
        <w:gridCol w:w="1861"/>
        <w:gridCol w:w="1476"/>
      </w:tblGrid>
      <w:tr w:rsidR="00F031E3" w:rsidRPr="00CA2D44" w14:paraId="68F17B80" w14:textId="77777777" w:rsidTr="0027686B">
        <w:trPr>
          <w:jc w:val="center"/>
        </w:trPr>
        <w:tc>
          <w:tcPr>
            <w:tcW w:w="3260" w:type="dxa"/>
          </w:tcPr>
          <w:p w14:paraId="69F48953" w14:textId="77777777" w:rsidR="00F031E3" w:rsidRPr="00CA2D44" w:rsidRDefault="00F031E3" w:rsidP="0027686B">
            <w:pPr>
              <w:rPr>
                <w:rFonts w:asciiTheme="majorBidi" w:hAnsiTheme="majorBidi" w:cstheme="majorBidi"/>
                <w:b/>
                <w:bCs/>
                <w:color w:val="000000" w:themeColor="text1"/>
              </w:rPr>
            </w:pPr>
            <w:r w:rsidRPr="00CA2D44">
              <w:rPr>
                <w:rFonts w:asciiTheme="majorBidi" w:hAnsiTheme="majorBidi" w:cstheme="majorBidi"/>
                <w:b/>
                <w:bCs/>
                <w:color w:val="000000" w:themeColor="text1"/>
              </w:rPr>
              <w:t>Parameter</w:t>
            </w:r>
          </w:p>
        </w:tc>
        <w:tc>
          <w:tcPr>
            <w:tcW w:w="2049" w:type="dxa"/>
          </w:tcPr>
          <w:p w14:paraId="65452877" w14:textId="77777777" w:rsidR="00F031E3" w:rsidRPr="00CA2D44" w:rsidRDefault="00F031E3" w:rsidP="0027686B">
            <w:pPr>
              <w:jc w:val="center"/>
              <w:rPr>
                <w:rFonts w:asciiTheme="majorBidi" w:hAnsiTheme="majorBidi" w:cstheme="majorBidi"/>
                <w:b/>
                <w:bCs/>
                <w:color w:val="000000" w:themeColor="text1"/>
              </w:rPr>
            </w:pPr>
            <w:r>
              <w:rPr>
                <w:rFonts w:asciiTheme="majorBidi" w:hAnsiTheme="majorBidi" w:cstheme="majorBidi"/>
                <w:b/>
                <w:bCs/>
                <w:color w:val="000000" w:themeColor="text1"/>
              </w:rPr>
              <w:t xml:space="preserve">Restorative </w:t>
            </w:r>
            <w:r w:rsidRPr="00CA2D44">
              <w:rPr>
                <w:rFonts w:asciiTheme="majorBidi" w:hAnsiTheme="majorBidi" w:cstheme="majorBidi"/>
                <w:b/>
                <w:bCs/>
                <w:color w:val="000000" w:themeColor="text1"/>
              </w:rPr>
              <w:t>Emergence Angle</w:t>
            </w:r>
          </w:p>
        </w:tc>
        <w:tc>
          <w:tcPr>
            <w:tcW w:w="1861" w:type="dxa"/>
          </w:tcPr>
          <w:p w14:paraId="292E4BFA" w14:textId="77777777" w:rsidR="00F031E3" w:rsidRPr="00CA2D44" w:rsidRDefault="00F031E3" w:rsidP="0027686B">
            <w:pPr>
              <w:jc w:val="center"/>
              <w:rPr>
                <w:rFonts w:asciiTheme="majorBidi" w:hAnsiTheme="majorBidi" w:cstheme="majorBidi"/>
                <w:b/>
                <w:bCs/>
                <w:color w:val="000000" w:themeColor="text1"/>
              </w:rPr>
            </w:pPr>
            <w:r w:rsidRPr="00CA2D44">
              <w:rPr>
                <w:rFonts w:asciiTheme="majorBidi" w:hAnsiTheme="majorBidi" w:cstheme="majorBidi"/>
                <w:b/>
                <w:bCs/>
                <w:color w:val="000000" w:themeColor="text1"/>
              </w:rPr>
              <w:t>MBL mm</w:t>
            </w:r>
            <w:r w:rsidRPr="00CA2D44">
              <w:rPr>
                <w:rFonts w:asciiTheme="majorBidi" w:hAnsiTheme="majorBidi" w:cstheme="majorBidi"/>
                <w:color w:val="000000" w:themeColor="text1"/>
              </w:rPr>
              <w:t xml:space="preserve"> </w:t>
            </w:r>
            <w:r w:rsidRPr="00CA2D44">
              <w:rPr>
                <w:rFonts w:asciiTheme="majorBidi" w:hAnsiTheme="majorBidi" w:cstheme="majorBidi"/>
                <w:b/>
                <w:bCs/>
                <w:color w:val="000000" w:themeColor="text1"/>
              </w:rPr>
              <w:t>Median (Range)</w:t>
            </w:r>
          </w:p>
        </w:tc>
        <w:tc>
          <w:tcPr>
            <w:tcW w:w="1476" w:type="dxa"/>
          </w:tcPr>
          <w:p w14:paraId="70257B20" w14:textId="77777777" w:rsidR="00F031E3" w:rsidRPr="00CA2D44" w:rsidRDefault="00F031E3" w:rsidP="0027686B">
            <w:pPr>
              <w:jc w:val="center"/>
              <w:rPr>
                <w:rFonts w:asciiTheme="majorBidi" w:hAnsiTheme="majorBidi" w:cstheme="majorBidi"/>
                <w:b/>
                <w:bCs/>
                <w:color w:val="000000" w:themeColor="text1"/>
              </w:rPr>
            </w:pPr>
            <w:r w:rsidRPr="00CA2D44">
              <w:rPr>
                <w:rFonts w:asciiTheme="majorBidi" w:hAnsiTheme="majorBidi" w:cstheme="majorBidi"/>
                <w:b/>
                <w:bCs/>
                <w:color w:val="000000" w:themeColor="text1"/>
              </w:rPr>
              <w:t>p-value</w:t>
            </w:r>
          </w:p>
        </w:tc>
      </w:tr>
      <w:tr w:rsidR="00F031E3" w:rsidRPr="00CA2D44" w14:paraId="36CEB56E" w14:textId="77777777" w:rsidTr="0027686B">
        <w:trPr>
          <w:trHeight w:val="292"/>
          <w:jc w:val="center"/>
        </w:trPr>
        <w:tc>
          <w:tcPr>
            <w:tcW w:w="3260" w:type="dxa"/>
          </w:tcPr>
          <w:p w14:paraId="131BC787" w14:textId="77777777" w:rsidR="00F031E3" w:rsidRPr="00CA2D44" w:rsidRDefault="00F031E3" w:rsidP="0027686B">
            <w:pPr>
              <w:rPr>
                <w:rFonts w:asciiTheme="majorBidi" w:hAnsiTheme="majorBidi" w:cstheme="majorBidi"/>
                <w:color w:val="000000" w:themeColor="text1"/>
                <w:vertAlign w:val="superscript"/>
              </w:rPr>
            </w:pPr>
            <w:r w:rsidRPr="00CA2D44">
              <w:rPr>
                <w:rFonts w:asciiTheme="majorBidi" w:hAnsiTheme="majorBidi" w:cstheme="majorBidi"/>
                <w:color w:val="000000" w:themeColor="text1"/>
              </w:rPr>
              <w:t>Difference T0–T3 Mesial</w:t>
            </w:r>
          </w:p>
        </w:tc>
        <w:tc>
          <w:tcPr>
            <w:tcW w:w="2049" w:type="dxa"/>
            <w:vMerge w:val="restart"/>
          </w:tcPr>
          <w:p w14:paraId="2BC23A58" w14:textId="77777777" w:rsidR="00F031E3" w:rsidRPr="00CA2D44" w:rsidRDefault="00F031E3" w:rsidP="0027686B">
            <w:pPr>
              <w:jc w:val="center"/>
              <w:rPr>
                <w:rFonts w:asciiTheme="majorBidi" w:hAnsiTheme="majorBidi" w:cstheme="majorBidi"/>
              </w:rPr>
            </w:pPr>
            <w:r w:rsidRPr="00CA2D44">
              <w:rPr>
                <w:rFonts w:asciiTheme="majorBidi" w:hAnsiTheme="majorBidi" w:cstheme="majorBidi"/>
                <w:color w:val="1F1F1F"/>
                <w:sz w:val="21"/>
                <w:szCs w:val="21"/>
              </w:rPr>
              <w:t>&gt;30</w:t>
            </w:r>
          </w:p>
        </w:tc>
        <w:tc>
          <w:tcPr>
            <w:tcW w:w="1861" w:type="dxa"/>
          </w:tcPr>
          <w:p w14:paraId="55451391"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rPr>
              <w:t>2.0 (1.0–3.0)</w:t>
            </w:r>
          </w:p>
        </w:tc>
        <w:tc>
          <w:tcPr>
            <w:tcW w:w="1476" w:type="dxa"/>
          </w:tcPr>
          <w:p w14:paraId="560C7419"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color w:val="000000" w:themeColor="text1"/>
              </w:rPr>
              <w:t>&lt; 0.001</w:t>
            </w:r>
          </w:p>
        </w:tc>
      </w:tr>
      <w:tr w:rsidR="00F031E3" w:rsidRPr="00CA2D44" w14:paraId="79F408D7" w14:textId="77777777" w:rsidTr="0027686B">
        <w:trPr>
          <w:trHeight w:val="375"/>
          <w:jc w:val="center"/>
        </w:trPr>
        <w:tc>
          <w:tcPr>
            <w:tcW w:w="3260" w:type="dxa"/>
          </w:tcPr>
          <w:p w14:paraId="33130857" w14:textId="77777777" w:rsidR="00F031E3" w:rsidRPr="00CA2D44" w:rsidRDefault="00F031E3" w:rsidP="0027686B">
            <w:pPr>
              <w:rPr>
                <w:rFonts w:asciiTheme="majorBidi" w:hAnsiTheme="majorBidi" w:cstheme="majorBidi"/>
                <w:color w:val="000000" w:themeColor="text1"/>
                <w:vertAlign w:val="superscript"/>
              </w:rPr>
            </w:pPr>
            <w:r w:rsidRPr="00CA2D44">
              <w:rPr>
                <w:rFonts w:asciiTheme="majorBidi" w:hAnsiTheme="majorBidi" w:cstheme="majorBidi"/>
                <w:color w:val="000000" w:themeColor="text1"/>
              </w:rPr>
              <w:t>Difference T0–T3 Distal</w:t>
            </w:r>
          </w:p>
        </w:tc>
        <w:tc>
          <w:tcPr>
            <w:tcW w:w="2049" w:type="dxa"/>
            <w:vMerge/>
          </w:tcPr>
          <w:p w14:paraId="7C33C11A" w14:textId="77777777" w:rsidR="00F031E3" w:rsidRPr="00CA2D44" w:rsidRDefault="00F031E3" w:rsidP="0027686B">
            <w:pPr>
              <w:jc w:val="center"/>
              <w:rPr>
                <w:rFonts w:asciiTheme="majorBidi" w:hAnsiTheme="majorBidi" w:cstheme="majorBidi"/>
              </w:rPr>
            </w:pPr>
          </w:p>
        </w:tc>
        <w:tc>
          <w:tcPr>
            <w:tcW w:w="1861" w:type="dxa"/>
          </w:tcPr>
          <w:p w14:paraId="6883F7EE"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rPr>
              <w:t>2.0 (1.0–2.0)</w:t>
            </w:r>
          </w:p>
        </w:tc>
        <w:tc>
          <w:tcPr>
            <w:tcW w:w="1476" w:type="dxa"/>
          </w:tcPr>
          <w:p w14:paraId="29CB5E79"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color w:val="000000" w:themeColor="text1"/>
              </w:rPr>
              <w:t>&lt; 0.001</w:t>
            </w:r>
          </w:p>
        </w:tc>
      </w:tr>
      <w:tr w:rsidR="00F031E3" w:rsidRPr="00CA2D44" w14:paraId="28205739" w14:textId="77777777" w:rsidTr="0027686B">
        <w:trPr>
          <w:trHeight w:val="315"/>
          <w:jc w:val="center"/>
        </w:trPr>
        <w:tc>
          <w:tcPr>
            <w:tcW w:w="3260" w:type="dxa"/>
          </w:tcPr>
          <w:p w14:paraId="22042BD9" w14:textId="77777777" w:rsidR="00F031E3" w:rsidRPr="00CA2D44" w:rsidRDefault="00F031E3" w:rsidP="0027686B">
            <w:pPr>
              <w:rPr>
                <w:rFonts w:asciiTheme="majorBidi" w:hAnsiTheme="majorBidi" w:cstheme="majorBidi"/>
                <w:color w:val="000000" w:themeColor="text1"/>
                <w:vertAlign w:val="superscript"/>
              </w:rPr>
            </w:pPr>
            <w:r w:rsidRPr="00CA2D44">
              <w:rPr>
                <w:rFonts w:asciiTheme="majorBidi" w:hAnsiTheme="majorBidi" w:cstheme="majorBidi"/>
                <w:color w:val="000000" w:themeColor="text1"/>
              </w:rPr>
              <w:t>Difference T0–T3 Mesial</w:t>
            </w:r>
          </w:p>
        </w:tc>
        <w:tc>
          <w:tcPr>
            <w:tcW w:w="2049" w:type="dxa"/>
            <w:vMerge w:val="restart"/>
          </w:tcPr>
          <w:p w14:paraId="1512F488" w14:textId="77777777" w:rsidR="00F031E3" w:rsidRPr="00CA2D44" w:rsidRDefault="00F031E3" w:rsidP="0027686B">
            <w:pPr>
              <w:jc w:val="center"/>
              <w:rPr>
                <w:rFonts w:asciiTheme="majorBidi" w:hAnsiTheme="majorBidi" w:cstheme="majorBidi"/>
              </w:rPr>
            </w:pPr>
            <w:r w:rsidRPr="00CA2D44">
              <w:rPr>
                <w:rFonts w:asciiTheme="majorBidi" w:hAnsiTheme="majorBidi" w:cstheme="majorBidi"/>
                <w:color w:val="1F1F1F"/>
                <w:sz w:val="21"/>
                <w:szCs w:val="21"/>
              </w:rPr>
              <w:t>≤30</w:t>
            </w:r>
          </w:p>
        </w:tc>
        <w:tc>
          <w:tcPr>
            <w:tcW w:w="1861" w:type="dxa"/>
          </w:tcPr>
          <w:p w14:paraId="133BD0F0"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rPr>
              <w:t>2.0 (1.0–2.0)</w:t>
            </w:r>
          </w:p>
        </w:tc>
        <w:tc>
          <w:tcPr>
            <w:tcW w:w="1476" w:type="dxa"/>
          </w:tcPr>
          <w:p w14:paraId="78CB3E42"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color w:val="000000" w:themeColor="text1"/>
              </w:rPr>
              <w:t>&lt; 0.001</w:t>
            </w:r>
          </w:p>
        </w:tc>
      </w:tr>
      <w:tr w:rsidR="00F031E3" w:rsidRPr="00CA2D44" w14:paraId="075A6CC9" w14:textId="77777777" w:rsidTr="0027686B">
        <w:trPr>
          <w:trHeight w:val="325"/>
          <w:jc w:val="center"/>
        </w:trPr>
        <w:tc>
          <w:tcPr>
            <w:tcW w:w="3260" w:type="dxa"/>
          </w:tcPr>
          <w:p w14:paraId="7BBEF940" w14:textId="77777777" w:rsidR="00F031E3" w:rsidRPr="00CA2D44" w:rsidRDefault="00F031E3" w:rsidP="0027686B">
            <w:pPr>
              <w:rPr>
                <w:rFonts w:asciiTheme="majorBidi" w:hAnsiTheme="majorBidi" w:cstheme="majorBidi"/>
                <w:color w:val="000000" w:themeColor="text1"/>
              </w:rPr>
            </w:pPr>
            <w:r w:rsidRPr="00CA2D44">
              <w:rPr>
                <w:rFonts w:asciiTheme="majorBidi" w:hAnsiTheme="majorBidi" w:cstheme="majorBidi"/>
                <w:color w:val="000000" w:themeColor="text1"/>
              </w:rPr>
              <w:t>Difference T0–T3 Distal</w:t>
            </w:r>
          </w:p>
        </w:tc>
        <w:tc>
          <w:tcPr>
            <w:tcW w:w="2049" w:type="dxa"/>
            <w:vMerge/>
          </w:tcPr>
          <w:p w14:paraId="686CFA64" w14:textId="77777777" w:rsidR="00F031E3" w:rsidRPr="00CA2D44" w:rsidRDefault="00F031E3" w:rsidP="0027686B">
            <w:pPr>
              <w:jc w:val="center"/>
              <w:rPr>
                <w:rFonts w:asciiTheme="majorBidi" w:hAnsiTheme="majorBidi" w:cstheme="majorBidi"/>
              </w:rPr>
            </w:pPr>
          </w:p>
        </w:tc>
        <w:tc>
          <w:tcPr>
            <w:tcW w:w="1861" w:type="dxa"/>
          </w:tcPr>
          <w:p w14:paraId="37CECF21"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rPr>
              <w:t>2.0 (1.0–2.0)</w:t>
            </w:r>
          </w:p>
        </w:tc>
        <w:tc>
          <w:tcPr>
            <w:tcW w:w="1476" w:type="dxa"/>
          </w:tcPr>
          <w:p w14:paraId="13ED080C"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color w:val="000000" w:themeColor="text1"/>
              </w:rPr>
              <w:t>&lt; 0.001</w:t>
            </w:r>
          </w:p>
        </w:tc>
      </w:tr>
    </w:tbl>
    <w:p w14:paraId="330C05E1" w14:textId="77777777" w:rsidR="00F031E3" w:rsidRDefault="00F031E3" w:rsidP="00F031E3">
      <w:pPr>
        <w:rPr>
          <w:rFonts w:asciiTheme="majorBidi" w:hAnsiTheme="majorBidi" w:cstheme="majorBidi"/>
          <w:color w:val="000000" w:themeColor="text1"/>
          <w:sz w:val="20"/>
          <w:szCs w:val="20"/>
        </w:rPr>
      </w:pPr>
      <w:r w:rsidRPr="00CA2D44">
        <w:rPr>
          <w:rFonts w:asciiTheme="majorBidi" w:hAnsiTheme="majorBidi" w:cstheme="majorBidi"/>
          <w:color w:val="000000" w:themeColor="text1"/>
          <w:sz w:val="20"/>
          <w:szCs w:val="20"/>
        </w:rPr>
        <w:t>Comparison made using</w:t>
      </w:r>
      <w:r>
        <w:rPr>
          <w:rFonts w:asciiTheme="majorBidi" w:hAnsiTheme="majorBidi" w:cstheme="majorBidi"/>
          <w:color w:val="000000" w:themeColor="text1"/>
          <w:sz w:val="20"/>
          <w:szCs w:val="20"/>
        </w:rPr>
        <w:t xml:space="preserve"> non-parametric</w:t>
      </w:r>
      <w:r w:rsidRPr="00CA2D44">
        <w:rPr>
          <w:rFonts w:asciiTheme="majorBidi" w:hAnsiTheme="majorBidi" w:cstheme="majorBidi"/>
          <w:color w:val="000000" w:themeColor="text1"/>
          <w:sz w:val="20"/>
          <w:szCs w:val="20"/>
        </w:rPr>
        <w:t xml:space="preserve"> </w:t>
      </w:r>
      <w:r w:rsidRPr="00CA2D44">
        <w:rPr>
          <w:rFonts w:asciiTheme="majorBidi" w:hAnsiTheme="majorBidi" w:cstheme="majorBidi"/>
          <w:sz w:val="20"/>
          <w:szCs w:val="20"/>
        </w:rPr>
        <w:t>Wilcoxon signed-rank test.</w:t>
      </w:r>
      <w:r w:rsidRPr="00CA2D44">
        <w:rPr>
          <w:rFonts w:asciiTheme="majorBidi" w:hAnsiTheme="majorBidi" w:cstheme="majorBidi"/>
          <w:color w:val="000000" w:themeColor="text1"/>
          <w:sz w:val="20"/>
          <w:szCs w:val="20"/>
        </w:rPr>
        <w:t xml:space="preserve"> </w:t>
      </w:r>
      <w:proofErr w:type="spellStart"/>
      <w:r w:rsidRPr="00CA2D44">
        <w:rPr>
          <w:rFonts w:asciiTheme="majorBidi" w:hAnsiTheme="majorBidi" w:cstheme="majorBidi"/>
          <w:color w:val="000000" w:themeColor="text1"/>
          <w:sz w:val="20"/>
          <w:szCs w:val="20"/>
        </w:rPr>
        <w:t>Signficnat</w:t>
      </w:r>
      <w:proofErr w:type="spellEnd"/>
      <w:r w:rsidRPr="00CA2D44">
        <w:rPr>
          <w:rFonts w:asciiTheme="majorBidi" w:hAnsiTheme="majorBidi" w:cstheme="majorBidi"/>
          <w:color w:val="000000" w:themeColor="text1"/>
          <w:sz w:val="20"/>
          <w:szCs w:val="20"/>
        </w:rPr>
        <w:t xml:space="preserve"> level at </w:t>
      </w:r>
      <w:r w:rsidRPr="00CA2D44">
        <w:rPr>
          <w:rFonts w:asciiTheme="majorBidi" w:hAnsiTheme="majorBidi" w:cstheme="majorBidi"/>
          <w:i/>
          <w:iCs/>
          <w:color w:val="000000" w:themeColor="text1"/>
          <w:sz w:val="20"/>
          <w:szCs w:val="20"/>
        </w:rPr>
        <w:t>p</w:t>
      </w:r>
      <w:r w:rsidRPr="00CA2D44">
        <w:rPr>
          <w:rFonts w:asciiTheme="majorBidi" w:hAnsiTheme="majorBidi" w:cstheme="majorBidi"/>
          <w:color w:val="000000" w:themeColor="text1"/>
          <w:sz w:val="20"/>
          <w:szCs w:val="20"/>
        </w:rPr>
        <w:t>&lt;0.05</w:t>
      </w:r>
    </w:p>
    <w:p w14:paraId="6F4A5EAE" w14:textId="77777777" w:rsidR="00F031E3" w:rsidRDefault="00F031E3" w:rsidP="00F031E3">
      <w:pPr>
        <w:rPr>
          <w:rFonts w:asciiTheme="majorBidi" w:hAnsiTheme="majorBidi" w:cstheme="majorBidi"/>
          <w:color w:val="000000" w:themeColor="text1"/>
          <w:sz w:val="20"/>
          <w:szCs w:val="20"/>
        </w:rPr>
      </w:pPr>
    </w:p>
    <w:p w14:paraId="2C21B4EA" w14:textId="2995560B" w:rsidR="00F031E3" w:rsidRPr="00F031E3" w:rsidRDefault="00F031E3" w:rsidP="00F031E3">
      <w:pPr>
        <w:spacing w:line="480" w:lineRule="auto"/>
        <w:rPr>
          <w:rFonts w:asciiTheme="majorBidi" w:hAnsiTheme="majorBidi" w:cstheme="majorBidi"/>
          <w:b/>
          <w:bCs/>
          <w:color w:val="000000" w:themeColor="text1"/>
        </w:rPr>
      </w:pPr>
      <w:r w:rsidRPr="00F031E3">
        <w:rPr>
          <w:rFonts w:asciiTheme="majorBidi" w:hAnsiTheme="majorBidi" w:cstheme="majorBidi"/>
          <w:b/>
          <w:bCs/>
          <w:color w:val="000000" w:themeColor="text1"/>
        </w:rPr>
        <w:t>Comparison of MBL in different implant sites for REA &gt; 30° and ≤ 30°:</w:t>
      </w:r>
    </w:p>
    <w:p w14:paraId="24263DB1" w14:textId="7929A327" w:rsidR="00F031E3" w:rsidRDefault="00F031E3" w:rsidP="00F031E3">
      <w:pPr>
        <w:spacing w:line="480" w:lineRule="auto"/>
        <w:rPr>
          <w:rFonts w:asciiTheme="majorBidi" w:hAnsiTheme="majorBidi" w:cstheme="majorBidi"/>
          <w:color w:val="000000" w:themeColor="text1"/>
        </w:rPr>
      </w:pPr>
      <w:r w:rsidRPr="00CA2D44">
        <w:rPr>
          <w:rFonts w:asciiTheme="majorBidi" w:hAnsiTheme="majorBidi" w:cstheme="majorBidi"/>
          <w:color w:val="000000" w:themeColor="text1"/>
        </w:rPr>
        <w:t xml:space="preserve">The Independent t-test revealed that the differences were not statistically significant when comparing the amount of MBL for </w:t>
      </w:r>
      <w:r>
        <w:rPr>
          <w:rFonts w:asciiTheme="majorBidi" w:hAnsiTheme="majorBidi" w:cstheme="majorBidi"/>
          <w:color w:val="000000" w:themeColor="text1"/>
        </w:rPr>
        <w:t>REA</w:t>
      </w:r>
      <w:r w:rsidRPr="00CA2D44">
        <w:rPr>
          <w:rFonts w:asciiTheme="majorBidi" w:hAnsiTheme="majorBidi" w:cstheme="majorBidi"/>
          <w:color w:val="000000" w:themeColor="text1"/>
        </w:rPr>
        <w:t xml:space="preserve"> &gt;30° and </w:t>
      </w:r>
      <w:r w:rsidRPr="00CA2D44">
        <w:rPr>
          <w:rFonts w:ascii="Cambria Math" w:hAnsi="Cambria Math" w:cs="Cambria Math"/>
          <w:color w:val="000000" w:themeColor="text1"/>
        </w:rPr>
        <w:t>≤30</w:t>
      </w:r>
      <w:r w:rsidRPr="00CA2D44">
        <w:rPr>
          <w:rFonts w:asciiTheme="majorBidi" w:hAnsiTheme="majorBidi" w:cstheme="majorBidi"/>
          <w:color w:val="000000" w:themeColor="text1"/>
        </w:rPr>
        <w:t xml:space="preserve">° for anterior, premolar and molar implant </w:t>
      </w:r>
      <w:r>
        <w:rPr>
          <w:rFonts w:asciiTheme="majorBidi" w:hAnsiTheme="majorBidi" w:cstheme="majorBidi"/>
          <w:color w:val="000000" w:themeColor="text1"/>
        </w:rPr>
        <w:t>position and sites.</w:t>
      </w:r>
      <w:r w:rsidRPr="00CA2D44">
        <w:rPr>
          <w:rFonts w:asciiTheme="majorBidi" w:hAnsiTheme="majorBidi" w:cstheme="majorBidi"/>
          <w:color w:val="000000" w:themeColor="text1"/>
        </w:rPr>
        <w:t xml:space="preserve"> (P &gt; 0.05)</w:t>
      </w:r>
      <w:r>
        <w:rPr>
          <w:rFonts w:asciiTheme="majorBidi" w:hAnsiTheme="majorBidi" w:cstheme="majorBidi"/>
          <w:color w:val="000000" w:themeColor="text1"/>
        </w:rPr>
        <w:t xml:space="preserve"> Table 3. The mean </w:t>
      </w:r>
      <w:r w:rsidRPr="00CA2D44">
        <w:rPr>
          <w:rFonts w:asciiTheme="majorBidi" w:hAnsiTheme="majorBidi" w:cstheme="majorBidi"/>
          <w:color w:val="000000" w:themeColor="text1"/>
        </w:rPr>
        <w:t>MBL values were comparable between groups across all positions and sites, suggesting that emergence angle alone did not significantly impact the extent of bone remodeling following implant placement.</w:t>
      </w:r>
    </w:p>
    <w:p w14:paraId="6A196A1E" w14:textId="77777777" w:rsidR="00F031E3" w:rsidRPr="00CA2D44" w:rsidRDefault="00F031E3" w:rsidP="00F031E3">
      <w:pPr>
        <w:rPr>
          <w:rFonts w:asciiTheme="majorBidi" w:hAnsiTheme="majorBidi" w:cstheme="majorBidi"/>
          <w:color w:val="000000" w:themeColor="text1"/>
        </w:rPr>
      </w:pPr>
    </w:p>
    <w:p w14:paraId="6C08F14A" w14:textId="77777777" w:rsidR="00F031E3" w:rsidRPr="00CA2D44" w:rsidRDefault="00F031E3" w:rsidP="00F031E3">
      <w:pPr>
        <w:rPr>
          <w:rFonts w:asciiTheme="majorBidi" w:hAnsiTheme="majorBidi" w:cstheme="majorBidi"/>
          <w:b/>
          <w:bCs/>
          <w:color w:val="000000" w:themeColor="text1"/>
        </w:rPr>
      </w:pPr>
      <w:r w:rsidRPr="00CA2D44">
        <w:rPr>
          <w:rFonts w:asciiTheme="majorBidi" w:hAnsiTheme="majorBidi" w:cstheme="majorBidi"/>
          <w:b/>
          <w:bCs/>
          <w:color w:val="000000" w:themeColor="text1"/>
        </w:rPr>
        <w:t xml:space="preserve">Table </w:t>
      </w:r>
      <w:r>
        <w:rPr>
          <w:rFonts w:asciiTheme="majorBidi" w:hAnsiTheme="majorBidi" w:cstheme="majorBidi"/>
          <w:b/>
          <w:bCs/>
          <w:color w:val="000000" w:themeColor="text1"/>
        </w:rPr>
        <w:t>3</w:t>
      </w:r>
      <w:r w:rsidRPr="00CA2D44">
        <w:rPr>
          <w:rFonts w:asciiTheme="majorBidi" w:hAnsiTheme="majorBidi" w:cstheme="majorBidi"/>
          <w:b/>
          <w:bCs/>
          <w:color w:val="000000" w:themeColor="text1"/>
        </w:rPr>
        <w:t xml:space="preserve">. Comparison of MBL for </w:t>
      </w:r>
      <w:r>
        <w:rPr>
          <w:rFonts w:asciiTheme="majorBidi" w:hAnsiTheme="majorBidi" w:cstheme="majorBidi"/>
          <w:b/>
          <w:bCs/>
          <w:color w:val="000000"/>
        </w:rPr>
        <w:t xml:space="preserve">Restorative </w:t>
      </w:r>
      <w:r w:rsidRPr="00CA2D44">
        <w:rPr>
          <w:rFonts w:asciiTheme="majorBidi" w:hAnsiTheme="majorBidi" w:cstheme="majorBidi"/>
          <w:b/>
          <w:bCs/>
          <w:color w:val="000000"/>
        </w:rPr>
        <w:t>Emergence Angle</w:t>
      </w:r>
      <w:r w:rsidRPr="00CA2D44">
        <w:rPr>
          <w:rFonts w:asciiTheme="majorBidi" w:hAnsiTheme="majorBidi" w:cstheme="majorBidi"/>
          <w:b/>
          <w:bCs/>
          <w:color w:val="000000" w:themeColor="text1"/>
        </w:rPr>
        <w:t xml:space="preserve"> &gt;30° and ≤30°.</w:t>
      </w:r>
    </w:p>
    <w:tbl>
      <w:tblPr>
        <w:tblStyle w:val="TableGrid"/>
        <w:tblW w:w="0" w:type="auto"/>
        <w:jc w:val="center"/>
        <w:tblLook w:val="04A0" w:firstRow="1" w:lastRow="0" w:firstColumn="1" w:lastColumn="0" w:noHBand="0" w:noVBand="1"/>
      </w:tblPr>
      <w:tblGrid>
        <w:gridCol w:w="3964"/>
        <w:gridCol w:w="2049"/>
        <w:gridCol w:w="1861"/>
        <w:gridCol w:w="1476"/>
      </w:tblGrid>
      <w:tr w:rsidR="00F031E3" w:rsidRPr="00CA2D44" w14:paraId="68A1BA90" w14:textId="77777777" w:rsidTr="0027686B">
        <w:trPr>
          <w:jc w:val="center"/>
        </w:trPr>
        <w:tc>
          <w:tcPr>
            <w:tcW w:w="3964" w:type="dxa"/>
          </w:tcPr>
          <w:p w14:paraId="2E1D8F68" w14:textId="77777777" w:rsidR="00F031E3" w:rsidRPr="00CA2D44" w:rsidRDefault="00F031E3" w:rsidP="0027686B">
            <w:pPr>
              <w:rPr>
                <w:rFonts w:asciiTheme="majorBidi" w:hAnsiTheme="majorBidi" w:cstheme="majorBidi"/>
                <w:b/>
                <w:bCs/>
                <w:color w:val="000000" w:themeColor="text1"/>
              </w:rPr>
            </w:pPr>
            <w:r>
              <w:rPr>
                <w:rFonts w:asciiTheme="majorBidi" w:hAnsiTheme="majorBidi" w:cstheme="majorBidi"/>
                <w:b/>
                <w:bCs/>
                <w:color w:val="000000" w:themeColor="text1"/>
              </w:rPr>
              <w:t>Position</w:t>
            </w:r>
          </w:p>
        </w:tc>
        <w:tc>
          <w:tcPr>
            <w:tcW w:w="2049" w:type="dxa"/>
          </w:tcPr>
          <w:p w14:paraId="3F13556F" w14:textId="77777777" w:rsidR="00F031E3" w:rsidRPr="00CA2D44" w:rsidRDefault="00F031E3" w:rsidP="0027686B">
            <w:pPr>
              <w:jc w:val="center"/>
              <w:rPr>
                <w:rFonts w:asciiTheme="majorBidi" w:hAnsiTheme="majorBidi" w:cstheme="majorBidi"/>
                <w:b/>
                <w:bCs/>
                <w:color w:val="000000" w:themeColor="text1"/>
              </w:rPr>
            </w:pPr>
            <w:r>
              <w:rPr>
                <w:rFonts w:asciiTheme="majorBidi" w:hAnsiTheme="majorBidi" w:cstheme="majorBidi"/>
                <w:b/>
                <w:bCs/>
                <w:color w:val="000000" w:themeColor="text1"/>
              </w:rPr>
              <w:t xml:space="preserve">Restorative </w:t>
            </w:r>
            <w:r w:rsidRPr="00CA2D44">
              <w:rPr>
                <w:rFonts w:asciiTheme="majorBidi" w:hAnsiTheme="majorBidi" w:cstheme="majorBidi"/>
                <w:b/>
                <w:bCs/>
                <w:color w:val="000000" w:themeColor="text1"/>
              </w:rPr>
              <w:t>Emergence Angle</w:t>
            </w:r>
          </w:p>
        </w:tc>
        <w:tc>
          <w:tcPr>
            <w:tcW w:w="1861" w:type="dxa"/>
          </w:tcPr>
          <w:p w14:paraId="63C15631" w14:textId="77777777" w:rsidR="00F031E3" w:rsidRDefault="00F031E3" w:rsidP="0027686B">
            <w:pPr>
              <w:jc w:val="center"/>
              <w:rPr>
                <w:rFonts w:asciiTheme="majorBidi" w:hAnsiTheme="majorBidi" w:cstheme="majorBidi"/>
                <w:b/>
                <w:bCs/>
                <w:color w:val="000000" w:themeColor="text1"/>
              </w:rPr>
            </w:pPr>
            <w:r w:rsidRPr="00CA2D44">
              <w:rPr>
                <w:rFonts w:asciiTheme="majorBidi" w:hAnsiTheme="majorBidi" w:cstheme="majorBidi"/>
                <w:b/>
                <w:bCs/>
                <w:color w:val="000000" w:themeColor="text1"/>
              </w:rPr>
              <w:t>MBL mm</w:t>
            </w:r>
          </w:p>
          <w:p w14:paraId="0B1491F6" w14:textId="77777777" w:rsidR="00F031E3" w:rsidRPr="00CA2D44" w:rsidRDefault="00F031E3" w:rsidP="0027686B">
            <w:pPr>
              <w:jc w:val="center"/>
              <w:rPr>
                <w:rFonts w:asciiTheme="majorBidi" w:hAnsiTheme="majorBidi" w:cstheme="majorBidi"/>
                <w:b/>
                <w:bCs/>
                <w:color w:val="000000" w:themeColor="text1"/>
              </w:rPr>
            </w:pPr>
            <w:r w:rsidRPr="00CA2D44">
              <w:rPr>
                <w:rFonts w:asciiTheme="majorBidi" w:hAnsiTheme="majorBidi" w:cstheme="majorBidi"/>
                <w:b/>
                <w:bCs/>
                <w:color w:val="000000" w:themeColor="text1"/>
              </w:rPr>
              <w:t xml:space="preserve">Mean </w:t>
            </w:r>
            <w:r w:rsidRPr="00CA2D44">
              <w:rPr>
                <w:rFonts w:asciiTheme="majorBidi" w:eastAsia="Times New Roman" w:hAnsiTheme="majorBidi" w:cstheme="majorBidi"/>
                <w:b/>
                <w:bCs/>
              </w:rPr>
              <w:t xml:space="preserve">± </w:t>
            </w:r>
            <w:proofErr w:type="spellStart"/>
            <w:r w:rsidRPr="00CA2D44">
              <w:rPr>
                <w:rFonts w:asciiTheme="majorBidi" w:eastAsia="Times New Roman" w:hAnsiTheme="majorBidi" w:cstheme="majorBidi"/>
                <w:b/>
                <w:bCs/>
              </w:rPr>
              <w:t>sd</w:t>
            </w:r>
            <w:proofErr w:type="spellEnd"/>
          </w:p>
        </w:tc>
        <w:tc>
          <w:tcPr>
            <w:tcW w:w="1476" w:type="dxa"/>
          </w:tcPr>
          <w:p w14:paraId="2F303D05" w14:textId="77777777" w:rsidR="00F031E3" w:rsidRPr="00CA2D44" w:rsidRDefault="00F031E3" w:rsidP="0027686B">
            <w:pPr>
              <w:jc w:val="center"/>
              <w:rPr>
                <w:rFonts w:asciiTheme="majorBidi" w:hAnsiTheme="majorBidi" w:cstheme="majorBidi"/>
                <w:b/>
                <w:bCs/>
                <w:color w:val="000000" w:themeColor="text1"/>
              </w:rPr>
            </w:pPr>
            <w:r w:rsidRPr="00CA2D44">
              <w:rPr>
                <w:rFonts w:asciiTheme="majorBidi" w:hAnsiTheme="majorBidi" w:cstheme="majorBidi"/>
                <w:b/>
                <w:bCs/>
                <w:color w:val="000000" w:themeColor="text1"/>
              </w:rPr>
              <w:t>p-value</w:t>
            </w:r>
          </w:p>
        </w:tc>
      </w:tr>
      <w:tr w:rsidR="00F031E3" w:rsidRPr="00CA2D44" w14:paraId="753DDDC8" w14:textId="77777777" w:rsidTr="0027686B">
        <w:trPr>
          <w:trHeight w:val="292"/>
          <w:jc w:val="center"/>
        </w:trPr>
        <w:tc>
          <w:tcPr>
            <w:tcW w:w="3964" w:type="dxa"/>
          </w:tcPr>
          <w:p w14:paraId="1F7F06AC" w14:textId="77777777" w:rsidR="00F031E3" w:rsidRPr="00CA2D44" w:rsidRDefault="00F031E3" w:rsidP="0027686B">
            <w:pPr>
              <w:rPr>
                <w:rFonts w:asciiTheme="majorBidi" w:hAnsiTheme="majorBidi" w:cstheme="majorBidi"/>
                <w:color w:val="000000" w:themeColor="text1"/>
                <w:vertAlign w:val="superscript"/>
              </w:rPr>
            </w:pPr>
            <w:r>
              <w:rPr>
                <w:rFonts w:asciiTheme="majorBidi" w:hAnsiTheme="majorBidi" w:cstheme="majorBidi"/>
                <w:color w:val="000000" w:themeColor="text1"/>
              </w:rPr>
              <w:t>Anterior Mesial</w:t>
            </w:r>
          </w:p>
        </w:tc>
        <w:tc>
          <w:tcPr>
            <w:tcW w:w="2049" w:type="dxa"/>
            <w:vMerge w:val="restart"/>
          </w:tcPr>
          <w:p w14:paraId="672FBE96" w14:textId="77777777" w:rsidR="00F031E3" w:rsidRDefault="00F031E3" w:rsidP="0027686B">
            <w:pPr>
              <w:jc w:val="center"/>
              <w:rPr>
                <w:rFonts w:asciiTheme="majorBidi" w:hAnsiTheme="majorBidi" w:cstheme="majorBidi"/>
                <w:color w:val="1F1F1F"/>
                <w:sz w:val="21"/>
                <w:szCs w:val="21"/>
              </w:rPr>
            </w:pPr>
          </w:p>
          <w:p w14:paraId="2DAF72FC" w14:textId="77777777" w:rsidR="00F031E3" w:rsidRDefault="00F031E3" w:rsidP="0027686B">
            <w:pPr>
              <w:jc w:val="center"/>
              <w:rPr>
                <w:rFonts w:asciiTheme="majorBidi" w:hAnsiTheme="majorBidi" w:cstheme="majorBidi"/>
                <w:color w:val="1F1F1F"/>
                <w:sz w:val="21"/>
                <w:szCs w:val="21"/>
              </w:rPr>
            </w:pPr>
          </w:p>
          <w:p w14:paraId="3EDAF601" w14:textId="77777777" w:rsidR="00F031E3" w:rsidRDefault="00F031E3" w:rsidP="0027686B">
            <w:pPr>
              <w:jc w:val="center"/>
              <w:rPr>
                <w:rFonts w:asciiTheme="majorBidi" w:hAnsiTheme="majorBidi" w:cstheme="majorBidi"/>
                <w:color w:val="1F1F1F"/>
                <w:sz w:val="21"/>
                <w:szCs w:val="21"/>
              </w:rPr>
            </w:pPr>
          </w:p>
          <w:p w14:paraId="711C50A3" w14:textId="77777777" w:rsidR="00F031E3" w:rsidRPr="00CA2D44" w:rsidRDefault="00F031E3" w:rsidP="0027686B">
            <w:pPr>
              <w:jc w:val="center"/>
              <w:rPr>
                <w:rFonts w:asciiTheme="majorBidi" w:hAnsiTheme="majorBidi" w:cstheme="majorBidi"/>
              </w:rPr>
            </w:pPr>
            <w:r w:rsidRPr="00CA2D44">
              <w:rPr>
                <w:rFonts w:asciiTheme="majorBidi" w:hAnsiTheme="majorBidi" w:cstheme="majorBidi"/>
                <w:color w:val="1F1F1F"/>
                <w:sz w:val="21"/>
                <w:szCs w:val="21"/>
              </w:rPr>
              <w:t>&gt;30</w:t>
            </w:r>
          </w:p>
        </w:tc>
        <w:tc>
          <w:tcPr>
            <w:tcW w:w="1861" w:type="dxa"/>
          </w:tcPr>
          <w:p w14:paraId="664E79F8"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color w:val="000000" w:themeColor="text1"/>
              </w:rPr>
              <w:t>1.96 ± 1.19</w:t>
            </w:r>
          </w:p>
        </w:tc>
        <w:tc>
          <w:tcPr>
            <w:tcW w:w="1476" w:type="dxa"/>
          </w:tcPr>
          <w:p w14:paraId="6BAA0991" w14:textId="77777777" w:rsidR="00F031E3" w:rsidRPr="00CA2D44" w:rsidRDefault="00F031E3" w:rsidP="0027686B">
            <w:pPr>
              <w:jc w:val="center"/>
              <w:rPr>
                <w:rFonts w:asciiTheme="majorBidi" w:hAnsiTheme="majorBidi" w:cstheme="majorBidi"/>
                <w:color w:val="000000" w:themeColor="text1"/>
              </w:rPr>
            </w:pPr>
            <w:r>
              <w:rPr>
                <w:rFonts w:asciiTheme="majorBidi" w:hAnsiTheme="majorBidi" w:cstheme="majorBidi"/>
                <w:color w:val="000000" w:themeColor="text1"/>
              </w:rPr>
              <w:t>0.76</w:t>
            </w:r>
          </w:p>
        </w:tc>
      </w:tr>
      <w:tr w:rsidR="00F031E3" w:rsidRPr="00CA2D44" w14:paraId="512A39D1" w14:textId="77777777" w:rsidTr="0027686B">
        <w:trPr>
          <w:trHeight w:val="292"/>
          <w:jc w:val="center"/>
        </w:trPr>
        <w:tc>
          <w:tcPr>
            <w:tcW w:w="3964" w:type="dxa"/>
          </w:tcPr>
          <w:p w14:paraId="61724740" w14:textId="77777777" w:rsidR="00F031E3" w:rsidRDefault="00F031E3" w:rsidP="0027686B">
            <w:pPr>
              <w:rPr>
                <w:rFonts w:asciiTheme="majorBidi" w:hAnsiTheme="majorBidi" w:cstheme="majorBidi"/>
                <w:color w:val="000000" w:themeColor="text1"/>
              </w:rPr>
            </w:pPr>
            <w:r>
              <w:rPr>
                <w:rFonts w:asciiTheme="majorBidi" w:hAnsiTheme="majorBidi" w:cstheme="majorBidi"/>
                <w:color w:val="000000" w:themeColor="text1"/>
              </w:rPr>
              <w:t>Anterior Distal</w:t>
            </w:r>
          </w:p>
        </w:tc>
        <w:tc>
          <w:tcPr>
            <w:tcW w:w="2049" w:type="dxa"/>
            <w:vMerge/>
          </w:tcPr>
          <w:p w14:paraId="78245D5B" w14:textId="77777777" w:rsidR="00F031E3" w:rsidRPr="00CA2D44" w:rsidRDefault="00F031E3" w:rsidP="0027686B">
            <w:pPr>
              <w:jc w:val="center"/>
              <w:rPr>
                <w:rFonts w:asciiTheme="majorBidi" w:hAnsiTheme="majorBidi" w:cstheme="majorBidi"/>
                <w:color w:val="1F1F1F"/>
                <w:sz w:val="21"/>
                <w:szCs w:val="21"/>
              </w:rPr>
            </w:pPr>
          </w:p>
        </w:tc>
        <w:tc>
          <w:tcPr>
            <w:tcW w:w="1861" w:type="dxa"/>
          </w:tcPr>
          <w:p w14:paraId="261E569C" w14:textId="77777777" w:rsidR="00F031E3" w:rsidRPr="00CA2D44" w:rsidRDefault="00F031E3" w:rsidP="0027686B">
            <w:pPr>
              <w:jc w:val="center"/>
              <w:rPr>
                <w:rFonts w:asciiTheme="majorBidi" w:hAnsiTheme="majorBidi" w:cstheme="majorBidi"/>
              </w:rPr>
            </w:pPr>
            <w:r w:rsidRPr="00CA2D44">
              <w:rPr>
                <w:rFonts w:asciiTheme="majorBidi" w:hAnsiTheme="majorBidi" w:cstheme="majorBidi"/>
              </w:rPr>
              <w:t>1.87 ± 0.99</w:t>
            </w:r>
          </w:p>
        </w:tc>
        <w:tc>
          <w:tcPr>
            <w:tcW w:w="1476" w:type="dxa"/>
          </w:tcPr>
          <w:p w14:paraId="74ED5D89" w14:textId="77777777" w:rsidR="00F031E3" w:rsidRPr="00CA2D44" w:rsidRDefault="00F031E3" w:rsidP="0027686B">
            <w:pPr>
              <w:jc w:val="center"/>
              <w:rPr>
                <w:rFonts w:asciiTheme="majorBidi" w:hAnsiTheme="majorBidi" w:cstheme="majorBidi"/>
                <w:color w:val="000000" w:themeColor="text1"/>
              </w:rPr>
            </w:pPr>
            <w:r>
              <w:rPr>
                <w:rFonts w:asciiTheme="majorBidi" w:hAnsiTheme="majorBidi" w:cstheme="majorBidi"/>
                <w:color w:val="000000" w:themeColor="text1"/>
              </w:rPr>
              <w:t>0.63</w:t>
            </w:r>
          </w:p>
        </w:tc>
      </w:tr>
      <w:tr w:rsidR="00F031E3" w:rsidRPr="00CA2D44" w14:paraId="0113940C" w14:textId="77777777" w:rsidTr="0027686B">
        <w:trPr>
          <w:trHeight w:val="292"/>
          <w:jc w:val="center"/>
        </w:trPr>
        <w:tc>
          <w:tcPr>
            <w:tcW w:w="3964" w:type="dxa"/>
          </w:tcPr>
          <w:p w14:paraId="5BF8FA3D" w14:textId="77777777" w:rsidR="00F031E3" w:rsidRDefault="00F031E3" w:rsidP="0027686B">
            <w:pPr>
              <w:rPr>
                <w:rFonts w:asciiTheme="majorBidi" w:hAnsiTheme="majorBidi" w:cstheme="majorBidi"/>
                <w:color w:val="000000" w:themeColor="text1"/>
              </w:rPr>
            </w:pPr>
            <w:r>
              <w:rPr>
                <w:rFonts w:asciiTheme="majorBidi" w:hAnsiTheme="majorBidi" w:cstheme="majorBidi"/>
                <w:color w:val="000000" w:themeColor="text1"/>
              </w:rPr>
              <w:t>Premolar Mesial</w:t>
            </w:r>
          </w:p>
        </w:tc>
        <w:tc>
          <w:tcPr>
            <w:tcW w:w="2049" w:type="dxa"/>
            <w:vMerge/>
          </w:tcPr>
          <w:p w14:paraId="79A4E4E7" w14:textId="77777777" w:rsidR="00F031E3" w:rsidRPr="00CA2D44" w:rsidRDefault="00F031E3" w:rsidP="0027686B">
            <w:pPr>
              <w:jc w:val="center"/>
              <w:rPr>
                <w:rFonts w:asciiTheme="majorBidi" w:hAnsiTheme="majorBidi" w:cstheme="majorBidi"/>
                <w:color w:val="1F1F1F"/>
                <w:sz w:val="21"/>
                <w:szCs w:val="21"/>
              </w:rPr>
            </w:pPr>
          </w:p>
        </w:tc>
        <w:tc>
          <w:tcPr>
            <w:tcW w:w="1861" w:type="dxa"/>
          </w:tcPr>
          <w:p w14:paraId="45EE5D97" w14:textId="77777777" w:rsidR="00F031E3" w:rsidRPr="00CA2D44" w:rsidRDefault="00F031E3" w:rsidP="0027686B">
            <w:pPr>
              <w:jc w:val="center"/>
              <w:rPr>
                <w:rFonts w:asciiTheme="majorBidi" w:hAnsiTheme="majorBidi" w:cstheme="majorBidi"/>
              </w:rPr>
            </w:pPr>
            <w:r w:rsidRPr="00CA2D44">
              <w:rPr>
                <w:rFonts w:asciiTheme="majorBidi" w:hAnsiTheme="majorBidi" w:cstheme="majorBidi"/>
              </w:rPr>
              <w:t>1.65 ± 1.42</w:t>
            </w:r>
          </w:p>
        </w:tc>
        <w:tc>
          <w:tcPr>
            <w:tcW w:w="1476" w:type="dxa"/>
          </w:tcPr>
          <w:p w14:paraId="64894471" w14:textId="77777777" w:rsidR="00F031E3" w:rsidRPr="00CA2D44" w:rsidRDefault="00F031E3" w:rsidP="0027686B">
            <w:pPr>
              <w:jc w:val="center"/>
              <w:rPr>
                <w:rFonts w:asciiTheme="majorBidi" w:hAnsiTheme="majorBidi" w:cstheme="majorBidi"/>
                <w:color w:val="000000" w:themeColor="text1"/>
              </w:rPr>
            </w:pPr>
            <w:r>
              <w:rPr>
                <w:rFonts w:asciiTheme="majorBidi" w:hAnsiTheme="majorBidi" w:cstheme="majorBidi"/>
                <w:color w:val="000000" w:themeColor="text1"/>
              </w:rPr>
              <w:t>0.90</w:t>
            </w:r>
          </w:p>
        </w:tc>
      </w:tr>
      <w:tr w:rsidR="00F031E3" w:rsidRPr="00CA2D44" w14:paraId="3E9A0F72" w14:textId="77777777" w:rsidTr="0027686B">
        <w:trPr>
          <w:trHeight w:val="292"/>
          <w:jc w:val="center"/>
        </w:trPr>
        <w:tc>
          <w:tcPr>
            <w:tcW w:w="3964" w:type="dxa"/>
          </w:tcPr>
          <w:p w14:paraId="67234089" w14:textId="77777777" w:rsidR="00F031E3" w:rsidRDefault="00F031E3" w:rsidP="0027686B">
            <w:pPr>
              <w:rPr>
                <w:rFonts w:asciiTheme="majorBidi" w:hAnsiTheme="majorBidi" w:cstheme="majorBidi"/>
                <w:color w:val="000000" w:themeColor="text1"/>
              </w:rPr>
            </w:pPr>
            <w:r>
              <w:rPr>
                <w:rFonts w:asciiTheme="majorBidi" w:hAnsiTheme="majorBidi" w:cstheme="majorBidi"/>
                <w:color w:val="000000" w:themeColor="text1"/>
              </w:rPr>
              <w:t>Premolar Distal</w:t>
            </w:r>
          </w:p>
        </w:tc>
        <w:tc>
          <w:tcPr>
            <w:tcW w:w="2049" w:type="dxa"/>
            <w:vMerge/>
          </w:tcPr>
          <w:p w14:paraId="4E6FC01B" w14:textId="77777777" w:rsidR="00F031E3" w:rsidRPr="00CA2D44" w:rsidRDefault="00F031E3" w:rsidP="0027686B">
            <w:pPr>
              <w:jc w:val="center"/>
              <w:rPr>
                <w:rFonts w:asciiTheme="majorBidi" w:hAnsiTheme="majorBidi" w:cstheme="majorBidi"/>
                <w:color w:val="1F1F1F"/>
                <w:sz w:val="21"/>
                <w:szCs w:val="21"/>
              </w:rPr>
            </w:pPr>
          </w:p>
        </w:tc>
        <w:tc>
          <w:tcPr>
            <w:tcW w:w="1861" w:type="dxa"/>
          </w:tcPr>
          <w:p w14:paraId="3029A62C" w14:textId="77777777" w:rsidR="00F031E3" w:rsidRPr="00CA2D44" w:rsidRDefault="00F031E3" w:rsidP="0027686B">
            <w:pPr>
              <w:jc w:val="center"/>
              <w:rPr>
                <w:rFonts w:asciiTheme="majorBidi" w:hAnsiTheme="majorBidi" w:cstheme="majorBidi"/>
              </w:rPr>
            </w:pPr>
            <w:r w:rsidRPr="00CA2D44">
              <w:rPr>
                <w:rFonts w:asciiTheme="majorBidi" w:hAnsiTheme="majorBidi" w:cstheme="majorBidi"/>
              </w:rPr>
              <w:t>1.22 ± 1.09</w:t>
            </w:r>
          </w:p>
        </w:tc>
        <w:tc>
          <w:tcPr>
            <w:tcW w:w="1476" w:type="dxa"/>
          </w:tcPr>
          <w:p w14:paraId="48D8C212" w14:textId="77777777" w:rsidR="00F031E3" w:rsidRPr="00CA2D44" w:rsidRDefault="00F031E3" w:rsidP="0027686B">
            <w:pPr>
              <w:jc w:val="center"/>
              <w:rPr>
                <w:rFonts w:asciiTheme="majorBidi" w:hAnsiTheme="majorBidi" w:cstheme="majorBidi"/>
                <w:color w:val="000000" w:themeColor="text1"/>
              </w:rPr>
            </w:pPr>
            <w:r>
              <w:rPr>
                <w:rFonts w:asciiTheme="majorBidi" w:hAnsiTheme="majorBidi" w:cstheme="majorBidi"/>
                <w:color w:val="000000" w:themeColor="text1"/>
              </w:rPr>
              <w:t>0.77</w:t>
            </w:r>
          </w:p>
        </w:tc>
      </w:tr>
      <w:tr w:rsidR="00F031E3" w:rsidRPr="00CA2D44" w14:paraId="1DE9985C" w14:textId="77777777" w:rsidTr="0027686B">
        <w:trPr>
          <w:trHeight w:val="292"/>
          <w:jc w:val="center"/>
        </w:trPr>
        <w:tc>
          <w:tcPr>
            <w:tcW w:w="3964" w:type="dxa"/>
          </w:tcPr>
          <w:p w14:paraId="374F5943" w14:textId="77777777" w:rsidR="00F031E3" w:rsidRDefault="00F031E3" w:rsidP="0027686B">
            <w:pPr>
              <w:rPr>
                <w:rFonts w:asciiTheme="majorBidi" w:hAnsiTheme="majorBidi" w:cstheme="majorBidi"/>
                <w:color w:val="000000" w:themeColor="text1"/>
              </w:rPr>
            </w:pPr>
            <w:r>
              <w:rPr>
                <w:rFonts w:asciiTheme="majorBidi" w:hAnsiTheme="majorBidi" w:cstheme="majorBidi"/>
                <w:color w:val="000000" w:themeColor="text1"/>
              </w:rPr>
              <w:t>Molar Mesial</w:t>
            </w:r>
          </w:p>
        </w:tc>
        <w:tc>
          <w:tcPr>
            <w:tcW w:w="2049" w:type="dxa"/>
            <w:vMerge/>
          </w:tcPr>
          <w:p w14:paraId="7A2038CD" w14:textId="77777777" w:rsidR="00F031E3" w:rsidRPr="00CA2D44" w:rsidRDefault="00F031E3" w:rsidP="0027686B">
            <w:pPr>
              <w:jc w:val="center"/>
              <w:rPr>
                <w:rFonts w:asciiTheme="majorBidi" w:hAnsiTheme="majorBidi" w:cstheme="majorBidi"/>
                <w:color w:val="1F1F1F"/>
                <w:sz w:val="21"/>
                <w:szCs w:val="21"/>
              </w:rPr>
            </w:pPr>
          </w:p>
        </w:tc>
        <w:tc>
          <w:tcPr>
            <w:tcW w:w="1861" w:type="dxa"/>
          </w:tcPr>
          <w:p w14:paraId="41300C08" w14:textId="77777777" w:rsidR="00F031E3" w:rsidRPr="00CA2D44" w:rsidRDefault="00F031E3" w:rsidP="0027686B">
            <w:pPr>
              <w:jc w:val="center"/>
              <w:rPr>
                <w:rFonts w:asciiTheme="majorBidi" w:hAnsiTheme="majorBidi" w:cstheme="majorBidi"/>
              </w:rPr>
            </w:pPr>
            <w:r w:rsidRPr="00CA2D44">
              <w:rPr>
                <w:rFonts w:asciiTheme="majorBidi" w:hAnsiTheme="majorBidi" w:cstheme="majorBidi"/>
              </w:rPr>
              <w:t>1.22 ± 1.09</w:t>
            </w:r>
          </w:p>
        </w:tc>
        <w:tc>
          <w:tcPr>
            <w:tcW w:w="1476" w:type="dxa"/>
          </w:tcPr>
          <w:p w14:paraId="6B4A569C" w14:textId="77777777" w:rsidR="00F031E3" w:rsidRPr="00CA2D44" w:rsidRDefault="00F031E3" w:rsidP="0027686B">
            <w:pPr>
              <w:jc w:val="center"/>
              <w:rPr>
                <w:rFonts w:asciiTheme="majorBidi" w:hAnsiTheme="majorBidi" w:cstheme="majorBidi"/>
                <w:color w:val="000000" w:themeColor="text1"/>
              </w:rPr>
            </w:pPr>
            <w:r>
              <w:rPr>
                <w:rFonts w:asciiTheme="majorBidi" w:hAnsiTheme="majorBidi" w:cstheme="majorBidi"/>
                <w:color w:val="000000" w:themeColor="text1"/>
              </w:rPr>
              <w:t>0.40</w:t>
            </w:r>
          </w:p>
        </w:tc>
      </w:tr>
      <w:tr w:rsidR="00F031E3" w:rsidRPr="00CA2D44" w14:paraId="60CFCD85" w14:textId="77777777" w:rsidTr="0027686B">
        <w:trPr>
          <w:trHeight w:val="375"/>
          <w:jc w:val="center"/>
        </w:trPr>
        <w:tc>
          <w:tcPr>
            <w:tcW w:w="3964" w:type="dxa"/>
          </w:tcPr>
          <w:p w14:paraId="2586B44D" w14:textId="77777777" w:rsidR="00F031E3" w:rsidRPr="00CA2D44" w:rsidRDefault="00F031E3" w:rsidP="0027686B">
            <w:pPr>
              <w:rPr>
                <w:rFonts w:asciiTheme="majorBidi" w:hAnsiTheme="majorBidi" w:cstheme="majorBidi"/>
                <w:color w:val="000000" w:themeColor="text1"/>
                <w:vertAlign w:val="superscript"/>
              </w:rPr>
            </w:pPr>
            <w:r>
              <w:rPr>
                <w:rFonts w:asciiTheme="majorBidi" w:hAnsiTheme="majorBidi" w:cstheme="majorBidi"/>
                <w:color w:val="000000" w:themeColor="text1"/>
              </w:rPr>
              <w:t>Molar Distal</w:t>
            </w:r>
          </w:p>
        </w:tc>
        <w:tc>
          <w:tcPr>
            <w:tcW w:w="2049" w:type="dxa"/>
            <w:vMerge/>
          </w:tcPr>
          <w:p w14:paraId="3BBFAE43" w14:textId="77777777" w:rsidR="00F031E3" w:rsidRPr="00CA2D44" w:rsidRDefault="00F031E3" w:rsidP="0027686B">
            <w:pPr>
              <w:jc w:val="center"/>
              <w:rPr>
                <w:rFonts w:asciiTheme="majorBidi" w:hAnsiTheme="majorBidi" w:cstheme="majorBidi"/>
              </w:rPr>
            </w:pPr>
          </w:p>
        </w:tc>
        <w:tc>
          <w:tcPr>
            <w:tcW w:w="1861" w:type="dxa"/>
          </w:tcPr>
          <w:p w14:paraId="438D1456"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color w:val="000000" w:themeColor="text1"/>
              </w:rPr>
              <w:t>1.68 ± 1.26</w:t>
            </w:r>
          </w:p>
        </w:tc>
        <w:tc>
          <w:tcPr>
            <w:tcW w:w="1476" w:type="dxa"/>
          </w:tcPr>
          <w:p w14:paraId="1651F279" w14:textId="77777777" w:rsidR="00F031E3" w:rsidRPr="00CA2D44" w:rsidRDefault="00F031E3" w:rsidP="0027686B">
            <w:pPr>
              <w:jc w:val="center"/>
              <w:rPr>
                <w:rFonts w:asciiTheme="majorBidi" w:hAnsiTheme="majorBidi" w:cstheme="majorBidi"/>
                <w:color w:val="000000" w:themeColor="text1"/>
              </w:rPr>
            </w:pPr>
            <w:r>
              <w:rPr>
                <w:rFonts w:asciiTheme="majorBidi" w:hAnsiTheme="majorBidi" w:cstheme="majorBidi"/>
                <w:color w:val="000000" w:themeColor="text1"/>
              </w:rPr>
              <w:t>0.88</w:t>
            </w:r>
          </w:p>
        </w:tc>
      </w:tr>
      <w:tr w:rsidR="00F031E3" w:rsidRPr="00CA2D44" w14:paraId="0053E36F" w14:textId="77777777" w:rsidTr="0027686B">
        <w:trPr>
          <w:trHeight w:val="315"/>
          <w:jc w:val="center"/>
        </w:trPr>
        <w:tc>
          <w:tcPr>
            <w:tcW w:w="3964" w:type="dxa"/>
          </w:tcPr>
          <w:p w14:paraId="1F0C3EAF" w14:textId="77777777" w:rsidR="00F031E3" w:rsidRPr="00CA2D44" w:rsidRDefault="00F031E3" w:rsidP="0027686B">
            <w:pPr>
              <w:rPr>
                <w:rFonts w:asciiTheme="majorBidi" w:hAnsiTheme="majorBidi" w:cstheme="majorBidi"/>
                <w:color w:val="000000" w:themeColor="text1"/>
                <w:vertAlign w:val="superscript"/>
              </w:rPr>
            </w:pPr>
            <w:r>
              <w:rPr>
                <w:rFonts w:asciiTheme="majorBidi" w:hAnsiTheme="majorBidi" w:cstheme="majorBidi"/>
                <w:color w:val="000000" w:themeColor="text1"/>
              </w:rPr>
              <w:t>Anterior Mesial</w:t>
            </w:r>
          </w:p>
        </w:tc>
        <w:tc>
          <w:tcPr>
            <w:tcW w:w="2049" w:type="dxa"/>
            <w:vMerge w:val="restart"/>
          </w:tcPr>
          <w:p w14:paraId="33CD9179" w14:textId="77777777" w:rsidR="00F031E3" w:rsidRDefault="00F031E3" w:rsidP="0027686B">
            <w:pPr>
              <w:jc w:val="center"/>
              <w:rPr>
                <w:rFonts w:asciiTheme="majorBidi" w:hAnsiTheme="majorBidi" w:cstheme="majorBidi"/>
                <w:color w:val="1F1F1F"/>
                <w:sz w:val="21"/>
                <w:szCs w:val="21"/>
              </w:rPr>
            </w:pPr>
          </w:p>
          <w:p w14:paraId="705296E3" w14:textId="77777777" w:rsidR="00F031E3" w:rsidRDefault="00F031E3" w:rsidP="0027686B">
            <w:pPr>
              <w:jc w:val="center"/>
              <w:rPr>
                <w:rFonts w:asciiTheme="majorBidi" w:hAnsiTheme="majorBidi" w:cstheme="majorBidi"/>
                <w:color w:val="1F1F1F"/>
                <w:sz w:val="21"/>
                <w:szCs w:val="21"/>
              </w:rPr>
            </w:pPr>
          </w:p>
          <w:p w14:paraId="2B736AB1" w14:textId="77777777" w:rsidR="00F031E3" w:rsidRDefault="00F031E3" w:rsidP="0027686B">
            <w:pPr>
              <w:jc w:val="center"/>
              <w:rPr>
                <w:rFonts w:asciiTheme="majorBidi" w:hAnsiTheme="majorBidi" w:cstheme="majorBidi"/>
                <w:color w:val="1F1F1F"/>
                <w:sz w:val="21"/>
                <w:szCs w:val="21"/>
              </w:rPr>
            </w:pPr>
          </w:p>
          <w:p w14:paraId="05D0D542" w14:textId="77777777" w:rsidR="00F031E3" w:rsidRPr="00CA2D44" w:rsidRDefault="00F031E3" w:rsidP="0027686B">
            <w:pPr>
              <w:jc w:val="center"/>
              <w:rPr>
                <w:rFonts w:asciiTheme="majorBidi" w:hAnsiTheme="majorBidi" w:cstheme="majorBidi"/>
              </w:rPr>
            </w:pPr>
            <w:r w:rsidRPr="00CA2D44">
              <w:rPr>
                <w:rFonts w:asciiTheme="majorBidi" w:hAnsiTheme="majorBidi" w:cstheme="majorBidi"/>
                <w:color w:val="1F1F1F"/>
                <w:sz w:val="21"/>
                <w:szCs w:val="21"/>
              </w:rPr>
              <w:t>≤30</w:t>
            </w:r>
          </w:p>
        </w:tc>
        <w:tc>
          <w:tcPr>
            <w:tcW w:w="1861" w:type="dxa"/>
          </w:tcPr>
          <w:p w14:paraId="3791E6FF"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rPr>
              <w:lastRenderedPageBreak/>
              <w:t>2.07 ± 1.10</w:t>
            </w:r>
          </w:p>
        </w:tc>
        <w:tc>
          <w:tcPr>
            <w:tcW w:w="1476" w:type="dxa"/>
          </w:tcPr>
          <w:p w14:paraId="735789F1" w14:textId="77777777" w:rsidR="00F031E3" w:rsidRPr="00CA2D44" w:rsidRDefault="00F031E3" w:rsidP="0027686B">
            <w:pPr>
              <w:jc w:val="center"/>
              <w:rPr>
                <w:rFonts w:asciiTheme="majorBidi" w:hAnsiTheme="majorBidi" w:cstheme="majorBidi"/>
                <w:color w:val="000000" w:themeColor="text1"/>
              </w:rPr>
            </w:pPr>
            <w:r>
              <w:rPr>
                <w:rFonts w:asciiTheme="majorBidi" w:hAnsiTheme="majorBidi" w:cstheme="majorBidi"/>
                <w:color w:val="000000" w:themeColor="text1"/>
              </w:rPr>
              <w:t>0.76</w:t>
            </w:r>
          </w:p>
        </w:tc>
      </w:tr>
      <w:tr w:rsidR="00F031E3" w:rsidRPr="00CA2D44" w14:paraId="262062D9" w14:textId="77777777" w:rsidTr="0027686B">
        <w:trPr>
          <w:trHeight w:val="325"/>
          <w:jc w:val="center"/>
        </w:trPr>
        <w:tc>
          <w:tcPr>
            <w:tcW w:w="3964" w:type="dxa"/>
          </w:tcPr>
          <w:p w14:paraId="2D48B69F" w14:textId="77777777" w:rsidR="00F031E3" w:rsidRPr="00CA2D44" w:rsidRDefault="00F031E3" w:rsidP="0027686B">
            <w:pPr>
              <w:rPr>
                <w:rFonts w:asciiTheme="majorBidi" w:hAnsiTheme="majorBidi" w:cstheme="majorBidi"/>
                <w:color w:val="000000" w:themeColor="text1"/>
              </w:rPr>
            </w:pPr>
            <w:r>
              <w:rPr>
                <w:rFonts w:asciiTheme="majorBidi" w:hAnsiTheme="majorBidi" w:cstheme="majorBidi"/>
                <w:color w:val="000000" w:themeColor="text1"/>
              </w:rPr>
              <w:lastRenderedPageBreak/>
              <w:t>Anterior Distal</w:t>
            </w:r>
          </w:p>
        </w:tc>
        <w:tc>
          <w:tcPr>
            <w:tcW w:w="2049" w:type="dxa"/>
            <w:vMerge/>
          </w:tcPr>
          <w:p w14:paraId="5992CC6D" w14:textId="77777777" w:rsidR="00F031E3" w:rsidRPr="00CA2D44" w:rsidRDefault="00F031E3" w:rsidP="0027686B">
            <w:pPr>
              <w:jc w:val="center"/>
              <w:rPr>
                <w:rFonts w:asciiTheme="majorBidi" w:hAnsiTheme="majorBidi" w:cstheme="majorBidi"/>
              </w:rPr>
            </w:pPr>
          </w:p>
        </w:tc>
        <w:tc>
          <w:tcPr>
            <w:tcW w:w="1861" w:type="dxa"/>
          </w:tcPr>
          <w:p w14:paraId="6FB95194" w14:textId="77777777" w:rsidR="00F031E3" w:rsidRPr="00CA2D44" w:rsidRDefault="00F031E3" w:rsidP="0027686B">
            <w:pPr>
              <w:jc w:val="center"/>
              <w:rPr>
                <w:rFonts w:asciiTheme="majorBidi" w:hAnsiTheme="majorBidi" w:cstheme="majorBidi"/>
                <w:color w:val="000000" w:themeColor="text1"/>
              </w:rPr>
            </w:pPr>
            <w:r w:rsidRPr="00CA2D44">
              <w:rPr>
                <w:rFonts w:asciiTheme="majorBidi" w:hAnsiTheme="majorBidi" w:cstheme="majorBidi"/>
              </w:rPr>
              <w:t>1.71 ± 1.13</w:t>
            </w:r>
          </w:p>
        </w:tc>
        <w:tc>
          <w:tcPr>
            <w:tcW w:w="1476" w:type="dxa"/>
          </w:tcPr>
          <w:p w14:paraId="337B8EC1" w14:textId="77777777" w:rsidR="00F031E3" w:rsidRPr="00CA2D44" w:rsidRDefault="00F031E3" w:rsidP="0027686B">
            <w:pPr>
              <w:jc w:val="center"/>
              <w:rPr>
                <w:rFonts w:asciiTheme="majorBidi" w:hAnsiTheme="majorBidi" w:cstheme="majorBidi"/>
                <w:color w:val="000000" w:themeColor="text1"/>
              </w:rPr>
            </w:pPr>
            <w:r>
              <w:rPr>
                <w:rFonts w:asciiTheme="majorBidi" w:hAnsiTheme="majorBidi" w:cstheme="majorBidi"/>
                <w:color w:val="000000" w:themeColor="text1"/>
              </w:rPr>
              <w:t>0.63</w:t>
            </w:r>
          </w:p>
        </w:tc>
      </w:tr>
      <w:tr w:rsidR="00F031E3" w:rsidRPr="00CA2D44" w14:paraId="65705149" w14:textId="77777777" w:rsidTr="0027686B">
        <w:trPr>
          <w:trHeight w:val="325"/>
          <w:jc w:val="center"/>
        </w:trPr>
        <w:tc>
          <w:tcPr>
            <w:tcW w:w="3964" w:type="dxa"/>
          </w:tcPr>
          <w:p w14:paraId="437CE56A" w14:textId="77777777" w:rsidR="00F031E3" w:rsidRDefault="00F031E3" w:rsidP="0027686B">
            <w:pPr>
              <w:rPr>
                <w:rFonts w:asciiTheme="majorBidi" w:hAnsiTheme="majorBidi" w:cstheme="majorBidi"/>
                <w:color w:val="000000" w:themeColor="text1"/>
              </w:rPr>
            </w:pPr>
            <w:r>
              <w:rPr>
                <w:rFonts w:asciiTheme="majorBidi" w:hAnsiTheme="majorBidi" w:cstheme="majorBidi"/>
                <w:color w:val="000000" w:themeColor="text1"/>
              </w:rPr>
              <w:t>Premolar Mesial</w:t>
            </w:r>
          </w:p>
        </w:tc>
        <w:tc>
          <w:tcPr>
            <w:tcW w:w="2049" w:type="dxa"/>
            <w:vMerge/>
          </w:tcPr>
          <w:p w14:paraId="2979F165" w14:textId="77777777" w:rsidR="00F031E3" w:rsidRPr="00CA2D44" w:rsidRDefault="00F031E3" w:rsidP="0027686B">
            <w:pPr>
              <w:jc w:val="center"/>
              <w:rPr>
                <w:rFonts w:asciiTheme="majorBidi" w:hAnsiTheme="majorBidi" w:cstheme="majorBidi"/>
              </w:rPr>
            </w:pPr>
          </w:p>
        </w:tc>
        <w:tc>
          <w:tcPr>
            <w:tcW w:w="1861" w:type="dxa"/>
          </w:tcPr>
          <w:p w14:paraId="462E7A05" w14:textId="77777777" w:rsidR="00F031E3" w:rsidRPr="00CA2D44" w:rsidRDefault="00F031E3" w:rsidP="0027686B">
            <w:pPr>
              <w:jc w:val="center"/>
              <w:rPr>
                <w:rFonts w:asciiTheme="majorBidi" w:hAnsiTheme="majorBidi" w:cstheme="majorBidi"/>
              </w:rPr>
            </w:pPr>
            <w:r w:rsidRPr="00CA2D44">
              <w:rPr>
                <w:rFonts w:asciiTheme="majorBidi" w:hAnsiTheme="majorBidi" w:cstheme="majorBidi"/>
              </w:rPr>
              <w:t>1.60 ± 1.47</w:t>
            </w:r>
          </w:p>
        </w:tc>
        <w:tc>
          <w:tcPr>
            <w:tcW w:w="1476" w:type="dxa"/>
          </w:tcPr>
          <w:p w14:paraId="000BF2DA" w14:textId="77777777" w:rsidR="00F031E3" w:rsidRPr="00CA2D44" w:rsidRDefault="00F031E3" w:rsidP="0027686B">
            <w:pPr>
              <w:jc w:val="center"/>
              <w:rPr>
                <w:rFonts w:asciiTheme="majorBidi" w:hAnsiTheme="majorBidi" w:cstheme="majorBidi"/>
                <w:color w:val="000000" w:themeColor="text1"/>
              </w:rPr>
            </w:pPr>
            <w:r>
              <w:rPr>
                <w:rFonts w:asciiTheme="majorBidi" w:hAnsiTheme="majorBidi" w:cstheme="majorBidi"/>
                <w:color w:val="000000" w:themeColor="text1"/>
              </w:rPr>
              <w:t>0.90</w:t>
            </w:r>
          </w:p>
        </w:tc>
      </w:tr>
      <w:tr w:rsidR="00F031E3" w:rsidRPr="00CA2D44" w14:paraId="2AC97F55" w14:textId="77777777" w:rsidTr="0027686B">
        <w:trPr>
          <w:trHeight w:val="325"/>
          <w:jc w:val="center"/>
        </w:trPr>
        <w:tc>
          <w:tcPr>
            <w:tcW w:w="3964" w:type="dxa"/>
          </w:tcPr>
          <w:p w14:paraId="20EB514A" w14:textId="77777777" w:rsidR="00F031E3" w:rsidRDefault="00F031E3" w:rsidP="0027686B">
            <w:pPr>
              <w:rPr>
                <w:rFonts w:asciiTheme="majorBidi" w:hAnsiTheme="majorBidi" w:cstheme="majorBidi"/>
                <w:color w:val="000000" w:themeColor="text1"/>
              </w:rPr>
            </w:pPr>
            <w:r>
              <w:rPr>
                <w:rFonts w:asciiTheme="majorBidi" w:hAnsiTheme="majorBidi" w:cstheme="majorBidi"/>
                <w:color w:val="000000" w:themeColor="text1"/>
              </w:rPr>
              <w:t>Premolar Distal</w:t>
            </w:r>
          </w:p>
        </w:tc>
        <w:tc>
          <w:tcPr>
            <w:tcW w:w="2049" w:type="dxa"/>
            <w:vMerge/>
          </w:tcPr>
          <w:p w14:paraId="7E9A36FB" w14:textId="77777777" w:rsidR="00F031E3" w:rsidRPr="00CA2D44" w:rsidRDefault="00F031E3" w:rsidP="0027686B">
            <w:pPr>
              <w:jc w:val="center"/>
              <w:rPr>
                <w:rFonts w:asciiTheme="majorBidi" w:hAnsiTheme="majorBidi" w:cstheme="majorBidi"/>
              </w:rPr>
            </w:pPr>
          </w:p>
        </w:tc>
        <w:tc>
          <w:tcPr>
            <w:tcW w:w="1861" w:type="dxa"/>
          </w:tcPr>
          <w:p w14:paraId="7D3C36BD" w14:textId="77777777" w:rsidR="00F031E3" w:rsidRPr="00CA2D44" w:rsidRDefault="00F031E3" w:rsidP="0027686B">
            <w:pPr>
              <w:jc w:val="center"/>
              <w:rPr>
                <w:rFonts w:asciiTheme="majorBidi" w:hAnsiTheme="majorBidi" w:cstheme="majorBidi"/>
              </w:rPr>
            </w:pPr>
            <w:r w:rsidRPr="00CA2D44">
              <w:rPr>
                <w:rFonts w:asciiTheme="majorBidi" w:hAnsiTheme="majorBidi" w:cstheme="majorBidi"/>
              </w:rPr>
              <w:t>1.57 ± 1.14</w:t>
            </w:r>
          </w:p>
        </w:tc>
        <w:tc>
          <w:tcPr>
            <w:tcW w:w="1476" w:type="dxa"/>
          </w:tcPr>
          <w:p w14:paraId="0A0CDEBC" w14:textId="77777777" w:rsidR="00F031E3" w:rsidRPr="00CA2D44" w:rsidRDefault="00F031E3" w:rsidP="0027686B">
            <w:pPr>
              <w:jc w:val="center"/>
              <w:rPr>
                <w:rFonts w:asciiTheme="majorBidi" w:hAnsiTheme="majorBidi" w:cstheme="majorBidi"/>
                <w:color w:val="000000" w:themeColor="text1"/>
              </w:rPr>
            </w:pPr>
            <w:r>
              <w:rPr>
                <w:rFonts w:asciiTheme="majorBidi" w:hAnsiTheme="majorBidi" w:cstheme="majorBidi"/>
                <w:color w:val="000000" w:themeColor="text1"/>
              </w:rPr>
              <w:t>0.77</w:t>
            </w:r>
          </w:p>
        </w:tc>
      </w:tr>
      <w:tr w:rsidR="00F031E3" w:rsidRPr="00CA2D44" w14:paraId="5863BB5B" w14:textId="77777777" w:rsidTr="0027686B">
        <w:trPr>
          <w:trHeight w:val="325"/>
          <w:jc w:val="center"/>
        </w:trPr>
        <w:tc>
          <w:tcPr>
            <w:tcW w:w="3964" w:type="dxa"/>
          </w:tcPr>
          <w:p w14:paraId="0F2699BA" w14:textId="77777777" w:rsidR="00F031E3" w:rsidRDefault="00F031E3" w:rsidP="0027686B">
            <w:pPr>
              <w:rPr>
                <w:rFonts w:asciiTheme="majorBidi" w:hAnsiTheme="majorBidi" w:cstheme="majorBidi"/>
                <w:color w:val="000000" w:themeColor="text1"/>
              </w:rPr>
            </w:pPr>
            <w:r>
              <w:rPr>
                <w:rFonts w:asciiTheme="majorBidi" w:hAnsiTheme="majorBidi" w:cstheme="majorBidi"/>
                <w:color w:val="000000" w:themeColor="text1"/>
              </w:rPr>
              <w:t>Molar Mesial</w:t>
            </w:r>
          </w:p>
        </w:tc>
        <w:tc>
          <w:tcPr>
            <w:tcW w:w="2049" w:type="dxa"/>
            <w:vMerge/>
          </w:tcPr>
          <w:p w14:paraId="56E430BD" w14:textId="77777777" w:rsidR="00F031E3" w:rsidRPr="00CA2D44" w:rsidRDefault="00F031E3" w:rsidP="0027686B">
            <w:pPr>
              <w:jc w:val="center"/>
              <w:rPr>
                <w:rFonts w:asciiTheme="majorBidi" w:hAnsiTheme="majorBidi" w:cstheme="majorBidi"/>
              </w:rPr>
            </w:pPr>
          </w:p>
        </w:tc>
        <w:tc>
          <w:tcPr>
            <w:tcW w:w="1861" w:type="dxa"/>
          </w:tcPr>
          <w:p w14:paraId="0B2E9708" w14:textId="77777777" w:rsidR="00F031E3" w:rsidRPr="00CA2D44" w:rsidRDefault="00F031E3" w:rsidP="0027686B">
            <w:pPr>
              <w:jc w:val="center"/>
              <w:rPr>
                <w:rFonts w:asciiTheme="majorBidi" w:hAnsiTheme="majorBidi" w:cstheme="majorBidi"/>
              </w:rPr>
            </w:pPr>
            <w:r w:rsidRPr="00CA2D44">
              <w:rPr>
                <w:rFonts w:asciiTheme="majorBidi" w:hAnsiTheme="majorBidi" w:cstheme="majorBidi"/>
              </w:rPr>
              <w:t>1.60 ± 1.10</w:t>
            </w:r>
          </w:p>
        </w:tc>
        <w:tc>
          <w:tcPr>
            <w:tcW w:w="1476" w:type="dxa"/>
          </w:tcPr>
          <w:p w14:paraId="1564D59E" w14:textId="77777777" w:rsidR="00F031E3" w:rsidRPr="00CA2D44" w:rsidRDefault="00F031E3" w:rsidP="0027686B">
            <w:pPr>
              <w:jc w:val="center"/>
              <w:rPr>
                <w:rFonts w:asciiTheme="majorBidi" w:hAnsiTheme="majorBidi" w:cstheme="majorBidi"/>
                <w:color w:val="000000" w:themeColor="text1"/>
              </w:rPr>
            </w:pPr>
            <w:r>
              <w:rPr>
                <w:rFonts w:asciiTheme="majorBidi" w:hAnsiTheme="majorBidi" w:cstheme="majorBidi"/>
                <w:color w:val="000000" w:themeColor="text1"/>
              </w:rPr>
              <w:t>0.40</w:t>
            </w:r>
          </w:p>
        </w:tc>
      </w:tr>
      <w:tr w:rsidR="00F031E3" w:rsidRPr="00CA2D44" w14:paraId="7F991463" w14:textId="77777777" w:rsidTr="0027686B">
        <w:trPr>
          <w:trHeight w:val="325"/>
          <w:jc w:val="center"/>
        </w:trPr>
        <w:tc>
          <w:tcPr>
            <w:tcW w:w="3964" w:type="dxa"/>
          </w:tcPr>
          <w:p w14:paraId="05176B4D" w14:textId="77777777" w:rsidR="00F031E3" w:rsidRDefault="00F031E3" w:rsidP="0027686B">
            <w:pPr>
              <w:rPr>
                <w:rFonts w:asciiTheme="majorBidi" w:hAnsiTheme="majorBidi" w:cstheme="majorBidi"/>
                <w:color w:val="000000" w:themeColor="text1"/>
              </w:rPr>
            </w:pPr>
            <w:r>
              <w:rPr>
                <w:rFonts w:asciiTheme="majorBidi" w:hAnsiTheme="majorBidi" w:cstheme="majorBidi"/>
                <w:color w:val="000000" w:themeColor="text1"/>
              </w:rPr>
              <w:t>Molar Distal</w:t>
            </w:r>
          </w:p>
        </w:tc>
        <w:tc>
          <w:tcPr>
            <w:tcW w:w="2049" w:type="dxa"/>
            <w:vMerge/>
          </w:tcPr>
          <w:p w14:paraId="6E7C2942" w14:textId="77777777" w:rsidR="00F031E3" w:rsidRPr="00CA2D44" w:rsidRDefault="00F031E3" w:rsidP="0027686B">
            <w:pPr>
              <w:jc w:val="center"/>
              <w:rPr>
                <w:rFonts w:asciiTheme="majorBidi" w:hAnsiTheme="majorBidi" w:cstheme="majorBidi"/>
              </w:rPr>
            </w:pPr>
          </w:p>
        </w:tc>
        <w:tc>
          <w:tcPr>
            <w:tcW w:w="1861" w:type="dxa"/>
          </w:tcPr>
          <w:p w14:paraId="2C47C356" w14:textId="77777777" w:rsidR="00F031E3" w:rsidRPr="00CA2D44" w:rsidRDefault="00F031E3" w:rsidP="0027686B">
            <w:pPr>
              <w:jc w:val="center"/>
              <w:rPr>
                <w:rFonts w:asciiTheme="majorBidi" w:hAnsiTheme="majorBidi" w:cstheme="majorBidi"/>
              </w:rPr>
            </w:pPr>
            <w:r w:rsidRPr="00CA2D44">
              <w:rPr>
                <w:rFonts w:asciiTheme="majorBidi" w:hAnsiTheme="majorBidi" w:cstheme="majorBidi"/>
              </w:rPr>
              <w:t>1.75 ± 1.04</w:t>
            </w:r>
          </w:p>
        </w:tc>
        <w:tc>
          <w:tcPr>
            <w:tcW w:w="1476" w:type="dxa"/>
          </w:tcPr>
          <w:p w14:paraId="581D858B" w14:textId="77777777" w:rsidR="00F031E3" w:rsidRPr="00CA2D44" w:rsidRDefault="00F031E3" w:rsidP="0027686B">
            <w:pPr>
              <w:jc w:val="center"/>
              <w:rPr>
                <w:rFonts w:asciiTheme="majorBidi" w:hAnsiTheme="majorBidi" w:cstheme="majorBidi"/>
                <w:color w:val="000000" w:themeColor="text1"/>
              </w:rPr>
            </w:pPr>
            <w:r>
              <w:rPr>
                <w:rFonts w:asciiTheme="majorBidi" w:hAnsiTheme="majorBidi" w:cstheme="majorBidi"/>
                <w:color w:val="000000" w:themeColor="text1"/>
              </w:rPr>
              <w:t>0.88</w:t>
            </w:r>
          </w:p>
        </w:tc>
      </w:tr>
    </w:tbl>
    <w:p w14:paraId="2EB01393" w14:textId="77777777" w:rsidR="00F031E3" w:rsidRDefault="00F031E3" w:rsidP="00F031E3">
      <w:pPr>
        <w:rPr>
          <w:rFonts w:asciiTheme="majorBidi" w:hAnsiTheme="majorBidi" w:cstheme="majorBidi"/>
          <w:color w:val="000000" w:themeColor="text1"/>
          <w:sz w:val="20"/>
          <w:szCs w:val="20"/>
        </w:rPr>
      </w:pPr>
      <w:r w:rsidRPr="00CA2D44">
        <w:rPr>
          <w:rFonts w:asciiTheme="majorBidi" w:hAnsiTheme="majorBidi" w:cstheme="majorBidi"/>
          <w:color w:val="000000" w:themeColor="text1"/>
          <w:sz w:val="20"/>
          <w:szCs w:val="20"/>
        </w:rPr>
        <w:t>Comparison made using</w:t>
      </w:r>
      <w:r>
        <w:rPr>
          <w:rFonts w:asciiTheme="majorBidi" w:hAnsiTheme="majorBidi" w:cstheme="majorBidi"/>
          <w:color w:val="000000" w:themeColor="text1"/>
          <w:sz w:val="20"/>
          <w:szCs w:val="20"/>
        </w:rPr>
        <w:t xml:space="preserve"> parametric</w:t>
      </w:r>
      <w:r w:rsidRPr="00CA2D44">
        <w:rPr>
          <w:rFonts w:asciiTheme="majorBidi" w:hAnsiTheme="majorBidi" w:cstheme="majorBidi"/>
          <w:color w:val="000000" w:themeColor="text1"/>
          <w:sz w:val="20"/>
          <w:szCs w:val="20"/>
        </w:rPr>
        <w:t xml:space="preserve"> </w:t>
      </w:r>
      <w:proofErr w:type="spellStart"/>
      <w:r>
        <w:rPr>
          <w:rFonts w:asciiTheme="majorBidi" w:hAnsiTheme="majorBidi" w:cstheme="majorBidi"/>
          <w:sz w:val="20"/>
          <w:szCs w:val="20"/>
        </w:rPr>
        <w:t>Independet</w:t>
      </w:r>
      <w:proofErr w:type="spellEnd"/>
      <w:r>
        <w:rPr>
          <w:rFonts w:asciiTheme="majorBidi" w:hAnsiTheme="majorBidi" w:cstheme="majorBidi"/>
          <w:sz w:val="20"/>
          <w:szCs w:val="20"/>
        </w:rPr>
        <w:t xml:space="preserve"> t-test</w:t>
      </w:r>
      <w:r w:rsidRPr="00CA2D44">
        <w:rPr>
          <w:rFonts w:asciiTheme="majorBidi" w:hAnsiTheme="majorBidi" w:cstheme="majorBidi"/>
          <w:sz w:val="20"/>
          <w:szCs w:val="20"/>
        </w:rPr>
        <w:t>.</w:t>
      </w:r>
      <w:r w:rsidRPr="00CA2D44">
        <w:rPr>
          <w:rFonts w:asciiTheme="majorBidi" w:hAnsiTheme="majorBidi" w:cstheme="majorBidi"/>
          <w:color w:val="000000" w:themeColor="text1"/>
          <w:sz w:val="20"/>
          <w:szCs w:val="20"/>
        </w:rPr>
        <w:t xml:space="preserve"> </w:t>
      </w:r>
      <w:proofErr w:type="spellStart"/>
      <w:r w:rsidRPr="00CA2D44">
        <w:rPr>
          <w:rFonts w:asciiTheme="majorBidi" w:hAnsiTheme="majorBidi" w:cstheme="majorBidi"/>
          <w:color w:val="000000" w:themeColor="text1"/>
          <w:sz w:val="20"/>
          <w:szCs w:val="20"/>
        </w:rPr>
        <w:t>Signficnat</w:t>
      </w:r>
      <w:proofErr w:type="spellEnd"/>
      <w:r w:rsidRPr="00CA2D44">
        <w:rPr>
          <w:rFonts w:asciiTheme="majorBidi" w:hAnsiTheme="majorBidi" w:cstheme="majorBidi"/>
          <w:color w:val="000000" w:themeColor="text1"/>
          <w:sz w:val="20"/>
          <w:szCs w:val="20"/>
        </w:rPr>
        <w:t xml:space="preserve"> level at </w:t>
      </w:r>
      <w:r w:rsidRPr="00CA2D44">
        <w:rPr>
          <w:rFonts w:asciiTheme="majorBidi" w:hAnsiTheme="majorBidi" w:cstheme="majorBidi"/>
          <w:i/>
          <w:iCs/>
          <w:color w:val="000000" w:themeColor="text1"/>
          <w:sz w:val="20"/>
          <w:szCs w:val="20"/>
        </w:rPr>
        <w:t>p</w:t>
      </w:r>
      <w:r w:rsidRPr="00CA2D44">
        <w:rPr>
          <w:rFonts w:asciiTheme="majorBidi" w:hAnsiTheme="majorBidi" w:cstheme="majorBidi"/>
          <w:color w:val="000000" w:themeColor="text1"/>
          <w:sz w:val="20"/>
          <w:szCs w:val="20"/>
        </w:rPr>
        <w:t>&lt;0.05</w:t>
      </w:r>
    </w:p>
    <w:p w14:paraId="3AB20E53" w14:textId="77777777" w:rsidR="00F031E3" w:rsidRDefault="00F031E3" w:rsidP="00F031E3">
      <w:pPr>
        <w:pStyle w:val="Heading2"/>
        <w:rPr>
          <w:rFonts w:asciiTheme="majorBidi" w:hAnsiTheme="majorBidi"/>
          <w:b/>
          <w:bCs/>
          <w:color w:val="000000" w:themeColor="text1"/>
          <w:sz w:val="24"/>
          <w:szCs w:val="24"/>
        </w:rPr>
      </w:pPr>
    </w:p>
    <w:p w14:paraId="358B2E7D" w14:textId="4D651A62" w:rsidR="00F031E3" w:rsidRPr="00CA2D44" w:rsidRDefault="00F031E3" w:rsidP="00F031E3">
      <w:pPr>
        <w:pStyle w:val="Heading2"/>
        <w:spacing w:line="480" w:lineRule="auto"/>
        <w:rPr>
          <w:rFonts w:asciiTheme="majorBidi" w:hAnsiTheme="majorBidi"/>
          <w:b/>
          <w:bCs/>
          <w:color w:val="000000" w:themeColor="text1"/>
          <w:sz w:val="24"/>
          <w:szCs w:val="24"/>
        </w:rPr>
      </w:pPr>
      <w:r w:rsidRPr="00CA2D44">
        <w:rPr>
          <w:rFonts w:asciiTheme="majorBidi" w:hAnsiTheme="majorBidi"/>
          <w:b/>
          <w:bCs/>
          <w:color w:val="000000" w:themeColor="text1"/>
          <w:sz w:val="24"/>
          <w:szCs w:val="24"/>
        </w:rPr>
        <w:t xml:space="preserve">Comparison of </w:t>
      </w:r>
      <w:r>
        <w:rPr>
          <w:rFonts w:asciiTheme="majorBidi" w:hAnsiTheme="majorBidi"/>
          <w:b/>
          <w:bCs/>
          <w:color w:val="000000" w:themeColor="text1"/>
          <w:sz w:val="24"/>
          <w:szCs w:val="24"/>
        </w:rPr>
        <w:t>REA</w:t>
      </w:r>
      <w:r w:rsidRPr="00CA2D44">
        <w:rPr>
          <w:rFonts w:asciiTheme="majorBidi" w:hAnsiTheme="majorBidi"/>
          <w:b/>
          <w:bCs/>
          <w:color w:val="000000" w:themeColor="text1"/>
          <w:sz w:val="24"/>
          <w:szCs w:val="24"/>
        </w:rPr>
        <w:t xml:space="preserve"> in different implant sites</w:t>
      </w:r>
    </w:p>
    <w:p w14:paraId="3783409C" w14:textId="77777777" w:rsidR="00F031E3" w:rsidRPr="00CA2D44" w:rsidRDefault="00F031E3" w:rsidP="00F031E3">
      <w:pPr>
        <w:pStyle w:val="Heading2"/>
        <w:spacing w:line="480" w:lineRule="auto"/>
        <w:rPr>
          <w:rFonts w:asciiTheme="majorBidi" w:hAnsiTheme="majorBidi"/>
          <w:b/>
          <w:bCs/>
          <w:color w:val="000000" w:themeColor="text1"/>
          <w:sz w:val="24"/>
          <w:szCs w:val="24"/>
        </w:rPr>
      </w:pPr>
      <w:r w:rsidRPr="00CA2D44">
        <w:rPr>
          <w:rFonts w:asciiTheme="majorBidi" w:hAnsiTheme="majorBidi"/>
          <w:b/>
          <w:bCs/>
          <w:color w:val="000000" w:themeColor="text1"/>
          <w:sz w:val="24"/>
          <w:szCs w:val="24"/>
        </w:rPr>
        <w:t xml:space="preserve">Mesial </w:t>
      </w:r>
      <w:r>
        <w:rPr>
          <w:rFonts w:asciiTheme="majorBidi" w:hAnsiTheme="majorBidi"/>
          <w:b/>
          <w:bCs/>
          <w:color w:val="000000" w:themeColor="text1"/>
          <w:sz w:val="24"/>
          <w:szCs w:val="24"/>
        </w:rPr>
        <w:t xml:space="preserve">Restorative </w:t>
      </w:r>
      <w:r w:rsidRPr="00CA2D44">
        <w:rPr>
          <w:rFonts w:asciiTheme="majorBidi" w:hAnsiTheme="majorBidi"/>
          <w:b/>
          <w:bCs/>
          <w:color w:val="000000" w:themeColor="text1"/>
          <w:sz w:val="24"/>
          <w:szCs w:val="24"/>
        </w:rPr>
        <w:t xml:space="preserve">Emergence Angle </w:t>
      </w:r>
    </w:p>
    <w:p w14:paraId="41527A49" w14:textId="77777777" w:rsidR="00F031E3" w:rsidRPr="00CA2D44" w:rsidRDefault="00F031E3" w:rsidP="00F031E3">
      <w:pPr>
        <w:spacing w:line="480" w:lineRule="auto"/>
        <w:rPr>
          <w:rFonts w:asciiTheme="majorBidi" w:hAnsiTheme="majorBidi" w:cstheme="majorBidi"/>
        </w:rPr>
      </w:pPr>
      <w:r w:rsidRPr="00CA2D44">
        <w:rPr>
          <w:rFonts w:asciiTheme="majorBidi" w:hAnsiTheme="majorBidi" w:cstheme="majorBidi"/>
        </w:rPr>
        <w:t xml:space="preserve">One-way ANOVA showed that the differences between the three implant sites were statistically significant in the comparison of the mesial emergence angle (F = 10.59, p &lt; 0.001). Bartlett’s test indicated that the assumption of homogeneity of variance was satisfied (p = 0.500). Post hoc Bonferroni comparisons indicated that the mesial emergence angle was significantly higher in molars compared to premolars (p = 0.007) and </w:t>
      </w:r>
      <w:proofErr w:type="spellStart"/>
      <w:r w:rsidRPr="00CA2D44">
        <w:rPr>
          <w:rFonts w:asciiTheme="majorBidi" w:hAnsiTheme="majorBidi" w:cstheme="majorBidi"/>
        </w:rPr>
        <w:t>anteriors</w:t>
      </w:r>
      <w:proofErr w:type="spellEnd"/>
      <w:r w:rsidRPr="00CA2D44">
        <w:rPr>
          <w:rFonts w:asciiTheme="majorBidi" w:hAnsiTheme="majorBidi" w:cstheme="majorBidi"/>
        </w:rPr>
        <w:t xml:space="preserve"> (p &lt; 0.001), with no significant difference between premolars and </w:t>
      </w:r>
      <w:proofErr w:type="spellStart"/>
      <w:r w:rsidRPr="00CA2D44">
        <w:rPr>
          <w:rFonts w:asciiTheme="majorBidi" w:hAnsiTheme="majorBidi" w:cstheme="majorBidi"/>
        </w:rPr>
        <w:t>anteriors</w:t>
      </w:r>
      <w:proofErr w:type="spellEnd"/>
      <w:r w:rsidRPr="00CA2D44">
        <w:rPr>
          <w:rFonts w:asciiTheme="majorBidi" w:hAnsiTheme="majorBidi" w:cstheme="majorBidi"/>
        </w:rPr>
        <w:t xml:space="preserve"> (p = 0.241)</w:t>
      </w:r>
      <w:r>
        <w:rPr>
          <w:rFonts w:asciiTheme="majorBidi" w:hAnsiTheme="majorBidi" w:cstheme="majorBidi"/>
        </w:rPr>
        <w:t xml:space="preserve"> Table 4.</w:t>
      </w:r>
    </w:p>
    <w:p w14:paraId="142A25A7" w14:textId="77777777" w:rsidR="00F031E3" w:rsidRPr="00CA2D44" w:rsidRDefault="00F031E3" w:rsidP="00F031E3">
      <w:pPr>
        <w:rPr>
          <w:rFonts w:asciiTheme="majorBidi" w:hAnsiTheme="majorBidi" w:cstheme="majorBidi"/>
          <w:b/>
          <w:bCs/>
        </w:rPr>
      </w:pPr>
      <w:r w:rsidRPr="00CA2D44">
        <w:rPr>
          <w:rFonts w:asciiTheme="majorBidi" w:hAnsiTheme="majorBidi" w:cstheme="majorBidi"/>
          <w:b/>
          <w:bCs/>
        </w:rPr>
        <w:t>Table 4</w:t>
      </w:r>
      <w:r>
        <w:rPr>
          <w:rFonts w:asciiTheme="majorBidi" w:hAnsiTheme="majorBidi" w:cstheme="majorBidi"/>
          <w:b/>
          <w:bCs/>
        </w:rPr>
        <w:t xml:space="preserve">. </w:t>
      </w:r>
      <w:r w:rsidRPr="00CA2D44">
        <w:rPr>
          <w:rFonts w:asciiTheme="majorBidi" w:hAnsiTheme="majorBidi" w:cstheme="majorBidi"/>
          <w:b/>
          <w:bCs/>
        </w:rPr>
        <w:t>Post Hoc Bonferroni Comparison Table – Mesial REA:</w:t>
      </w:r>
    </w:p>
    <w:tbl>
      <w:tblPr>
        <w:tblStyle w:val="TableGrid"/>
        <w:tblW w:w="0" w:type="auto"/>
        <w:tblLook w:val="04A0" w:firstRow="1" w:lastRow="0" w:firstColumn="1" w:lastColumn="0" w:noHBand="0" w:noVBand="1"/>
      </w:tblPr>
      <w:tblGrid>
        <w:gridCol w:w="2880"/>
        <w:gridCol w:w="2880"/>
        <w:gridCol w:w="2880"/>
      </w:tblGrid>
      <w:tr w:rsidR="00F031E3" w:rsidRPr="00CA2D44" w14:paraId="1786CB91" w14:textId="77777777" w:rsidTr="0027686B">
        <w:tc>
          <w:tcPr>
            <w:tcW w:w="2880" w:type="dxa"/>
          </w:tcPr>
          <w:p w14:paraId="2FF3370F"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Comparison</w:t>
            </w:r>
          </w:p>
        </w:tc>
        <w:tc>
          <w:tcPr>
            <w:tcW w:w="2880" w:type="dxa"/>
          </w:tcPr>
          <w:p w14:paraId="2094078D"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Mean Difference</w:t>
            </w:r>
          </w:p>
        </w:tc>
        <w:tc>
          <w:tcPr>
            <w:tcW w:w="2880" w:type="dxa"/>
          </w:tcPr>
          <w:p w14:paraId="69F2828A"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p-value</w:t>
            </w:r>
          </w:p>
        </w:tc>
      </w:tr>
      <w:tr w:rsidR="00F031E3" w:rsidRPr="00CA2D44" w14:paraId="716F8936" w14:textId="77777777" w:rsidTr="0027686B">
        <w:tc>
          <w:tcPr>
            <w:tcW w:w="2880" w:type="dxa"/>
          </w:tcPr>
          <w:p w14:paraId="293C2E94"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Molar vs Premolar</w:t>
            </w:r>
          </w:p>
        </w:tc>
        <w:tc>
          <w:tcPr>
            <w:tcW w:w="2880" w:type="dxa"/>
          </w:tcPr>
          <w:p w14:paraId="04D3A063"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0.321</w:t>
            </w:r>
          </w:p>
        </w:tc>
        <w:tc>
          <w:tcPr>
            <w:tcW w:w="2880" w:type="dxa"/>
          </w:tcPr>
          <w:p w14:paraId="45BCA76B"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0.007</w:t>
            </w:r>
          </w:p>
        </w:tc>
      </w:tr>
      <w:tr w:rsidR="00F031E3" w:rsidRPr="00CA2D44" w14:paraId="0F0593EE" w14:textId="77777777" w:rsidTr="0027686B">
        <w:tc>
          <w:tcPr>
            <w:tcW w:w="2880" w:type="dxa"/>
          </w:tcPr>
          <w:p w14:paraId="5EEFD88C"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Molar vs Anterior</w:t>
            </w:r>
          </w:p>
        </w:tc>
        <w:tc>
          <w:tcPr>
            <w:tcW w:w="2880" w:type="dxa"/>
          </w:tcPr>
          <w:p w14:paraId="32535D7C"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0.466</w:t>
            </w:r>
          </w:p>
        </w:tc>
        <w:tc>
          <w:tcPr>
            <w:tcW w:w="2880" w:type="dxa"/>
          </w:tcPr>
          <w:p w14:paraId="433623BB"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&lt;0.001</w:t>
            </w:r>
          </w:p>
        </w:tc>
      </w:tr>
      <w:tr w:rsidR="00F031E3" w:rsidRPr="00CA2D44" w14:paraId="736E1852" w14:textId="77777777" w:rsidTr="0027686B">
        <w:tc>
          <w:tcPr>
            <w:tcW w:w="2880" w:type="dxa"/>
          </w:tcPr>
          <w:p w14:paraId="6408C084"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Premolar vs Anterior</w:t>
            </w:r>
          </w:p>
        </w:tc>
        <w:tc>
          <w:tcPr>
            <w:tcW w:w="2880" w:type="dxa"/>
          </w:tcPr>
          <w:p w14:paraId="3ECE647D"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0.145</w:t>
            </w:r>
          </w:p>
        </w:tc>
        <w:tc>
          <w:tcPr>
            <w:tcW w:w="2880" w:type="dxa"/>
          </w:tcPr>
          <w:p w14:paraId="0EF1F5C4"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0.241</w:t>
            </w:r>
          </w:p>
        </w:tc>
      </w:tr>
    </w:tbl>
    <w:p w14:paraId="61A803DD" w14:textId="77777777" w:rsidR="00F031E3" w:rsidRDefault="00F031E3" w:rsidP="00F031E3">
      <w:pPr>
        <w:rPr>
          <w:rFonts w:asciiTheme="majorBidi" w:hAnsiTheme="majorBidi" w:cstheme="majorBidi"/>
          <w:color w:val="000000" w:themeColor="text1"/>
          <w:sz w:val="20"/>
          <w:szCs w:val="20"/>
        </w:rPr>
      </w:pPr>
      <w:proofErr w:type="spellStart"/>
      <w:r w:rsidRPr="00CA2D44">
        <w:rPr>
          <w:rFonts w:asciiTheme="majorBidi" w:hAnsiTheme="majorBidi" w:cstheme="majorBidi"/>
          <w:color w:val="000000" w:themeColor="text1"/>
          <w:sz w:val="20"/>
          <w:szCs w:val="20"/>
        </w:rPr>
        <w:t>Signficnat</w:t>
      </w:r>
      <w:proofErr w:type="spellEnd"/>
      <w:r w:rsidRPr="00CA2D44">
        <w:rPr>
          <w:rFonts w:asciiTheme="majorBidi" w:hAnsiTheme="majorBidi" w:cstheme="majorBidi"/>
          <w:color w:val="000000" w:themeColor="text1"/>
          <w:sz w:val="20"/>
          <w:szCs w:val="20"/>
        </w:rPr>
        <w:t xml:space="preserve"> level at </w:t>
      </w:r>
      <w:r w:rsidRPr="00CA2D44">
        <w:rPr>
          <w:rFonts w:asciiTheme="majorBidi" w:hAnsiTheme="majorBidi" w:cstheme="majorBidi"/>
          <w:i/>
          <w:iCs/>
          <w:color w:val="000000" w:themeColor="text1"/>
          <w:sz w:val="20"/>
          <w:szCs w:val="20"/>
        </w:rPr>
        <w:t>p</w:t>
      </w:r>
      <w:r w:rsidRPr="00CA2D44">
        <w:rPr>
          <w:rFonts w:asciiTheme="majorBidi" w:hAnsiTheme="majorBidi" w:cstheme="majorBidi"/>
          <w:color w:val="000000" w:themeColor="text1"/>
          <w:sz w:val="20"/>
          <w:szCs w:val="20"/>
        </w:rPr>
        <w:t>&lt;0.05</w:t>
      </w:r>
    </w:p>
    <w:p w14:paraId="05A91BB7" w14:textId="77777777" w:rsidR="00F031E3" w:rsidRPr="00CA2D44" w:rsidRDefault="00F031E3" w:rsidP="00F031E3">
      <w:pPr>
        <w:pStyle w:val="Heading2"/>
        <w:spacing w:line="480" w:lineRule="auto"/>
        <w:rPr>
          <w:rFonts w:asciiTheme="majorBidi" w:hAnsiTheme="majorBidi"/>
          <w:b/>
          <w:bCs/>
          <w:color w:val="000000" w:themeColor="text1"/>
          <w:sz w:val="24"/>
          <w:szCs w:val="24"/>
        </w:rPr>
      </w:pPr>
      <w:r w:rsidRPr="00CA2D44">
        <w:rPr>
          <w:rFonts w:asciiTheme="majorBidi" w:hAnsiTheme="majorBidi"/>
          <w:b/>
          <w:bCs/>
          <w:color w:val="000000" w:themeColor="text1"/>
          <w:sz w:val="24"/>
          <w:szCs w:val="24"/>
        </w:rPr>
        <w:t xml:space="preserve">Distal </w:t>
      </w:r>
      <w:r>
        <w:rPr>
          <w:rFonts w:asciiTheme="majorBidi" w:hAnsiTheme="majorBidi"/>
          <w:b/>
          <w:bCs/>
          <w:color w:val="000000" w:themeColor="text1"/>
          <w:sz w:val="24"/>
          <w:szCs w:val="24"/>
        </w:rPr>
        <w:t xml:space="preserve">Restorative </w:t>
      </w:r>
      <w:r w:rsidRPr="00CA2D44">
        <w:rPr>
          <w:rFonts w:asciiTheme="majorBidi" w:hAnsiTheme="majorBidi"/>
          <w:b/>
          <w:bCs/>
          <w:color w:val="000000" w:themeColor="text1"/>
          <w:sz w:val="24"/>
          <w:szCs w:val="24"/>
        </w:rPr>
        <w:t xml:space="preserve">Emergence Angle </w:t>
      </w:r>
    </w:p>
    <w:p w14:paraId="4398FA92" w14:textId="77777777" w:rsidR="00F031E3" w:rsidRPr="00CA2D44" w:rsidRDefault="00F031E3" w:rsidP="00F031E3">
      <w:pPr>
        <w:spacing w:line="480" w:lineRule="auto"/>
        <w:rPr>
          <w:rFonts w:asciiTheme="majorBidi" w:hAnsiTheme="majorBidi" w:cstheme="majorBidi"/>
        </w:rPr>
      </w:pPr>
      <w:r w:rsidRPr="00CA2D44">
        <w:rPr>
          <w:rFonts w:asciiTheme="majorBidi" w:hAnsiTheme="majorBidi" w:cstheme="majorBidi"/>
        </w:rPr>
        <w:t xml:space="preserve">One-way ANOVA demonstrated a statistically significant difference in distal REA across implant sites (F = 12.54, p &lt; 0.001). Bartlett’s test confirmed equal variances across groups (p = 0.568). Bonferroni post hoc analysis revealed that molars had significantly greater distal emergence angles than both premolars (p = 0.001) and </w:t>
      </w:r>
      <w:proofErr w:type="spellStart"/>
      <w:r w:rsidRPr="00CA2D44">
        <w:rPr>
          <w:rFonts w:asciiTheme="majorBidi" w:hAnsiTheme="majorBidi" w:cstheme="majorBidi"/>
        </w:rPr>
        <w:t>anteriors</w:t>
      </w:r>
      <w:proofErr w:type="spellEnd"/>
      <w:r w:rsidRPr="00CA2D44">
        <w:rPr>
          <w:rFonts w:asciiTheme="majorBidi" w:hAnsiTheme="majorBidi" w:cstheme="majorBidi"/>
        </w:rPr>
        <w:t xml:space="preserve"> (p &lt; 0.001), while no significant difference was observed between premolars and </w:t>
      </w:r>
      <w:proofErr w:type="spellStart"/>
      <w:r w:rsidRPr="00CA2D44">
        <w:rPr>
          <w:rFonts w:asciiTheme="majorBidi" w:hAnsiTheme="majorBidi" w:cstheme="majorBidi"/>
        </w:rPr>
        <w:t>anteriors</w:t>
      </w:r>
      <w:proofErr w:type="spellEnd"/>
      <w:r w:rsidRPr="00CA2D44">
        <w:rPr>
          <w:rFonts w:asciiTheme="majorBidi" w:hAnsiTheme="majorBidi" w:cstheme="majorBidi"/>
        </w:rPr>
        <w:t xml:space="preserve"> (p = 0.359)</w:t>
      </w:r>
      <w:r>
        <w:rPr>
          <w:rFonts w:asciiTheme="majorBidi" w:hAnsiTheme="majorBidi" w:cstheme="majorBidi"/>
        </w:rPr>
        <w:t xml:space="preserve"> Table 5</w:t>
      </w:r>
      <w:r w:rsidRPr="00CA2D44">
        <w:rPr>
          <w:rFonts w:asciiTheme="majorBidi" w:hAnsiTheme="majorBidi" w:cstheme="majorBidi"/>
        </w:rPr>
        <w:t>.</w:t>
      </w:r>
    </w:p>
    <w:p w14:paraId="5ED18AA1" w14:textId="77777777" w:rsidR="00F031E3" w:rsidRPr="00CA2D44" w:rsidRDefault="00F031E3" w:rsidP="00F031E3">
      <w:pPr>
        <w:rPr>
          <w:rFonts w:asciiTheme="majorBidi" w:hAnsiTheme="majorBidi" w:cstheme="majorBidi"/>
          <w:b/>
          <w:bCs/>
        </w:rPr>
      </w:pPr>
      <w:r>
        <w:rPr>
          <w:rFonts w:asciiTheme="majorBidi" w:hAnsiTheme="majorBidi" w:cstheme="majorBidi"/>
          <w:b/>
          <w:bCs/>
        </w:rPr>
        <w:lastRenderedPageBreak/>
        <w:t xml:space="preserve">Table 5. </w:t>
      </w:r>
      <w:r w:rsidRPr="00CA2D44">
        <w:rPr>
          <w:rFonts w:asciiTheme="majorBidi" w:hAnsiTheme="majorBidi" w:cstheme="majorBidi"/>
          <w:b/>
          <w:bCs/>
        </w:rPr>
        <w:t>Post Hoc Bonferroni Comparison Table – Distal REA:</w:t>
      </w:r>
    </w:p>
    <w:tbl>
      <w:tblPr>
        <w:tblStyle w:val="TableGrid"/>
        <w:tblW w:w="0" w:type="auto"/>
        <w:tblLook w:val="04A0" w:firstRow="1" w:lastRow="0" w:firstColumn="1" w:lastColumn="0" w:noHBand="0" w:noVBand="1"/>
      </w:tblPr>
      <w:tblGrid>
        <w:gridCol w:w="2880"/>
        <w:gridCol w:w="2880"/>
        <w:gridCol w:w="2880"/>
      </w:tblGrid>
      <w:tr w:rsidR="00F031E3" w:rsidRPr="00CA2D44" w14:paraId="36DD9C52" w14:textId="77777777" w:rsidTr="0027686B">
        <w:tc>
          <w:tcPr>
            <w:tcW w:w="2880" w:type="dxa"/>
          </w:tcPr>
          <w:p w14:paraId="27C0294B"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Comparison</w:t>
            </w:r>
          </w:p>
        </w:tc>
        <w:tc>
          <w:tcPr>
            <w:tcW w:w="2880" w:type="dxa"/>
          </w:tcPr>
          <w:p w14:paraId="11FCDDD1"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Mean Difference</w:t>
            </w:r>
          </w:p>
        </w:tc>
        <w:tc>
          <w:tcPr>
            <w:tcW w:w="2880" w:type="dxa"/>
          </w:tcPr>
          <w:p w14:paraId="2CD65DEA"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p-value</w:t>
            </w:r>
          </w:p>
        </w:tc>
      </w:tr>
      <w:tr w:rsidR="00F031E3" w:rsidRPr="00CA2D44" w14:paraId="3D0B27DD" w14:textId="77777777" w:rsidTr="0027686B">
        <w:tc>
          <w:tcPr>
            <w:tcW w:w="2880" w:type="dxa"/>
          </w:tcPr>
          <w:p w14:paraId="6EC2C61C"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Molar vs Premolar</w:t>
            </w:r>
          </w:p>
        </w:tc>
        <w:tc>
          <w:tcPr>
            <w:tcW w:w="2880" w:type="dxa"/>
          </w:tcPr>
          <w:p w14:paraId="41371596"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-0.373</w:t>
            </w:r>
          </w:p>
        </w:tc>
        <w:tc>
          <w:tcPr>
            <w:tcW w:w="2880" w:type="dxa"/>
          </w:tcPr>
          <w:p w14:paraId="7943E73E"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0.001</w:t>
            </w:r>
          </w:p>
        </w:tc>
      </w:tr>
      <w:tr w:rsidR="00F031E3" w:rsidRPr="00CA2D44" w14:paraId="39BBBE6F" w14:textId="77777777" w:rsidTr="0027686B">
        <w:tc>
          <w:tcPr>
            <w:tcW w:w="2880" w:type="dxa"/>
          </w:tcPr>
          <w:p w14:paraId="70052A51"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Molar vs Anterior</w:t>
            </w:r>
          </w:p>
        </w:tc>
        <w:tc>
          <w:tcPr>
            <w:tcW w:w="2880" w:type="dxa"/>
          </w:tcPr>
          <w:p w14:paraId="113547E2"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-0.500</w:t>
            </w:r>
          </w:p>
        </w:tc>
        <w:tc>
          <w:tcPr>
            <w:tcW w:w="2880" w:type="dxa"/>
          </w:tcPr>
          <w:p w14:paraId="441376A7"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&lt;0.001</w:t>
            </w:r>
          </w:p>
        </w:tc>
      </w:tr>
      <w:tr w:rsidR="00F031E3" w:rsidRPr="00CA2D44" w14:paraId="06E04D77" w14:textId="77777777" w:rsidTr="0027686B">
        <w:tc>
          <w:tcPr>
            <w:tcW w:w="2880" w:type="dxa"/>
          </w:tcPr>
          <w:p w14:paraId="72857306"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Premolar vs Anterior</w:t>
            </w:r>
          </w:p>
        </w:tc>
        <w:tc>
          <w:tcPr>
            <w:tcW w:w="2880" w:type="dxa"/>
          </w:tcPr>
          <w:p w14:paraId="049AB10F"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-0.127</w:t>
            </w:r>
          </w:p>
        </w:tc>
        <w:tc>
          <w:tcPr>
            <w:tcW w:w="2880" w:type="dxa"/>
          </w:tcPr>
          <w:p w14:paraId="3D8733F0"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0.359</w:t>
            </w:r>
          </w:p>
        </w:tc>
      </w:tr>
    </w:tbl>
    <w:p w14:paraId="4E113F25" w14:textId="4C994273" w:rsidR="00F031E3" w:rsidRDefault="00F031E3" w:rsidP="00F031E3">
      <w:pPr>
        <w:rPr>
          <w:rFonts w:asciiTheme="majorBidi" w:hAnsiTheme="majorBidi" w:cstheme="majorBidi"/>
          <w:color w:val="000000" w:themeColor="text1"/>
          <w:sz w:val="20"/>
          <w:szCs w:val="20"/>
        </w:rPr>
      </w:pPr>
      <w:proofErr w:type="spellStart"/>
      <w:r w:rsidRPr="00CA2D44">
        <w:rPr>
          <w:rFonts w:asciiTheme="majorBidi" w:hAnsiTheme="majorBidi" w:cstheme="majorBidi"/>
          <w:color w:val="000000" w:themeColor="text1"/>
          <w:sz w:val="20"/>
          <w:szCs w:val="20"/>
        </w:rPr>
        <w:t>Signficnat</w:t>
      </w:r>
      <w:proofErr w:type="spellEnd"/>
      <w:r w:rsidRPr="00CA2D44">
        <w:rPr>
          <w:rFonts w:asciiTheme="majorBidi" w:hAnsiTheme="majorBidi" w:cstheme="majorBidi"/>
          <w:color w:val="000000" w:themeColor="text1"/>
          <w:sz w:val="20"/>
          <w:szCs w:val="20"/>
        </w:rPr>
        <w:t xml:space="preserve"> level at </w:t>
      </w:r>
      <w:r w:rsidRPr="00CA2D44">
        <w:rPr>
          <w:rFonts w:asciiTheme="majorBidi" w:hAnsiTheme="majorBidi" w:cstheme="majorBidi"/>
          <w:i/>
          <w:iCs/>
          <w:color w:val="000000" w:themeColor="text1"/>
          <w:sz w:val="20"/>
          <w:szCs w:val="20"/>
        </w:rPr>
        <w:t>p</w:t>
      </w:r>
      <w:r w:rsidRPr="00CA2D44">
        <w:rPr>
          <w:rFonts w:asciiTheme="majorBidi" w:hAnsiTheme="majorBidi" w:cstheme="majorBidi"/>
          <w:color w:val="000000" w:themeColor="text1"/>
          <w:sz w:val="20"/>
          <w:szCs w:val="20"/>
        </w:rPr>
        <w:t>&lt;0.05</w:t>
      </w:r>
    </w:p>
    <w:p w14:paraId="37249D8C" w14:textId="2E972054" w:rsidR="00F031E3" w:rsidRPr="00F031E3" w:rsidRDefault="00F031E3" w:rsidP="00F031E3">
      <w:pPr>
        <w:spacing w:line="480" w:lineRule="auto"/>
        <w:rPr>
          <w:rFonts w:asciiTheme="majorBidi" w:hAnsiTheme="majorBidi" w:cstheme="majorBidi"/>
          <w:color w:val="000000" w:themeColor="text1"/>
        </w:rPr>
      </w:pPr>
      <w:r w:rsidRPr="00CA2D44">
        <w:rPr>
          <w:rFonts w:asciiTheme="majorBidi" w:hAnsiTheme="majorBidi" w:cstheme="majorBidi"/>
          <w:color w:val="000000" w:themeColor="text1"/>
        </w:rPr>
        <w:t xml:space="preserve">Molar implants exhibited significantly greater mesial </w:t>
      </w:r>
      <w:r>
        <w:rPr>
          <w:rFonts w:asciiTheme="majorBidi" w:hAnsiTheme="majorBidi" w:cstheme="majorBidi"/>
          <w:color w:val="000000" w:themeColor="text1"/>
        </w:rPr>
        <w:t>REA</w:t>
      </w:r>
      <w:r w:rsidRPr="00CA2D44">
        <w:rPr>
          <w:rFonts w:asciiTheme="majorBidi" w:hAnsiTheme="majorBidi" w:cstheme="majorBidi"/>
          <w:color w:val="000000" w:themeColor="text1"/>
        </w:rPr>
        <w:t xml:space="preserve"> compared to anterior and premolar implants (p &lt; 0.01), while their distal </w:t>
      </w:r>
      <w:r>
        <w:rPr>
          <w:rFonts w:asciiTheme="majorBidi" w:hAnsiTheme="majorBidi" w:cstheme="majorBidi"/>
          <w:color w:val="000000" w:themeColor="text1"/>
        </w:rPr>
        <w:t>REA</w:t>
      </w:r>
      <w:r w:rsidRPr="00CA2D44">
        <w:rPr>
          <w:rFonts w:asciiTheme="majorBidi" w:hAnsiTheme="majorBidi" w:cstheme="majorBidi"/>
          <w:color w:val="000000" w:themeColor="text1"/>
        </w:rPr>
        <w:t xml:space="preserve"> were significantly lower than those of anterior and premolar implants (p &lt; 0.01). No significant differences were found between anterior and premolar sites for either mesial or distal </w:t>
      </w:r>
      <w:r>
        <w:rPr>
          <w:rFonts w:asciiTheme="majorBidi" w:hAnsiTheme="majorBidi" w:cstheme="majorBidi"/>
          <w:color w:val="000000" w:themeColor="text1"/>
        </w:rPr>
        <w:t>REA</w:t>
      </w:r>
      <w:r w:rsidRPr="00CA2D44">
        <w:rPr>
          <w:rFonts w:asciiTheme="majorBidi" w:hAnsiTheme="majorBidi" w:cstheme="majorBidi"/>
          <w:color w:val="000000" w:themeColor="text1"/>
        </w:rPr>
        <w:t>.</w:t>
      </w:r>
    </w:p>
    <w:p w14:paraId="73ABA106" w14:textId="76BFF53A" w:rsidR="00F031E3" w:rsidRDefault="00F031E3" w:rsidP="00F031E3">
      <w:pPr>
        <w:spacing w:line="480" w:lineRule="auto"/>
        <w:rPr>
          <w:rFonts w:asciiTheme="majorBidi" w:hAnsiTheme="majorBidi" w:cstheme="majorBidi"/>
          <w:b/>
          <w:bCs/>
        </w:rPr>
      </w:pPr>
      <w:r w:rsidRPr="00CA2D44">
        <w:rPr>
          <w:rFonts w:asciiTheme="majorBidi" w:hAnsiTheme="majorBidi" w:cstheme="majorBidi"/>
          <w:b/>
          <w:bCs/>
        </w:rPr>
        <w:t xml:space="preserve">Correlation of marginal bone loss with </w:t>
      </w:r>
      <w:r>
        <w:rPr>
          <w:rFonts w:asciiTheme="majorBidi" w:hAnsiTheme="majorBidi" w:cstheme="majorBidi"/>
          <w:b/>
          <w:bCs/>
        </w:rPr>
        <w:t xml:space="preserve">restorative </w:t>
      </w:r>
      <w:r w:rsidRPr="00CA2D44">
        <w:rPr>
          <w:rFonts w:asciiTheme="majorBidi" w:hAnsiTheme="majorBidi" w:cstheme="majorBidi"/>
          <w:b/>
          <w:bCs/>
        </w:rPr>
        <w:t>emergence angle</w:t>
      </w:r>
    </w:p>
    <w:p w14:paraId="22D11C0B" w14:textId="3D2FB38C" w:rsidR="00F031E3" w:rsidRPr="00F031E3" w:rsidRDefault="00F031E3" w:rsidP="00F031E3">
      <w:pPr>
        <w:spacing w:line="480" w:lineRule="auto"/>
        <w:rPr>
          <w:rFonts w:asciiTheme="majorBidi" w:hAnsiTheme="majorBidi" w:cstheme="majorBidi"/>
        </w:rPr>
      </w:pPr>
      <w:r w:rsidRPr="00CA2D44">
        <w:rPr>
          <w:rFonts w:asciiTheme="majorBidi" w:hAnsiTheme="majorBidi" w:cstheme="majorBidi"/>
        </w:rPr>
        <w:t xml:space="preserve">The MBL and the </w:t>
      </w:r>
      <w:r>
        <w:rPr>
          <w:rFonts w:asciiTheme="majorBidi" w:hAnsiTheme="majorBidi" w:cstheme="majorBidi"/>
        </w:rPr>
        <w:t>REA</w:t>
      </w:r>
      <w:r w:rsidRPr="00CA2D44">
        <w:rPr>
          <w:rFonts w:asciiTheme="majorBidi" w:hAnsiTheme="majorBidi" w:cstheme="majorBidi"/>
        </w:rPr>
        <w:t xml:space="preserve"> for implants were analyzed separately in the anterior, premolar, and molar regions. Spearman's rank correlation analysis revealed no correlation between the emergence angle and MBL (P &gt; 0.05)</w:t>
      </w:r>
      <w:r>
        <w:rPr>
          <w:rFonts w:asciiTheme="majorBidi" w:hAnsiTheme="majorBidi" w:cstheme="majorBidi"/>
        </w:rPr>
        <w:t xml:space="preserve">. Table 6. </w:t>
      </w:r>
      <w:r w:rsidRPr="00CA2D44">
        <w:rPr>
          <w:rFonts w:asciiTheme="majorBidi" w:hAnsiTheme="majorBidi" w:cstheme="majorBidi"/>
        </w:rPr>
        <w:t>These results suggest that the emergence angle was not correlated with the amount of bone loss observed at the restoration phase</w:t>
      </w:r>
      <w:r>
        <w:rPr>
          <w:rFonts w:asciiTheme="majorBidi" w:hAnsiTheme="majorBidi" w:cstheme="majorBidi"/>
        </w:rPr>
        <w:t xml:space="preserve"> (T3)</w:t>
      </w:r>
      <w:r w:rsidRPr="00CA2D44">
        <w:rPr>
          <w:rFonts w:asciiTheme="majorBidi" w:hAnsiTheme="majorBidi" w:cstheme="majorBidi"/>
        </w:rPr>
        <w:t>.</w:t>
      </w:r>
    </w:p>
    <w:p w14:paraId="4B2DA4DE" w14:textId="77777777" w:rsidR="00F031E3" w:rsidRPr="00CA2D44" w:rsidRDefault="00F031E3" w:rsidP="00F031E3">
      <w:pPr>
        <w:rPr>
          <w:rFonts w:asciiTheme="majorBidi" w:hAnsiTheme="majorBidi" w:cstheme="majorBidi"/>
          <w:b/>
          <w:bCs/>
        </w:rPr>
      </w:pPr>
      <w:r>
        <w:rPr>
          <w:rFonts w:asciiTheme="majorBidi" w:hAnsiTheme="majorBidi" w:cstheme="majorBidi"/>
          <w:b/>
          <w:bCs/>
        </w:rPr>
        <w:t xml:space="preserve">Table 6. </w:t>
      </w:r>
      <w:r w:rsidRPr="00CA2D44">
        <w:rPr>
          <w:rFonts w:asciiTheme="majorBidi" w:hAnsiTheme="majorBidi" w:cstheme="majorBidi"/>
          <w:b/>
          <w:bCs/>
        </w:rPr>
        <w:t xml:space="preserve">Correlation Between REA and MBL </w:t>
      </w:r>
      <w:r w:rsidRPr="00CA2D44">
        <w:rPr>
          <w:rFonts w:asciiTheme="majorBidi" w:hAnsiTheme="majorBidi" w:cstheme="majorBidi"/>
          <w:b/>
          <w:bCs/>
          <w:color w:val="000000"/>
        </w:rPr>
        <w:t>after the delivery of the prosthesis</w:t>
      </w:r>
      <w:r>
        <w:rPr>
          <w:rFonts w:asciiTheme="majorBidi" w:hAnsiTheme="majorBidi" w:cstheme="majorBidi"/>
          <w:b/>
          <w:bCs/>
          <w:color w:val="000000"/>
        </w:rPr>
        <w:t xml:space="preserve"> (T3)</w:t>
      </w:r>
    </w:p>
    <w:tbl>
      <w:tblPr>
        <w:tblStyle w:val="TableGrid"/>
        <w:tblW w:w="0" w:type="auto"/>
        <w:jc w:val="center"/>
        <w:tblLook w:val="04A0" w:firstRow="1" w:lastRow="0" w:firstColumn="1" w:lastColumn="0" w:noHBand="0" w:noVBand="1"/>
      </w:tblPr>
      <w:tblGrid>
        <w:gridCol w:w="2442"/>
        <w:gridCol w:w="1806"/>
        <w:gridCol w:w="1650"/>
      </w:tblGrid>
      <w:tr w:rsidR="00F031E3" w:rsidRPr="00CA2D44" w14:paraId="6E127517" w14:textId="77777777" w:rsidTr="0027686B">
        <w:trPr>
          <w:jc w:val="center"/>
        </w:trPr>
        <w:tc>
          <w:tcPr>
            <w:tcW w:w="2442" w:type="dxa"/>
            <w:vMerge w:val="restart"/>
          </w:tcPr>
          <w:p w14:paraId="311AAE71" w14:textId="77777777" w:rsidR="00F031E3" w:rsidRPr="00CA2D44" w:rsidRDefault="00F031E3" w:rsidP="0027686B">
            <w:pPr>
              <w:rPr>
                <w:rFonts w:asciiTheme="majorBidi" w:hAnsiTheme="majorBidi" w:cstheme="majorBidi"/>
                <w:b/>
                <w:bCs/>
                <w:sz w:val="24"/>
                <w:szCs w:val="24"/>
              </w:rPr>
            </w:pPr>
            <w:r w:rsidRPr="00CA2D44">
              <w:rPr>
                <w:rFonts w:asciiTheme="majorBidi" w:hAnsiTheme="majorBidi" w:cstheme="majorBidi"/>
                <w:b/>
                <w:bCs/>
                <w:sz w:val="24"/>
                <w:szCs w:val="24"/>
              </w:rPr>
              <w:t>Position</w:t>
            </w:r>
          </w:p>
        </w:tc>
        <w:tc>
          <w:tcPr>
            <w:tcW w:w="1806" w:type="dxa"/>
          </w:tcPr>
          <w:p w14:paraId="67A2FE10" w14:textId="77777777" w:rsidR="00F031E3" w:rsidRPr="00CA2D44" w:rsidRDefault="00F031E3" w:rsidP="0027686B">
            <w:pPr>
              <w:jc w:val="center"/>
              <w:rPr>
                <w:rFonts w:asciiTheme="majorBidi" w:hAnsiTheme="majorBidi" w:cstheme="majorBidi"/>
                <w:b/>
                <w:bCs/>
                <w:sz w:val="24"/>
                <w:szCs w:val="24"/>
              </w:rPr>
            </w:pPr>
            <w:r w:rsidRPr="00CA2D44">
              <w:rPr>
                <w:rFonts w:asciiTheme="majorBidi" w:hAnsiTheme="majorBidi" w:cstheme="majorBidi"/>
                <w:b/>
                <w:bCs/>
                <w:sz w:val="24"/>
                <w:szCs w:val="24"/>
              </w:rPr>
              <w:t>MBL</w:t>
            </w:r>
          </w:p>
        </w:tc>
        <w:tc>
          <w:tcPr>
            <w:tcW w:w="1650" w:type="dxa"/>
            <w:vMerge w:val="restart"/>
          </w:tcPr>
          <w:p w14:paraId="72F9A3EB" w14:textId="77777777" w:rsidR="00F031E3" w:rsidRPr="00CA2D44" w:rsidRDefault="00F031E3" w:rsidP="0027686B">
            <w:pPr>
              <w:jc w:val="center"/>
              <w:rPr>
                <w:rFonts w:asciiTheme="majorBidi" w:hAnsiTheme="majorBidi" w:cstheme="majorBidi"/>
                <w:b/>
                <w:bCs/>
                <w:sz w:val="24"/>
                <w:szCs w:val="24"/>
              </w:rPr>
            </w:pPr>
            <w:r w:rsidRPr="00CA2D44">
              <w:rPr>
                <w:rFonts w:asciiTheme="majorBidi" w:hAnsiTheme="majorBidi" w:cstheme="majorBidi"/>
                <w:b/>
                <w:bCs/>
                <w:sz w:val="24"/>
                <w:szCs w:val="24"/>
              </w:rPr>
              <w:t>p-value</w:t>
            </w:r>
          </w:p>
        </w:tc>
      </w:tr>
      <w:tr w:rsidR="00F031E3" w:rsidRPr="00CA2D44" w14:paraId="0145F51D" w14:textId="77777777" w:rsidTr="0027686B">
        <w:trPr>
          <w:jc w:val="center"/>
        </w:trPr>
        <w:tc>
          <w:tcPr>
            <w:tcW w:w="2442" w:type="dxa"/>
            <w:vMerge/>
          </w:tcPr>
          <w:p w14:paraId="5522E3F9" w14:textId="77777777" w:rsidR="00F031E3" w:rsidRPr="00CA2D44" w:rsidRDefault="00F031E3" w:rsidP="0027686B">
            <w:pPr>
              <w:rPr>
                <w:rFonts w:asciiTheme="majorBidi" w:hAnsiTheme="majorBidi" w:cstheme="majorBidi"/>
                <w:sz w:val="24"/>
                <w:szCs w:val="24"/>
              </w:rPr>
            </w:pPr>
          </w:p>
        </w:tc>
        <w:tc>
          <w:tcPr>
            <w:tcW w:w="1806" w:type="dxa"/>
          </w:tcPr>
          <w:p w14:paraId="3690A199" w14:textId="77777777" w:rsidR="00F031E3" w:rsidRPr="00CA2D44" w:rsidRDefault="00F031E3" w:rsidP="0027686B">
            <w:pPr>
              <w:jc w:val="center"/>
              <w:rPr>
                <w:rFonts w:asciiTheme="majorBidi" w:hAnsiTheme="majorBidi" w:cstheme="majorBidi"/>
                <w:b/>
                <w:bCs/>
                <w:sz w:val="24"/>
                <w:szCs w:val="24"/>
              </w:rPr>
            </w:pPr>
            <w:r w:rsidRPr="00CA2D44">
              <w:rPr>
                <w:rFonts w:asciiTheme="majorBidi" w:hAnsiTheme="majorBidi" w:cstheme="majorBidi"/>
                <w:b/>
                <w:bCs/>
                <w:sz w:val="24"/>
                <w:szCs w:val="24"/>
              </w:rPr>
              <w:t>Correlation (</w:t>
            </w:r>
            <w:proofErr w:type="spellStart"/>
            <w:r w:rsidRPr="00CA2D44">
              <w:rPr>
                <w:rFonts w:asciiTheme="majorBidi" w:hAnsiTheme="majorBidi" w:cstheme="majorBidi"/>
                <w:b/>
                <w:bCs/>
                <w:sz w:val="24"/>
                <w:szCs w:val="24"/>
              </w:rPr>
              <w:t>r</w:t>
            </w:r>
            <w:r w:rsidRPr="00CA2D44">
              <w:rPr>
                <w:rFonts w:asciiTheme="majorBidi" w:hAnsiTheme="majorBidi" w:cstheme="majorBidi"/>
                <w:b/>
                <w:bCs/>
                <w:sz w:val="24"/>
                <w:szCs w:val="24"/>
                <w:vertAlign w:val="subscript"/>
              </w:rPr>
              <w:t>s</w:t>
            </w:r>
            <w:proofErr w:type="spellEnd"/>
            <w:r w:rsidRPr="00CA2D44">
              <w:rPr>
                <w:rFonts w:asciiTheme="majorBidi" w:hAnsiTheme="majorBidi" w:cstheme="majorBidi"/>
                <w:b/>
                <w:bCs/>
                <w:sz w:val="24"/>
                <w:szCs w:val="24"/>
              </w:rPr>
              <w:t>)</w:t>
            </w:r>
          </w:p>
        </w:tc>
        <w:tc>
          <w:tcPr>
            <w:tcW w:w="1650" w:type="dxa"/>
            <w:vMerge/>
          </w:tcPr>
          <w:p w14:paraId="659431C3" w14:textId="77777777" w:rsidR="00F031E3" w:rsidRPr="00CA2D44" w:rsidRDefault="00F031E3" w:rsidP="0027686B">
            <w:pPr>
              <w:jc w:val="center"/>
              <w:rPr>
                <w:rFonts w:asciiTheme="majorBidi" w:hAnsiTheme="majorBidi" w:cstheme="majorBidi"/>
                <w:sz w:val="24"/>
                <w:szCs w:val="24"/>
              </w:rPr>
            </w:pPr>
          </w:p>
        </w:tc>
      </w:tr>
      <w:tr w:rsidR="00F031E3" w:rsidRPr="00CA2D44" w14:paraId="4D8D153D" w14:textId="77777777" w:rsidTr="0027686B">
        <w:trPr>
          <w:jc w:val="center"/>
        </w:trPr>
        <w:tc>
          <w:tcPr>
            <w:tcW w:w="2442" w:type="dxa"/>
          </w:tcPr>
          <w:p w14:paraId="73D902E5"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Molar Mesial</w:t>
            </w:r>
          </w:p>
        </w:tc>
        <w:tc>
          <w:tcPr>
            <w:tcW w:w="1806" w:type="dxa"/>
          </w:tcPr>
          <w:p w14:paraId="6750EF38" w14:textId="77777777" w:rsidR="00F031E3" w:rsidRPr="00CA2D44" w:rsidRDefault="00F031E3" w:rsidP="0027686B">
            <w:pPr>
              <w:jc w:val="center"/>
              <w:rPr>
                <w:rFonts w:asciiTheme="majorBidi" w:hAnsiTheme="majorBidi" w:cstheme="majorBidi"/>
                <w:sz w:val="24"/>
                <w:szCs w:val="24"/>
              </w:rPr>
            </w:pPr>
            <w:r w:rsidRPr="00CA2D44">
              <w:rPr>
                <w:rFonts w:asciiTheme="majorBidi" w:hAnsiTheme="majorBidi" w:cstheme="majorBidi"/>
                <w:sz w:val="24"/>
                <w:szCs w:val="24"/>
              </w:rPr>
              <w:t>-0.163</w:t>
            </w:r>
          </w:p>
        </w:tc>
        <w:tc>
          <w:tcPr>
            <w:tcW w:w="1650" w:type="dxa"/>
          </w:tcPr>
          <w:p w14:paraId="26F62F9B" w14:textId="77777777" w:rsidR="00F031E3" w:rsidRPr="00CA2D44" w:rsidRDefault="00F031E3" w:rsidP="0027686B">
            <w:pPr>
              <w:jc w:val="center"/>
              <w:rPr>
                <w:rFonts w:asciiTheme="majorBidi" w:hAnsiTheme="majorBidi" w:cstheme="majorBidi"/>
                <w:sz w:val="24"/>
                <w:szCs w:val="24"/>
              </w:rPr>
            </w:pPr>
            <w:r w:rsidRPr="00CA2D44">
              <w:rPr>
                <w:rFonts w:asciiTheme="majorBidi" w:hAnsiTheme="majorBidi" w:cstheme="majorBidi"/>
                <w:sz w:val="24"/>
                <w:szCs w:val="24"/>
              </w:rPr>
              <w:t>0.398</w:t>
            </w:r>
          </w:p>
        </w:tc>
      </w:tr>
      <w:tr w:rsidR="00F031E3" w:rsidRPr="00CA2D44" w14:paraId="12E87D9C" w14:textId="77777777" w:rsidTr="0027686B">
        <w:trPr>
          <w:jc w:val="center"/>
        </w:trPr>
        <w:tc>
          <w:tcPr>
            <w:tcW w:w="2442" w:type="dxa"/>
          </w:tcPr>
          <w:p w14:paraId="3874AD63"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Premolar Mesial</w:t>
            </w:r>
          </w:p>
        </w:tc>
        <w:tc>
          <w:tcPr>
            <w:tcW w:w="1806" w:type="dxa"/>
          </w:tcPr>
          <w:p w14:paraId="6F2C7BD7" w14:textId="77777777" w:rsidR="00F031E3" w:rsidRPr="00CA2D44" w:rsidRDefault="00F031E3" w:rsidP="0027686B">
            <w:pPr>
              <w:jc w:val="center"/>
              <w:rPr>
                <w:rFonts w:asciiTheme="majorBidi" w:hAnsiTheme="majorBidi" w:cstheme="majorBidi"/>
                <w:sz w:val="24"/>
                <w:szCs w:val="24"/>
              </w:rPr>
            </w:pPr>
            <w:r w:rsidRPr="00CA2D44">
              <w:rPr>
                <w:rFonts w:asciiTheme="majorBidi" w:hAnsiTheme="majorBidi" w:cstheme="majorBidi"/>
                <w:sz w:val="24"/>
                <w:szCs w:val="24"/>
              </w:rPr>
              <w:t>0.051</w:t>
            </w:r>
          </w:p>
        </w:tc>
        <w:tc>
          <w:tcPr>
            <w:tcW w:w="1650" w:type="dxa"/>
          </w:tcPr>
          <w:p w14:paraId="1897CEE2" w14:textId="77777777" w:rsidR="00F031E3" w:rsidRPr="00CA2D44" w:rsidRDefault="00F031E3" w:rsidP="0027686B">
            <w:pPr>
              <w:jc w:val="center"/>
              <w:rPr>
                <w:rFonts w:asciiTheme="majorBidi" w:hAnsiTheme="majorBidi" w:cstheme="majorBidi"/>
                <w:sz w:val="24"/>
                <w:szCs w:val="24"/>
              </w:rPr>
            </w:pPr>
            <w:r w:rsidRPr="00CA2D44">
              <w:rPr>
                <w:rFonts w:asciiTheme="majorBidi" w:hAnsiTheme="majorBidi" w:cstheme="majorBidi"/>
                <w:sz w:val="24"/>
                <w:szCs w:val="24"/>
              </w:rPr>
              <w:t>0.711</w:t>
            </w:r>
          </w:p>
        </w:tc>
      </w:tr>
      <w:tr w:rsidR="00F031E3" w:rsidRPr="00CA2D44" w14:paraId="4AF7A0E2" w14:textId="77777777" w:rsidTr="0027686B">
        <w:trPr>
          <w:jc w:val="center"/>
        </w:trPr>
        <w:tc>
          <w:tcPr>
            <w:tcW w:w="2442" w:type="dxa"/>
          </w:tcPr>
          <w:p w14:paraId="7C27846A"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Anterior Mesial</w:t>
            </w:r>
          </w:p>
        </w:tc>
        <w:tc>
          <w:tcPr>
            <w:tcW w:w="1806" w:type="dxa"/>
          </w:tcPr>
          <w:p w14:paraId="130FBFEF" w14:textId="77777777" w:rsidR="00F031E3" w:rsidRPr="00CA2D44" w:rsidRDefault="00F031E3" w:rsidP="0027686B">
            <w:pPr>
              <w:jc w:val="center"/>
              <w:rPr>
                <w:rFonts w:asciiTheme="majorBidi" w:hAnsiTheme="majorBidi" w:cstheme="majorBidi"/>
                <w:sz w:val="24"/>
                <w:szCs w:val="24"/>
              </w:rPr>
            </w:pPr>
            <w:r w:rsidRPr="00CA2D44">
              <w:rPr>
                <w:rFonts w:asciiTheme="majorBidi" w:hAnsiTheme="majorBidi" w:cstheme="majorBidi"/>
                <w:sz w:val="24"/>
                <w:szCs w:val="24"/>
              </w:rPr>
              <w:t>-0.038</w:t>
            </w:r>
          </w:p>
        </w:tc>
        <w:tc>
          <w:tcPr>
            <w:tcW w:w="1650" w:type="dxa"/>
          </w:tcPr>
          <w:p w14:paraId="5E42FD2D" w14:textId="77777777" w:rsidR="00F031E3" w:rsidRPr="00CA2D44" w:rsidRDefault="00F031E3" w:rsidP="0027686B">
            <w:pPr>
              <w:jc w:val="center"/>
              <w:rPr>
                <w:rFonts w:asciiTheme="majorBidi" w:hAnsiTheme="majorBidi" w:cstheme="majorBidi"/>
                <w:sz w:val="24"/>
                <w:szCs w:val="24"/>
              </w:rPr>
            </w:pPr>
            <w:r w:rsidRPr="00CA2D44">
              <w:rPr>
                <w:rFonts w:asciiTheme="majorBidi" w:hAnsiTheme="majorBidi" w:cstheme="majorBidi"/>
                <w:sz w:val="24"/>
                <w:szCs w:val="24"/>
              </w:rPr>
              <w:t>0.760</w:t>
            </w:r>
          </w:p>
        </w:tc>
      </w:tr>
      <w:tr w:rsidR="00F031E3" w:rsidRPr="00CA2D44" w14:paraId="1B22F40C" w14:textId="77777777" w:rsidTr="0027686B">
        <w:trPr>
          <w:jc w:val="center"/>
        </w:trPr>
        <w:tc>
          <w:tcPr>
            <w:tcW w:w="2442" w:type="dxa"/>
          </w:tcPr>
          <w:p w14:paraId="18E3C968"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Molar Distal</w:t>
            </w:r>
          </w:p>
        </w:tc>
        <w:tc>
          <w:tcPr>
            <w:tcW w:w="1806" w:type="dxa"/>
          </w:tcPr>
          <w:p w14:paraId="75B2634F" w14:textId="77777777" w:rsidR="00F031E3" w:rsidRPr="00CA2D44" w:rsidRDefault="00F031E3" w:rsidP="0027686B">
            <w:pPr>
              <w:jc w:val="center"/>
              <w:rPr>
                <w:rFonts w:asciiTheme="majorBidi" w:hAnsiTheme="majorBidi" w:cstheme="majorBidi"/>
                <w:sz w:val="24"/>
                <w:szCs w:val="24"/>
              </w:rPr>
            </w:pPr>
            <w:r w:rsidRPr="00CA2D44">
              <w:rPr>
                <w:rFonts w:asciiTheme="majorBidi" w:hAnsiTheme="majorBidi" w:cstheme="majorBidi"/>
                <w:sz w:val="24"/>
                <w:szCs w:val="24"/>
              </w:rPr>
              <w:t>-0.014</w:t>
            </w:r>
          </w:p>
        </w:tc>
        <w:tc>
          <w:tcPr>
            <w:tcW w:w="1650" w:type="dxa"/>
          </w:tcPr>
          <w:p w14:paraId="5798C74F" w14:textId="77777777" w:rsidR="00F031E3" w:rsidRPr="00CA2D44" w:rsidRDefault="00F031E3" w:rsidP="0027686B">
            <w:pPr>
              <w:jc w:val="center"/>
              <w:rPr>
                <w:rFonts w:asciiTheme="majorBidi" w:hAnsiTheme="majorBidi" w:cstheme="majorBidi"/>
                <w:sz w:val="24"/>
                <w:szCs w:val="24"/>
              </w:rPr>
            </w:pPr>
            <w:r w:rsidRPr="00CA2D44">
              <w:rPr>
                <w:rFonts w:asciiTheme="majorBidi" w:hAnsiTheme="majorBidi" w:cstheme="majorBidi"/>
                <w:sz w:val="24"/>
                <w:szCs w:val="24"/>
              </w:rPr>
              <w:t>0.941</w:t>
            </w:r>
          </w:p>
        </w:tc>
      </w:tr>
      <w:tr w:rsidR="00F031E3" w:rsidRPr="00CA2D44" w14:paraId="6A840F76" w14:textId="77777777" w:rsidTr="0027686B">
        <w:trPr>
          <w:jc w:val="center"/>
        </w:trPr>
        <w:tc>
          <w:tcPr>
            <w:tcW w:w="2442" w:type="dxa"/>
          </w:tcPr>
          <w:p w14:paraId="26F93BBD"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Premolar Distal</w:t>
            </w:r>
          </w:p>
        </w:tc>
        <w:tc>
          <w:tcPr>
            <w:tcW w:w="1806" w:type="dxa"/>
          </w:tcPr>
          <w:p w14:paraId="42759129" w14:textId="77777777" w:rsidR="00F031E3" w:rsidRPr="00CA2D44" w:rsidRDefault="00F031E3" w:rsidP="0027686B">
            <w:pPr>
              <w:jc w:val="center"/>
              <w:rPr>
                <w:rFonts w:asciiTheme="majorBidi" w:hAnsiTheme="majorBidi" w:cstheme="majorBidi"/>
                <w:sz w:val="24"/>
                <w:szCs w:val="24"/>
              </w:rPr>
            </w:pPr>
            <w:r w:rsidRPr="00CA2D44">
              <w:rPr>
                <w:rFonts w:asciiTheme="majorBidi" w:hAnsiTheme="majorBidi" w:cstheme="majorBidi"/>
                <w:sz w:val="24"/>
                <w:szCs w:val="24"/>
              </w:rPr>
              <w:t>0.019</w:t>
            </w:r>
          </w:p>
        </w:tc>
        <w:tc>
          <w:tcPr>
            <w:tcW w:w="1650" w:type="dxa"/>
          </w:tcPr>
          <w:p w14:paraId="334EA105" w14:textId="77777777" w:rsidR="00F031E3" w:rsidRPr="00CA2D44" w:rsidRDefault="00F031E3" w:rsidP="0027686B">
            <w:pPr>
              <w:jc w:val="center"/>
              <w:rPr>
                <w:rFonts w:asciiTheme="majorBidi" w:hAnsiTheme="majorBidi" w:cstheme="majorBidi"/>
                <w:sz w:val="24"/>
                <w:szCs w:val="24"/>
              </w:rPr>
            </w:pPr>
            <w:r w:rsidRPr="00CA2D44">
              <w:rPr>
                <w:rFonts w:asciiTheme="majorBidi" w:hAnsiTheme="majorBidi" w:cstheme="majorBidi"/>
                <w:sz w:val="24"/>
                <w:szCs w:val="24"/>
              </w:rPr>
              <w:t>0.891</w:t>
            </w:r>
          </w:p>
        </w:tc>
      </w:tr>
      <w:tr w:rsidR="00F031E3" w:rsidRPr="00CA2D44" w14:paraId="27F7A26F" w14:textId="77777777" w:rsidTr="0027686B">
        <w:trPr>
          <w:jc w:val="center"/>
        </w:trPr>
        <w:tc>
          <w:tcPr>
            <w:tcW w:w="2442" w:type="dxa"/>
          </w:tcPr>
          <w:p w14:paraId="6752091E" w14:textId="77777777" w:rsidR="00F031E3" w:rsidRPr="00CA2D44" w:rsidRDefault="00F031E3" w:rsidP="0027686B">
            <w:pPr>
              <w:rPr>
                <w:rFonts w:asciiTheme="majorBidi" w:hAnsiTheme="majorBidi" w:cstheme="majorBidi"/>
                <w:sz w:val="24"/>
                <w:szCs w:val="24"/>
              </w:rPr>
            </w:pPr>
            <w:r w:rsidRPr="00CA2D44">
              <w:rPr>
                <w:rFonts w:asciiTheme="majorBidi" w:hAnsiTheme="majorBidi" w:cstheme="majorBidi"/>
                <w:sz w:val="24"/>
                <w:szCs w:val="24"/>
              </w:rPr>
              <w:t>Anterior Distal</w:t>
            </w:r>
          </w:p>
        </w:tc>
        <w:tc>
          <w:tcPr>
            <w:tcW w:w="1806" w:type="dxa"/>
          </w:tcPr>
          <w:p w14:paraId="5134A947" w14:textId="77777777" w:rsidR="00F031E3" w:rsidRPr="00CA2D44" w:rsidRDefault="00F031E3" w:rsidP="0027686B">
            <w:pPr>
              <w:jc w:val="center"/>
              <w:rPr>
                <w:rFonts w:asciiTheme="majorBidi" w:hAnsiTheme="majorBidi" w:cstheme="majorBidi"/>
                <w:sz w:val="24"/>
                <w:szCs w:val="24"/>
              </w:rPr>
            </w:pPr>
            <w:r w:rsidRPr="00CA2D44">
              <w:rPr>
                <w:rFonts w:asciiTheme="majorBidi" w:hAnsiTheme="majorBidi" w:cstheme="majorBidi"/>
                <w:sz w:val="24"/>
                <w:szCs w:val="24"/>
              </w:rPr>
              <w:t>0.060</w:t>
            </w:r>
          </w:p>
        </w:tc>
        <w:tc>
          <w:tcPr>
            <w:tcW w:w="1650" w:type="dxa"/>
          </w:tcPr>
          <w:p w14:paraId="6C4ED96A" w14:textId="77777777" w:rsidR="00F031E3" w:rsidRPr="00CA2D44" w:rsidRDefault="00F031E3" w:rsidP="0027686B">
            <w:pPr>
              <w:jc w:val="center"/>
              <w:rPr>
                <w:rFonts w:asciiTheme="majorBidi" w:hAnsiTheme="majorBidi" w:cstheme="majorBidi"/>
                <w:sz w:val="24"/>
                <w:szCs w:val="24"/>
              </w:rPr>
            </w:pPr>
            <w:r w:rsidRPr="00CA2D44">
              <w:rPr>
                <w:rFonts w:asciiTheme="majorBidi" w:hAnsiTheme="majorBidi" w:cstheme="majorBidi"/>
                <w:sz w:val="24"/>
                <w:szCs w:val="24"/>
              </w:rPr>
              <w:t>0.632</w:t>
            </w:r>
          </w:p>
        </w:tc>
      </w:tr>
    </w:tbl>
    <w:p w14:paraId="621F3797" w14:textId="397FA5EC" w:rsidR="00F031E3" w:rsidRDefault="00F031E3" w:rsidP="00F031E3">
      <w:pP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 xml:space="preserve">                                  </w:t>
      </w:r>
      <w:r w:rsidR="008A2A0A" w:rsidRPr="00CA2D44">
        <w:rPr>
          <w:rFonts w:asciiTheme="majorBidi" w:hAnsiTheme="majorBidi" w:cstheme="majorBidi"/>
          <w:color w:val="000000" w:themeColor="text1"/>
          <w:sz w:val="20"/>
          <w:szCs w:val="20"/>
        </w:rPr>
        <w:t>Significant</w:t>
      </w:r>
      <w:r w:rsidRPr="00CA2D44">
        <w:rPr>
          <w:rFonts w:asciiTheme="majorBidi" w:hAnsiTheme="majorBidi" w:cstheme="majorBidi"/>
          <w:color w:val="000000" w:themeColor="text1"/>
          <w:sz w:val="20"/>
          <w:szCs w:val="20"/>
        </w:rPr>
        <w:t xml:space="preserve"> level at </w:t>
      </w:r>
      <w:r w:rsidRPr="00CA2D44">
        <w:rPr>
          <w:rFonts w:asciiTheme="majorBidi" w:hAnsiTheme="majorBidi" w:cstheme="majorBidi"/>
          <w:i/>
          <w:iCs/>
          <w:color w:val="000000" w:themeColor="text1"/>
          <w:sz w:val="20"/>
          <w:szCs w:val="20"/>
        </w:rPr>
        <w:t>p</w:t>
      </w:r>
      <w:r w:rsidRPr="00CA2D44">
        <w:rPr>
          <w:rFonts w:asciiTheme="majorBidi" w:hAnsiTheme="majorBidi" w:cstheme="majorBidi"/>
          <w:color w:val="000000" w:themeColor="text1"/>
          <w:sz w:val="20"/>
          <w:szCs w:val="20"/>
        </w:rPr>
        <w:t>&lt;0.05</w:t>
      </w:r>
    </w:p>
    <w:p w14:paraId="1E5F1DA8" w14:textId="74E3CCC8" w:rsidR="008A2A0A" w:rsidRPr="0032465B" w:rsidRDefault="008A2A0A" w:rsidP="008A2A0A">
      <w:pPr>
        <w:spacing w:line="480" w:lineRule="auto"/>
        <w:rPr>
          <w:rFonts w:asciiTheme="majorBidi" w:hAnsiTheme="majorBidi" w:cstheme="majorBidi"/>
        </w:rPr>
      </w:pPr>
      <w:r w:rsidRPr="0032465B">
        <w:rPr>
          <w:rFonts w:asciiTheme="majorBidi" w:hAnsiTheme="majorBidi" w:cstheme="majorBidi"/>
        </w:rPr>
        <w:t xml:space="preserve">The MBL and the REA were evaluated independently across anterior, premolar, and molar regions at the follow-up phase (T4). Spearman's rank correlation analysis revealed no statistically significant correlation between REA and MBL at mesial or distal implant sites (P &gt; 0.05) (Table </w:t>
      </w:r>
      <w:r w:rsidRPr="0032465B">
        <w:rPr>
          <w:rFonts w:asciiTheme="majorBidi" w:hAnsiTheme="majorBidi" w:cstheme="majorBidi"/>
        </w:rPr>
        <w:lastRenderedPageBreak/>
        <w:t>7). These findings suggest that at the final follow-up, the emergence angle did not appear to influence the amount of bone remodeling observed around the implants.</w:t>
      </w:r>
    </w:p>
    <w:p w14:paraId="42018588" w14:textId="77777777" w:rsidR="008A2A0A" w:rsidRPr="0032465B" w:rsidRDefault="008A2A0A" w:rsidP="008A2A0A">
      <w:pPr>
        <w:rPr>
          <w:rFonts w:asciiTheme="majorBidi" w:hAnsiTheme="majorBidi" w:cstheme="majorBidi"/>
          <w:b/>
          <w:bCs/>
        </w:rPr>
      </w:pPr>
      <w:r w:rsidRPr="0032465B">
        <w:rPr>
          <w:rFonts w:asciiTheme="majorBidi" w:hAnsiTheme="majorBidi" w:cstheme="majorBidi"/>
          <w:b/>
          <w:bCs/>
        </w:rPr>
        <w:t xml:space="preserve">Table 7. Correlation Between REA and MBL </w:t>
      </w:r>
      <w:r w:rsidRPr="0032465B">
        <w:rPr>
          <w:rFonts w:asciiTheme="majorBidi" w:hAnsiTheme="majorBidi" w:cstheme="majorBidi"/>
          <w:b/>
          <w:bCs/>
          <w:color w:val="000000"/>
        </w:rPr>
        <w:t>at follow-up</w:t>
      </w:r>
      <w:r>
        <w:rPr>
          <w:rFonts w:asciiTheme="majorBidi" w:hAnsiTheme="majorBidi" w:cstheme="majorBidi"/>
          <w:b/>
          <w:bCs/>
          <w:color w:val="000000"/>
        </w:rPr>
        <w:t xml:space="preserve"> </w:t>
      </w:r>
      <w:r w:rsidRPr="0032465B">
        <w:rPr>
          <w:rFonts w:asciiTheme="majorBidi" w:hAnsiTheme="majorBidi" w:cstheme="majorBidi"/>
          <w:b/>
          <w:bCs/>
          <w:color w:val="000000"/>
        </w:rPr>
        <w:t>(T4)</w:t>
      </w:r>
    </w:p>
    <w:tbl>
      <w:tblPr>
        <w:tblStyle w:val="TableGrid"/>
        <w:tblW w:w="0" w:type="auto"/>
        <w:tblInd w:w="1696" w:type="dxa"/>
        <w:tblLook w:val="04A0" w:firstRow="1" w:lastRow="0" w:firstColumn="1" w:lastColumn="0" w:noHBand="0" w:noVBand="1"/>
      </w:tblPr>
      <w:tblGrid>
        <w:gridCol w:w="2552"/>
        <w:gridCol w:w="1701"/>
        <w:gridCol w:w="1701"/>
      </w:tblGrid>
      <w:tr w:rsidR="008A2A0A" w:rsidRPr="0032465B" w14:paraId="652963D5" w14:textId="77777777" w:rsidTr="000830DD">
        <w:tc>
          <w:tcPr>
            <w:tcW w:w="2552" w:type="dxa"/>
          </w:tcPr>
          <w:p w14:paraId="4F6C8188" w14:textId="77777777" w:rsidR="008A2A0A" w:rsidRPr="0032465B" w:rsidRDefault="008A2A0A" w:rsidP="000830DD">
            <w:pPr>
              <w:rPr>
                <w:rFonts w:asciiTheme="majorBidi" w:hAnsiTheme="majorBidi" w:cstheme="majorBidi"/>
                <w:b/>
                <w:bCs/>
              </w:rPr>
            </w:pPr>
            <w:r w:rsidRPr="0032465B">
              <w:rPr>
                <w:rFonts w:asciiTheme="majorBidi" w:hAnsiTheme="majorBidi" w:cstheme="majorBidi"/>
                <w:b/>
                <w:bCs/>
              </w:rPr>
              <w:t>Position</w:t>
            </w:r>
          </w:p>
        </w:tc>
        <w:tc>
          <w:tcPr>
            <w:tcW w:w="1701" w:type="dxa"/>
          </w:tcPr>
          <w:p w14:paraId="10B2110E" w14:textId="77777777" w:rsidR="008A2A0A" w:rsidRPr="0032465B" w:rsidRDefault="008A2A0A" w:rsidP="000830DD">
            <w:pPr>
              <w:jc w:val="center"/>
              <w:rPr>
                <w:rFonts w:asciiTheme="majorBidi" w:hAnsiTheme="majorBidi" w:cstheme="majorBidi"/>
                <w:b/>
                <w:bCs/>
              </w:rPr>
            </w:pPr>
            <w:r w:rsidRPr="0032465B">
              <w:rPr>
                <w:rFonts w:asciiTheme="majorBidi" w:hAnsiTheme="majorBidi" w:cstheme="majorBidi"/>
                <w:b/>
                <w:bCs/>
              </w:rPr>
              <w:t>MBL Correlation (rₛ)</w:t>
            </w:r>
          </w:p>
        </w:tc>
        <w:tc>
          <w:tcPr>
            <w:tcW w:w="1701" w:type="dxa"/>
          </w:tcPr>
          <w:p w14:paraId="1A4506FA" w14:textId="77777777" w:rsidR="008A2A0A" w:rsidRPr="0032465B" w:rsidRDefault="008A2A0A" w:rsidP="000830DD">
            <w:pPr>
              <w:jc w:val="center"/>
              <w:rPr>
                <w:rFonts w:asciiTheme="majorBidi" w:hAnsiTheme="majorBidi" w:cstheme="majorBidi"/>
                <w:b/>
                <w:bCs/>
              </w:rPr>
            </w:pPr>
            <w:r w:rsidRPr="0032465B">
              <w:rPr>
                <w:rFonts w:asciiTheme="majorBidi" w:hAnsiTheme="majorBidi" w:cstheme="majorBidi"/>
                <w:b/>
                <w:bCs/>
              </w:rPr>
              <w:t>p-value</w:t>
            </w:r>
          </w:p>
        </w:tc>
      </w:tr>
      <w:tr w:rsidR="008A2A0A" w:rsidRPr="0032465B" w14:paraId="25E06784" w14:textId="77777777" w:rsidTr="000830DD">
        <w:tc>
          <w:tcPr>
            <w:tcW w:w="2552" w:type="dxa"/>
          </w:tcPr>
          <w:p w14:paraId="7FE7D95D" w14:textId="77777777" w:rsidR="008A2A0A" w:rsidRPr="0032465B" w:rsidRDefault="008A2A0A" w:rsidP="000830DD">
            <w:pPr>
              <w:rPr>
                <w:rFonts w:asciiTheme="majorBidi" w:hAnsiTheme="majorBidi" w:cstheme="majorBidi"/>
              </w:rPr>
            </w:pPr>
            <w:r w:rsidRPr="0032465B">
              <w:rPr>
                <w:rFonts w:asciiTheme="majorBidi" w:hAnsiTheme="majorBidi" w:cstheme="majorBidi"/>
              </w:rPr>
              <w:t>Molar Mesial</w:t>
            </w:r>
          </w:p>
        </w:tc>
        <w:tc>
          <w:tcPr>
            <w:tcW w:w="1701" w:type="dxa"/>
          </w:tcPr>
          <w:p w14:paraId="7C8AAFB4" w14:textId="77777777" w:rsidR="008A2A0A" w:rsidRPr="0032465B" w:rsidRDefault="008A2A0A" w:rsidP="000830DD">
            <w:pPr>
              <w:rPr>
                <w:rFonts w:asciiTheme="majorBidi" w:hAnsiTheme="majorBidi" w:cstheme="majorBidi"/>
              </w:rPr>
            </w:pPr>
            <w:r w:rsidRPr="0032465B">
              <w:rPr>
                <w:rFonts w:asciiTheme="majorBidi" w:hAnsiTheme="majorBidi" w:cstheme="majorBidi"/>
              </w:rPr>
              <w:t>-0.2128</w:t>
            </w:r>
          </w:p>
        </w:tc>
        <w:tc>
          <w:tcPr>
            <w:tcW w:w="1701" w:type="dxa"/>
          </w:tcPr>
          <w:p w14:paraId="6F839462" w14:textId="77777777" w:rsidR="008A2A0A" w:rsidRPr="0032465B" w:rsidRDefault="008A2A0A" w:rsidP="000830DD">
            <w:pPr>
              <w:rPr>
                <w:rFonts w:asciiTheme="majorBidi" w:hAnsiTheme="majorBidi" w:cstheme="majorBidi"/>
              </w:rPr>
            </w:pPr>
            <w:r w:rsidRPr="0032465B">
              <w:rPr>
                <w:rFonts w:asciiTheme="majorBidi" w:hAnsiTheme="majorBidi" w:cstheme="majorBidi"/>
              </w:rPr>
              <w:t>0.50</w:t>
            </w:r>
          </w:p>
        </w:tc>
      </w:tr>
      <w:tr w:rsidR="008A2A0A" w:rsidRPr="0032465B" w14:paraId="502D1390" w14:textId="77777777" w:rsidTr="000830DD">
        <w:tc>
          <w:tcPr>
            <w:tcW w:w="2552" w:type="dxa"/>
          </w:tcPr>
          <w:p w14:paraId="2CF00CCB" w14:textId="77777777" w:rsidR="008A2A0A" w:rsidRPr="0032465B" w:rsidRDefault="008A2A0A" w:rsidP="000830DD">
            <w:pPr>
              <w:rPr>
                <w:rFonts w:asciiTheme="majorBidi" w:hAnsiTheme="majorBidi" w:cstheme="majorBidi"/>
              </w:rPr>
            </w:pPr>
            <w:r w:rsidRPr="0032465B">
              <w:rPr>
                <w:rFonts w:asciiTheme="majorBidi" w:hAnsiTheme="majorBidi" w:cstheme="majorBidi"/>
              </w:rPr>
              <w:t>Premolar Mesial</w:t>
            </w:r>
          </w:p>
        </w:tc>
        <w:tc>
          <w:tcPr>
            <w:tcW w:w="1701" w:type="dxa"/>
          </w:tcPr>
          <w:p w14:paraId="1027996C" w14:textId="77777777" w:rsidR="008A2A0A" w:rsidRPr="0032465B" w:rsidRDefault="008A2A0A" w:rsidP="000830DD">
            <w:pPr>
              <w:rPr>
                <w:rFonts w:asciiTheme="majorBidi" w:hAnsiTheme="majorBidi" w:cstheme="majorBidi"/>
              </w:rPr>
            </w:pPr>
            <w:r w:rsidRPr="0032465B">
              <w:rPr>
                <w:rFonts w:asciiTheme="majorBidi" w:hAnsiTheme="majorBidi" w:cstheme="majorBidi"/>
              </w:rPr>
              <w:t>-0.0106</w:t>
            </w:r>
          </w:p>
        </w:tc>
        <w:tc>
          <w:tcPr>
            <w:tcW w:w="1701" w:type="dxa"/>
          </w:tcPr>
          <w:p w14:paraId="5A357742" w14:textId="77777777" w:rsidR="008A2A0A" w:rsidRPr="0032465B" w:rsidRDefault="008A2A0A" w:rsidP="000830DD">
            <w:pPr>
              <w:rPr>
                <w:rFonts w:asciiTheme="majorBidi" w:hAnsiTheme="majorBidi" w:cstheme="majorBidi"/>
              </w:rPr>
            </w:pPr>
            <w:r w:rsidRPr="0032465B">
              <w:rPr>
                <w:rFonts w:asciiTheme="majorBidi" w:hAnsiTheme="majorBidi" w:cstheme="majorBidi"/>
              </w:rPr>
              <w:t>0.96</w:t>
            </w:r>
          </w:p>
        </w:tc>
      </w:tr>
      <w:tr w:rsidR="008A2A0A" w:rsidRPr="0032465B" w14:paraId="06199EE1" w14:textId="77777777" w:rsidTr="000830DD">
        <w:tc>
          <w:tcPr>
            <w:tcW w:w="2552" w:type="dxa"/>
          </w:tcPr>
          <w:p w14:paraId="6C546D6D" w14:textId="77777777" w:rsidR="008A2A0A" w:rsidRPr="0032465B" w:rsidRDefault="008A2A0A" w:rsidP="000830DD">
            <w:pPr>
              <w:rPr>
                <w:rFonts w:asciiTheme="majorBidi" w:hAnsiTheme="majorBidi" w:cstheme="majorBidi"/>
              </w:rPr>
            </w:pPr>
            <w:r w:rsidRPr="0032465B">
              <w:rPr>
                <w:rFonts w:asciiTheme="majorBidi" w:hAnsiTheme="majorBidi" w:cstheme="majorBidi"/>
              </w:rPr>
              <w:t>Anterior Mesial</w:t>
            </w:r>
          </w:p>
        </w:tc>
        <w:tc>
          <w:tcPr>
            <w:tcW w:w="1701" w:type="dxa"/>
          </w:tcPr>
          <w:p w14:paraId="7DF6E0EF" w14:textId="77777777" w:rsidR="008A2A0A" w:rsidRPr="0032465B" w:rsidRDefault="008A2A0A" w:rsidP="000830DD">
            <w:pPr>
              <w:rPr>
                <w:rFonts w:asciiTheme="majorBidi" w:hAnsiTheme="majorBidi" w:cstheme="majorBidi"/>
              </w:rPr>
            </w:pPr>
            <w:r w:rsidRPr="0032465B">
              <w:rPr>
                <w:rFonts w:asciiTheme="majorBidi" w:hAnsiTheme="majorBidi" w:cstheme="majorBidi"/>
              </w:rPr>
              <w:t>0.1082</w:t>
            </w:r>
          </w:p>
        </w:tc>
        <w:tc>
          <w:tcPr>
            <w:tcW w:w="1701" w:type="dxa"/>
          </w:tcPr>
          <w:p w14:paraId="03203839" w14:textId="77777777" w:rsidR="008A2A0A" w:rsidRPr="0032465B" w:rsidRDefault="008A2A0A" w:rsidP="000830DD">
            <w:pPr>
              <w:rPr>
                <w:rFonts w:asciiTheme="majorBidi" w:hAnsiTheme="majorBidi" w:cstheme="majorBidi"/>
              </w:rPr>
            </w:pPr>
            <w:r w:rsidRPr="0032465B">
              <w:rPr>
                <w:rFonts w:asciiTheme="majorBidi" w:hAnsiTheme="majorBidi" w:cstheme="majorBidi"/>
              </w:rPr>
              <w:t>0.61</w:t>
            </w:r>
          </w:p>
        </w:tc>
      </w:tr>
      <w:tr w:rsidR="008A2A0A" w:rsidRPr="0032465B" w14:paraId="5D8EF617" w14:textId="77777777" w:rsidTr="000830DD">
        <w:tc>
          <w:tcPr>
            <w:tcW w:w="2552" w:type="dxa"/>
          </w:tcPr>
          <w:p w14:paraId="1FF0CBC0" w14:textId="77777777" w:rsidR="008A2A0A" w:rsidRPr="0032465B" w:rsidRDefault="008A2A0A" w:rsidP="000830DD">
            <w:pPr>
              <w:rPr>
                <w:rFonts w:asciiTheme="majorBidi" w:hAnsiTheme="majorBidi" w:cstheme="majorBidi"/>
              </w:rPr>
            </w:pPr>
            <w:r w:rsidRPr="0032465B">
              <w:rPr>
                <w:rFonts w:asciiTheme="majorBidi" w:hAnsiTheme="majorBidi" w:cstheme="majorBidi"/>
              </w:rPr>
              <w:t>Molar Distal</w:t>
            </w:r>
          </w:p>
        </w:tc>
        <w:tc>
          <w:tcPr>
            <w:tcW w:w="1701" w:type="dxa"/>
          </w:tcPr>
          <w:p w14:paraId="73C53D15" w14:textId="77777777" w:rsidR="008A2A0A" w:rsidRPr="0032465B" w:rsidRDefault="008A2A0A" w:rsidP="000830DD">
            <w:pPr>
              <w:rPr>
                <w:rFonts w:asciiTheme="majorBidi" w:hAnsiTheme="majorBidi" w:cstheme="majorBidi"/>
              </w:rPr>
            </w:pPr>
            <w:r w:rsidRPr="0032465B">
              <w:rPr>
                <w:rFonts w:asciiTheme="majorBidi" w:hAnsiTheme="majorBidi" w:cstheme="majorBidi"/>
              </w:rPr>
              <w:t>0.3315</w:t>
            </w:r>
          </w:p>
        </w:tc>
        <w:tc>
          <w:tcPr>
            <w:tcW w:w="1701" w:type="dxa"/>
          </w:tcPr>
          <w:p w14:paraId="70C5565C" w14:textId="77777777" w:rsidR="008A2A0A" w:rsidRPr="0032465B" w:rsidRDefault="008A2A0A" w:rsidP="000830DD">
            <w:pPr>
              <w:rPr>
                <w:rFonts w:asciiTheme="majorBidi" w:hAnsiTheme="majorBidi" w:cstheme="majorBidi"/>
              </w:rPr>
            </w:pPr>
            <w:r w:rsidRPr="0032465B">
              <w:rPr>
                <w:rFonts w:asciiTheme="majorBidi" w:hAnsiTheme="majorBidi" w:cstheme="majorBidi"/>
              </w:rPr>
              <w:t>0.29</w:t>
            </w:r>
          </w:p>
        </w:tc>
      </w:tr>
      <w:tr w:rsidR="008A2A0A" w:rsidRPr="0032465B" w14:paraId="46725C2E" w14:textId="77777777" w:rsidTr="000830DD">
        <w:tc>
          <w:tcPr>
            <w:tcW w:w="2552" w:type="dxa"/>
          </w:tcPr>
          <w:p w14:paraId="5083B522" w14:textId="77777777" w:rsidR="008A2A0A" w:rsidRPr="0032465B" w:rsidRDefault="008A2A0A" w:rsidP="000830DD">
            <w:pPr>
              <w:rPr>
                <w:rFonts w:asciiTheme="majorBidi" w:hAnsiTheme="majorBidi" w:cstheme="majorBidi"/>
              </w:rPr>
            </w:pPr>
            <w:r w:rsidRPr="0032465B">
              <w:rPr>
                <w:rFonts w:asciiTheme="majorBidi" w:hAnsiTheme="majorBidi" w:cstheme="majorBidi"/>
              </w:rPr>
              <w:t>Premolar Distal</w:t>
            </w:r>
          </w:p>
        </w:tc>
        <w:tc>
          <w:tcPr>
            <w:tcW w:w="1701" w:type="dxa"/>
          </w:tcPr>
          <w:p w14:paraId="67C8BEF4" w14:textId="77777777" w:rsidR="008A2A0A" w:rsidRPr="0032465B" w:rsidRDefault="008A2A0A" w:rsidP="000830DD">
            <w:pPr>
              <w:rPr>
                <w:rFonts w:asciiTheme="majorBidi" w:hAnsiTheme="majorBidi" w:cstheme="majorBidi"/>
              </w:rPr>
            </w:pPr>
            <w:r w:rsidRPr="0032465B">
              <w:rPr>
                <w:rFonts w:asciiTheme="majorBidi" w:hAnsiTheme="majorBidi" w:cstheme="majorBidi"/>
              </w:rPr>
              <w:t>0.3813</w:t>
            </w:r>
          </w:p>
        </w:tc>
        <w:tc>
          <w:tcPr>
            <w:tcW w:w="1701" w:type="dxa"/>
          </w:tcPr>
          <w:p w14:paraId="1B527C2C" w14:textId="77777777" w:rsidR="008A2A0A" w:rsidRPr="0032465B" w:rsidRDefault="008A2A0A" w:rsidP="000830DD">
            <w:pPr>
              <w:rPr>
                <w:rFonts w:asciiTheme="majorBidi" w:hAnsiTheme="majorBidi" w:cstheme="majorBidi"/>
              </w:rPr>
            </w:pPr>
            <w:r w:rsidRPr="0032465B">
              <w:rPr>
                <w:rFonts w:asciiTheme="majorBidi" w:hAnsiTheme="majorBidi" w:cstheme="majorBidi"/>
              </w:rPr>
              <w:t>0.10</w:t>
            </w:r>
          </w:p>
        </w:tc>
      </w:tr>
      <w:tr w:rsidR="008A2A0A" w:rsidRPr="0032465B" w14:paraId="00333049" w14:textId="77777777" w:rsidTr="000830DD">
        <w:tc>
          <w:tcPr>
            <w:tcW w:w="2552" w:type="dxa"/>
          </w:tcPr>
          <w:p w14:paraId="2C473365" w14:textId="77777777" w:rsidR="008A2A0A" w:rsidRPr="0032465B" w:rsidRDefault="008A2A0A" w:rsidP="000830DD">
            <w:pPr>
              <w:rPr>
                <w:rFonts w:asciiTheme="majorBidi" w:hAnsiTheme="majorBidi" w:cstheme="majorBidi"/>
              </w:rPr>
            </w:pPr>
            <w:r w:rsidRPr="0032465B">
              <w:rPr>
                <w:rFonts w:asciiTheme="majorBidi" w:hAnsiTheme="majorBidi" w:cstheme="majorBidi"/>
              </w:rPr>
              <w:t>Anterior Distal</w:t>
            </w:r>
          </w:p>
        </w:tc>
        <w:tc>
          <w:tcPr>
            <w:tcW w:w="1701" w:type="dxa"/>
          </w:tcPr>
          <w:p w14:paraId="428B65A2" w14:textId="77777777" w:rsidR="008A2A0A" w:rsidRPr="0032465B" w:rsidRDefault="008A2A0A" w:rsidP="000830DD">
            <w:pPr>
              <w:rPr>
                <w:rFonts w:asciiTheme="majorBidi" w:hAnsiTheme="majorBidi" w:cstheme="majorBidi"/>
              </w:rPr>
            </w:pPr>
            <w:r w:rsidRPr="0032465B">
              <w:rPr>
                <w:rFonts w:asciiTheme="majorBidi" w:hAnsiTheme="majorBidi" w:cstheme="majorBidi"/>
              </w:rPr>
              <w:t>-0.1526</w:t>
            </w:r>
          </w:p>
        </w:tc>
        <w:tc>
          <w:tcPr>
            <w:tcW w:w="1701" w:type="dxa"/>
          </w:tcPr>
          <w:p w14:paraId="78C6DDAD" w14:textId="77777777" w:rsidR="008A2A0A" w:rsidRPr="0032465B" w:rsidRDefault="008A2A0A" w:rsidP="000830DD">
            <w:pPr>
              <w:rPr>
                <w:rFonts w:asciiTheme="majorBidi" w:hAnsiTheme="majorBidi" w:cstheme="majorBidi"/>
              </w:rPr>
            </w:pPr>
            <w:r w:rsidRPr="0032465B">
              <w:rPr>
                <w:rFonts w:asciiTheme="majorBidi" w:hAnsiTheme="majorBidi" w:cstheme="majorBidi"/>
              </w:rPr>
              <w:t>0.4764</w:t>
            </w:r>
          </w:p>
        </w:tc>
      </w:tr>
    </w:tbl>
    <w:p w14:paraId="46D00C81" w14:textId="77777777" w:rsidR="008A2A0A" w:rsidRPr="0032465B" w:rsidRDefault="008A2A0A" w:rsidP="008A2A0A">
      <w:pPr>
        <w:rPr>
          <w:rFonts w:asciiTheme="majorBidi" w:hAnsiTheme="majorBidi" w:cstheme="majorBidi"/>
        </w:rPr>
      </w:pPr>
      <w:r>
        <w:rPr>
          <w:rFonts w:asciiTheme="majorBidi" w:hAnsiTheme="majorBidi" w:cstheme="majorBidi"/>
          <w:color w:val="000000" w:themeColor="text1"/>
          <w:sz w:val="20"/>
          <w:szCs w:val="20"/>
        </w:rPr>
        <w:t xml:space="preserve">                                   </w:t>
      </w:r>
      <w:proofErr w:type="spellStart"/>
      <w:r w:rsidRPr="00CA2D44">
        <w:rPr>
          <w:rFonts w:asciiTheme="majorBidi" w:hAnsiTheme="majorBidi" w:cstheme="majorBidi"/>
          <w:color w:val="000000" w:themeColor="text1"/>
          <w:sz w:val="20"/>
          <w:szCs w:val="20"/>
        </w:rPr>
        <w:t>Signficnat</w:t>
      </w:r>
      <w:proofErr w:type="spellEnd"/>
      <w:r w:rsidRPr="00CA2D44">
        <w:rPr>
          <w:rFonts w:asciiTheme="majorBidi" w:hAnsiTheme="majorBidi" w:cstheme="majorBidi"/>
          <w:color w:val="000000" w:themeColor="text1"/>
          <w:sz w:val="20"/>
          <w:szCs w:val="20"/>
        </w:rPr>
        <w:t xml:space="preserve"> level at </w:t>
      </w:r>
      <w:r w:rsidRPr="00CA2D44">
        <w:rPr>
          <w:rFonts w:asciiTheme="majorBidi" w:hAnsiTheme="majorBidi" w:cstheme="majorBidi"/>
          <w:i/>
          <w:iCs/>
          <w:color w:val="000000" w:themeColor="text1"/>
          <w:sz w:val="20"/>
          <w:szCs w:val="20"/>
        </w:rPr>
        <w:t>p</w:t>
      </w:r>
      <w:r w:rsidRPr="00CA2D44">
        <w:rPr>
          <w:rFonts w:asciiTheme="majorBidi" w:hAnsiTheme="majorBidi" w:cstheme="majorBidi"/>
          <w:color w:val="000000" w:themeColor="text1"/>
          <w:sz w:val="20"/>
          <w:szCs w:val="20"/>
        </w:rPr>
        <w:t>&lt;0.05</w:t>
      </w:r>
    </w:p>
    <w:p w14:paraId="367C7C3E" w14:textId="77777777" w:rsidR="008A2A0A" w:rsidRPr="0032465B" w:rsidRDefault="008A2A0A" w:rsidP="008A2A0A">
      <w:pPr>
        <w:rPr>
          <w:rFonts w:asciiTheme="majorBidi" w:hAnsiTheme="majorBidi" w:cstheme="majorBidi"/>
        </w:rPr>
      </w:pPr>
    </w:p>
    <w:p w14:paraId="60B73468" w14:textId="77777777" w:rsidR="008A2A0A" w:rsidRDefault="008A2A0A" w:rsidP="008A2A0A">
      <w:pPr>
        <w:pStyle w:val="NormalWeb"/>
        <w:spacing w:line="480" w:lineRule="auto"/>
      </w:pPr>
      <w:r>
        <w:t>Linear regression models were conducted to assess the association between REA and MBL at the time of restoration delivery (T3) for anterior implants, stratified by mesial and distal sites (Table 8):</w:t>
      </w:r>
    </w:p>
    <w:p w14:paraId="6F626A79" w14:textId="77777777" w:rsidR="008A2A0A" w:rsidRDefault="008A2A0A" w:rsidP="008A2A0A">
      <w:pPr>
        <w:pStyle w:val="NormalWeb"/>
        <w:numPr>
          <w:ilvl w:val="0"/>
          <w:numId w:val="3"/>
        </w:numPr>
      </w:pPr>
      <w:r>
        <w:rPr>
          <w:rStyle w:val="Strong"/>
          <w:rFonts w:eastAsiaTheme="majorEastAsia"/>
        </w:rPr>
        <w:t>Mesial Site:</w:t>
      </w:r>
      <w:r>
        <w:br/>
        <w:t>Restorative emergence angle was not significantly associated with mesial MBL.</w:t>
      </w:r>
      <w:r>
        <w:br/>
      </w:r>
      <w:r>
        <w:rPr>
          <w:rStyle w:val="Emphasis"/>
          <w:rFonts w:eastAsiaTheme="majorEastAsia"/>
        </w:rPr>
        <w:t xml:space="preserve">(β = −0.11, 95% CI: −0.79 to 0.58, p = 0.76). </w:t>
      </w:r>
      <w:r>
        <w:t xml:space="preserve">Implants with </w:t>
      </w:r>
      <w:r>
        <w:rPr>
          <w:rStyle w:val="Strong"/>
          <w:rFonts w:eastAsiaTheme="majorEastAsia"/>
        </w:rPr>
        <w:t xml:space="preserve">emergence angle </w:t>
      </w:r>
      <w:r w:rsidRPr="0032465B">
        <w:rPr>
          <w:rStyle w:val="Strong"/>
          <w:rFonts w:eastAsiaTheme="majorEastAsia"/>
        </w:rPr>
        <w:t>&gt;</w:t>
      </w:r>
      <w:r>
        <w:rPr>
          <w:rStyle w:val="Strong"/>
          <w:rFonts w:eastAsiaTheme="majorEastAsia"/>
        </w:rPr>
        <w:t>30°</w:t>
      </w:r>
      <w:r>
        <w:t xml:space="preserve"> had, on average, </w:t>
      </w:r>
      <w:r>
        <w:rPr>
          <w:rStyle w:val="Strong"/>
          <w:rFonts w:eastAsiaTheme="majorEastAsia"/>
        </w:rPr>
        <w:t xml:space="preserve">0.105 mm </w:t>
      </w:r>
      <w:r>
        <w:rPr>
          <w:rStyle w:val="Emphasis"/>
          <w:rFonts w:eastAsiaTheme="majorEastAsia"/>
          <w:b/>
          <w:bCs/>
        </w:rPr>
        <w:t>less</w:t>
      </w:r>
      <w:r>
        <w:rPr>
          <w:rStyle w:val="Strong"/>
          <w:rFonts w:eastAsiaTheme="majorEastAsia"/>
        </w:rPr>
        <w:t xml:space="preserve"> MBL</w:t>
      </w:r>
      <w:r>
        <w:t xml:space="preserve"> compared to those with </w:t>
      </w:r>
      <w:r w:rsidRPr="0032465B">
        <w:rPr>
          <w:b/>
          <w:bCs/>
        </w:rPr>
        <w:t>R</w:t>
      </w:r>
      <w:r>
        <w:rPr>
          <w:rStyle w:val="Strong"/>
          <w:rFonts w:eastAsiaTheme="majorEastAsia"/>
        </w:rPr>
        <w:t xml:space="preserve">EA </w:t>
      </w:r>
      <w:r w:rsidRPr="0032465B">
        <w:rPr>
          <w:rStyle w:val="Strong"/>
          <w:rFonts w:eastAsiaTheme="majorEastAsia"/>
        </w:rPr>
        <w:t>≤30</w:t>
      </w:r>
      <w:r>
        <w:rPr>
          <w:rStyle w:val="Strong"/>
          <w:rFonts w:eastAsiaTheme="majorEastAsia"/>
        </w:rPr>
        <w:t>°</w:t>
      </w:r>
      <w:r>
        <w:t xml:space="preserve">. However, the </w:t>
      </w:r>
      <w:r>
        <w:rPr>
          <w:rStyle w:val="Strong"/>
          <w:rFonts w:eastAsiaTheme="majorEastAsia"/>
        </w:rPr>
        <w:t>effect is not statistically significant</w:t>
      </w:r>
      <w:r>
        <w:t xml:space="preserve"> (P &gt; 0.05), so this difference could be due to random variation.</w:t>
      </w:r>
    </w:p>
    <w:p w14:paraId="2D9B84FE" w14:textId="77777777" w:rsidR="008A2A0A" w:rsidRDefault="008A2A0A" w:rsidP="008A2A0A">
      <w:pPr>
        <w:pStyle w:val="NormalWeb"/>
        <w:numPr>
          <w:ilvl w:val="0"/>
          <w:numId w:val="3"/>
        </w:numPr>
      </w:pPr>
      <w:r>
        <w:rPr>
          <w:rStyle w:val="Strong"/>
          <w:rFonts w:eastAsiaTheme="majorEastAsia"/>
        </w:rPr>
        <w:t>Distal Site:</w:t>
      </w:r>
      <w:r>
        <w:br/>
        <w:t>Similarly, no significant association was found between REA and distal MBL.</w:t>
      </w:r>
      <w:r>
        <w:br/>
      </w:r>
      <w:r>
        <w:rPr>
          <w:rStyle w:val="Emphasis"/>
          <w:rFonts w:eastAsiaTheme="majorEastAsia"/>
        </w:rPr>
        <w:t>(β = 0.16, 95% CI: −0.49 to 0.80, p = 0.63). I</w:t>
      </w:r>
      <w:r>
        <w:t xml:space="preserve">mplants with </w:t>
      </w:r>
      <w:r>
        <w:rPr>
          <w:rStyle w:val="Strong"/>
          <w:rFonts w:eastAsiaTheme="majorEastAsia"/>
        </w:rPr>
        <w:t xml:space="preserve">EA </w:t>
      </w:r>
      <w:r w:rsidRPr="0032465B">
        <w:rPr>
          <w:rStyle w:val="Strong"/>
          <w:rFonts w:eastAsiaTheme="majorEastAsia"/>
        </w:rPr>
        <w:t>&gt;</w:t>
      </w:r>
      <w:r>
        <w:rPr>
          <w:rStyle w:val="Strong"/>
          <w:rFonts w:eastAsiaTheme="majorEastAsia"/>
        </w:rPr>
        <w:t>30°</w:t>
      </w:r>
      <w:r>
        <w:t xml:space="preserve"> had, on average, </w:t>
      </w:r>
      <w:r>
        <w:rPr>
          <w:rStyle w:val="Strong"/>
          <w:rFonts w:eastAsiaTheme="majorEastAsia"/>
        </w:rPr>
        <w:t xml:space="preserve">0.155 mm </w:t>
      </w:r>
      <w:r>
        <w:rPr>
          <w:rStyle w:val="Emphasis"/>
          <w:rFonts w:eastAsiaTheme="majorEastAsia"/>
          <w:b/>
          <w:bCs/>
        </w:rPr>
        <w:t>more</w:t>
      </w:r>
      <w:r>
        <w:rPr>
          <w:rStyle w:val="Strong"/>
          <w:rFonts w:eastAsiaTheme="majorEastAsia"/>
        </w:rPr>
        <w:t xml:space="preserve"> MBL</w:t>
      </w:r>
      <w:r>
        <w:t xml:space="preserve"> than those with </w:t>
      </w:r>
      <w:r w:rsidRPr="0032465B">
        <w:rPr>
          <w:b/>
          <w:bCs/>
        </w:rPr>
        <w:t>R</w:t>
      </w:r>
      <w:r w:rsidRPr="0032465B">
        <w:rPr>
          <w:rStyle w:val="Strong"/>
          <w:rFonts w:eastAsiaTheme="majorEastAsia"/>
        </w:rPr>
        <w:t>EA</w:t>
      </w:r>
      <w:r>
        <w:rPr>
          <w:rStyle w:val="Strong"/>
          <w:rFonts w:eastAsiaTheme="majorEastAsia"/>
        </w:rPr>
        <w:t xml:space="preserve"> </w:t>
      </w:r>
      <w:r w:rsidRPr="0032465B">
        <w:rPr>
          <w:rStyle w:val="Strong"/>
          <w:rFonts w:eastAsiaTheme="majorEastAsia"/>
        </w:rPr>
        <w:t>≤30</w:t>
      </w:r>
      <w:r>
        <w:rPr>
          <w:rStyle w:val="Strong"/>
          <w:rFonts w:eastAsiaTheme="majorEastAsia"/>
        </w:rPr>
        <w:t>°</w:t>
      </w:r>
      <w:r>
        <w:t xml:space="preserve">, again </w:t>
      </w:r>
      <w:r>
        <w:rPr>
          <w:rStyle w:val="Strong"/>
          <w:rFonts w:eastAsiaTheme="majorEastAsia"/>
        </w:rPr>
        <w:t>not statistically significant</w:t>
      </w:r>
    </w:p>
    <w:p w14:paraId="4249C071" w14:textId="77777777" w:rsidR="008A2A0A" w:rsidRPr="0032465B" w:rsidRDefault="008A2A0A" w:rsidP="008A2A0A">
      <w:pPr>
        <w:pStyle w:val="NormalWeb"/>
      </w:pPr>
      <w:r>
        <w:t xml:space="preserve">These results indicate that </w:t>
      </w:r>
      <w:r>
        <w:rPr>
          <w:rStyle w:val="Strong"/>
          <w:rFonts w:eastAsiaTheme="majorEastAsia"/>
        </w:rPr>
        <w:t>REA (</w:t>
      </w:r>
      <w:r w:rsidRPr="0032465B">
        <w:rPr>
          <w:rStyle w:val="Strong"/>
          <w:rFonts w:eastAsiaTheme="majorEastAsia"/>
        </w:rPr>
        <w:t>&gt;</w:t>
      </w:r>
      <w:r>
        <w:rPr>
          <w:rStyle w:val="Strong"/>
          <w:rFonts w:eastAsiaTheme="majorEastAsia"/>
        </w:rPr>
        <w:t xml:space="preserve">30° vs. </w:t>
      </w:r>
      <w:r w:rsidRPr="0032465B">
        <w:rPr>
          <w:rStyle w:val="Strong"/>
          <w:rFonts w:eastAsiaTheme="majorEastAsia"/>
        </w:rPr>
        <w:t>≤</w:t>
      </w:r>
      <w:r>
        <w:rPr>
          <w:rStyle w:val="Strong"/>
          <w:rFonts w:eastAsiaTheme="majorEastAsia"/>
        </w:rPr>
        <w:t>30°) did not significantly influence MBL in the anterior region</w:t>
      </w:r>
      <w:r>
        <w:t xml:space="preserve"> at the restoration phase.</w:t>
      </w:r>
    </w:p>
    <w:p w14:paraId="2268836C" w14:textId="77777777" w:rsidR="008A2A0A" w:rsidRPr="0032465B" w:rsidRDefault="008A2A0A" w:rsidP="008A2A0A">
      <w:pPr>
        <w:rPr>
          <w:rFonts w:asciiTheme="majorBidi" w:hAnsiTheme="majorBidi" w:cstheme="majorBidi"/>
          <w:b/>
          <w:bCs/>
        </w:rPr>
      </w:pPr>
      <w:r w:rsidRPr="0032465B">
        <w:rPr>
          <w:rFonts w:asciiTheme="majorBidi" w:hAnsiTheme="majorBidi" w:cstheme="majorBidi"/>
          <w:b/>
          <w:bCs/>
        </w:rPr>
        <w:t>Table 8. Linear Regression of MBL at T3 by Emergence Angle (Anterior Teeth Only)</w:t>
      </w:r>
    </w:p>
    <w:tbl>
      <w:tblPr>
        <w:tblStyle w:val="TableGrid"/>
        <w:tblW w:w="0" w:type="auto"/>
        <w:tblInd w:w="1214" w:type="dxa"/>
        <w:tblLook w:val="04A0" w:firstRow="1" w:lastRow="0" w:firstColumn="1" w:lastColumn="0" w:noHBand="0" w:noVBand="1"/>
      </w:tblPr>
      <w:tblGrid>
        <w:gridCol w:w="1728"/>
        <w:gridCol w:w="1728"/>
        <w:gridCol w:w="1728"/>
        <w:gridCol w:w="1728"/>
      </w:tblGrid>
      <w:tr w:rsidR="008A2A0A" w:rsidRPr="0032465B" w14:paraId="46790BEA" w14:textId="77777777" w:rsidTr="000830DD">
        <w:tc>
          <w:tcPr>
            <w:tcW w:w="1728" w:type="dxa"/>
          </w:tcPr>
          <w:p w14:paraId="1E868DF1" w14:textId="77777777" w:rsidR="008A2A0A" w:rsidRPr="0032465B" w:rsidRDefault="008A2A0A" w:rsidP="000830DD">
            <w:pPr>
              <w:rPr>
                <w:rFonts w:asciiTheme="majorBidi" w:hAnsiTheme="majorBidi" w:cstheme="majorBidi"/>
              </w:rPr>
            </w:pPr>
          </w:p>
        </w:tc>
        <w:tc>
          <w:tcPr>
            <w:tcW w:w="1728" w:type="dxa"/>
          </w:tcPr>
          <w:p w14:paraId="2B0029DF" w14:textId="77777777" w:rsidR="008A2A0A" w:rsidRPr="0032465B" w:rsidRDefault="008A2A0A" w:rsidP="000830DD">
            <w:pPr>
              <w:jc w:val="center"/>
              <w:rPr>
                <w:rFonts w:asciiTheme="majorBidi" w:hAnsiTheme="majorBidi" w:cstheme="majorBidi"/>
                <w:b/>
                <w:bCs/>
              </w:rPr>
            </w:pPr>
            <w:r w:rsidRPr="0032465B">
              <w:rPr>
                <w:rFonts w:asciiTheme="majorBidi" w:hAnsiTheme="majorBidi" w:cstheme="majorBidi"/>
                <w:i/>
                <w:iCs/>
              </w:rPr>
              <w:t>β</w:t>
            </w:r>
            <w:r w:rsidRPr="0032465B">
              <w:rPr>
                <w:rFonts w:asciiTheme="majorBidi" w:hAnsiTheme="majorBidi" w:cstheme="majorBidi"/>
                <w:b/>
                <w:bCs/>
              </w:rPr>
              <w:t xml:space="preserve"> (Coef.)</w:t>
            </w:r>
          </w:p>
        </w:tc>
        <w:tc>
          <w:tcPr>
            <w:tcW w:w="1728" w:type="dxa"/>
          </w:tcPr>
          <w:p w14:paraId="40532940" w14:textId="77777777" w:rsidR="008A2A0A" w:rsidRPr="0032465B" w:rsidRDefault="008A2A0A" w:rsidP="000830DD">
            <w:pPr>
              <w:jc w:val="center"/>
              <w:rPr>
                <w:rFonts w:asciiTheme="majorBidi" w:hAnsiTheme="majorBidi" w:cstheme="majorBidi"/>
                <w:b/>
                <w:bCs/>
              </w:rPr>
            </w:pPr>
            <w:r w:rsidRPr="0032465B">
              <w:rPr>
                <w:rFonts w:asciiTheme="majorBidi" w:hAnsiTheme="majorBidi" w:cstheme="majorBidi"/>
                <w:b/>
                <w:bCs/>
              </w:rPr>
              <w:t>95% CI</w:t>
            </w:r>
          </w:p>
        </w:tc>
        <w:tc>
          <w:tcPr>
            <w:tcW w:w="1728" w:type="dxa"/>
          </w:tcPr>
          <w:p w14:paraId="516262E7" w14:textId="77777777" w:rsidR="008A2A0A" w:rsidRPr="0032465B" w:rsidRDefault="008A2A0A" w:rsidP="000830DD">
            <w:pPr>
              <w:jc w:val="center"/>
              <w:rPr>
                <w:rFonts w:asciiTheme="majorBidi" w:hAnsiTheme="majorBidi" w:cstheme="majorBidi"/>
                <w:b/>
                <w:bCs/>
              </w:rPr>
            </w:pPr>
            <w:r w:rsidRPr="0032465B">
              <w:rPr>
                <w:rFonts w:asciiTheme="majorBidi" w:hAnsiTheme="majorBidi" w:cstheme="majorBidi"/>
                <w:b/>
                <w:bCs/>
              </w:rPr>
              <w:t>p-value</w:t>
            </w:r>
          </w:p>
        </w:tc>
      </w:tr>
      <w:tr w:rsidR="008A2A0A" w:rsidRPr="0032465B" w14:paraId="49353AA5" w14:textId="77777777" w:rsidTr="000830DD">
        <w:tc>
          <w:tcPr>
            <w:tcW w:w="1728" w:type="dxa"/>
          </w:tcPr>
          <w:p w14:paraId="2CCADB3D" w14:textId="77777777" w:rsidR="008A2A0A" w:rsidRPr="0032465B" w:rsidRDefault="008A2A0A" w:rsidP="000830DD">
            <w:pPr>
              <w:rPr>
                <w:rFonts w:asciiTheme="majorBidi" w:hAnsiTheme="majorBidi" w:cstheme="majorBidi"/>
                <w:b/>
                <w:bCs/>
              </w:rPr>
            </w:pPr>
            <w:r w:rsidRPr="0032465B">
              <w:rPr>
                <w:rFonts w:asciiTheme="majorBidi" w:hAnsiTheme="majorBidi" w:cstheme="majorBidi"/>
                <w:b/>
                <w:bCs/>
              </w:rPr>
              <w:t xml:space="preserve">Mesial </w:t>
            </w:r>
          </w:p>
        </w:tc>
        <w:tc>
          <w:tcPr>
            <w:tcW w:w="1728" w:type="dxa"/>
          </w:tcPr>
          <w:p w14:paraId="7D4974B8" w14:textId="77777777" w:rsidR="008A2A0A" w:rsidRPr="0032465B" w:rsidRDefault="008A2A0A" w:rsidP="000830DD">
            <w:pPr>
              <w:jc w:val="center"/>
              <w:rPr>
                <w:rFonts w:asciiTheme="majorBidi" w:hAnsiTheme="majorBidi" w:cstheme="majorBidi"/>
              </w:rPr>
            </w:pPr>
            <w:r w:rsidRPr="0032465B">
              <w:rPr>
                <w:rFonts w:asciiTheme="majorBidi" w:hAnsiTheme="majorBidi" w:cstheme="majorBidi"/>
              </w:rPr>
              <w:t>-0.105</w:t>
            </w:r>
          </w:p>
        </w:tc>
        <w:tc>
          <w:tcPr>
            <w:tcW w:w="1728" w:type="dxa"/>
          </w:tcPr>
          <w:p w14:paraId="060FB494" w14:textId="77777777" w:rsidR="008A2A0A" w:rsidRPr="0032465B" w:rsidRDefault="008A2A0A" w:rsidP="000830DD">
            <w:pPr>
              <w:jc w:val="center"/>
              <w:rPr>
                <w:rFonts w:asciiTheme="majorBidi" w:hAnsiTheme="majorBidi" w:cstheme="majorBidi"/>
              </w:rPr>
            </w:pPr>
            <w:r w:rsidRPr="0032465B">
              <w:rPr>
                <w:rFonts w:asciiTheme="majorBidi" w:hAnsiTheme="majorBidi" w:cstheme="majorBidi"/>
              </w:rPr>
              <w:t>-0.79</w:t>
            </w:r>
            <w:r>
              <w:rPr>
                <w:rFonts w:asciiTheme="majorBidi" w:hAnsiTheme="majorBidi" w:cstheme="majorBidi"/>
              </w:rPr>
              <w:t xml:space="preserve"> -</w:t>
            </w:r>
            <w:r w:rsidRPr="0032465B">
              <w:rPr>
                <w:rFonts w:asciiTheme="majorBidi" w:hAnsiTheme="majorBidi" w:cstheme="majorBidi"/>
              </w:rPr>
              <w:t xml:space="preserve"> 0.58</w:t>
            </w:r>
          </w:p>
        </w:tc>
        <w:tc>
          <w:tcPr>
            <w:tcW w:w="1728" w:type="dxa"/>
          </w:tcPr>
          <w:p w14:paraId="238F3D73" w14:textId="77777777" w:rsidR="008A2A0A" w:rsidRPr="0032465B" w:rsidRDefault="008A2A0A" w:rsidP="000830DD">
            <w:pPr>
              <w:jc w:val="center"/>
              <w:rPr>
                <w:rFonts w:asciiTheme="majorBidi" w:hAnsiTheme="majorBidi" w:cstheme="majorBidi"/>
              </w:rPr>
            </w:pPr>
            <w:r w:rsidRPr="0032465B">
              <w:rPr>
                <w:rFonts w:asciiTheme="majorBidi" w:hAnsiTheme="majorBidi" w:cstheme="majorBidi"/>
              </w:rPr>
              <w:t>0.76</w:t>
            </w:r>
          </w:p>
        </w:tc>
      </w:tr>
      <w:tr w:rsidR="008A2A0A" w:rsidRPr="0032465B" w14:paraId="6DDB1B3C" w14:textId="77777777" w:rsidTr="000830DD">
        <w:tc>
          <w:tcPr>
            <w:tcW w:w="1728" w:type="dxa"/>
          </w:tcPr>
          <w:p w14:paraId="1A17ABED" w14:textId="77777777" w:rsidR="008A2A0A" w:rsidRPr="0032465B" w:rsidRDefault="008A2A0A" w:rsidP="000830DD">
            <w:pPr>
              <w:rPr>
                <w:rFonts w:asciiTheme="majorBidi" w:hAnsiTheme="majorBidi" w:cstheme="majorBidi"/>
                <w:b/>
                <w:bCs/>
              </w:rPr>
            </w:pPr>
            <w:r w:rsidRPr="0032465B">
              <w:rPr>
                <w:rFonts w:asciiTheme="majorBidi" w:hAnsiTheme="majorBidi" w:cstheme="majorBidi"/>
                <w:b/>
                <w:bCs/>
              </w:rPr>
              <w:t xml:space="preserve">Distal </w:t>
            </w:r>
          </w:p>
        </w:tc>
        <w:tc>
          <w:tcPr>
            <w:tcW w:w="1728" w:type="dxa"/>
          </w:tcPr>
          <w:p w14:paraId="192B70BA" w14:textId="77777777" w:rsidR="008A2A0A" w:rsidRPr="0032465B" w:rsidRDefault="008A2A0A" w:rsidP="000830DD">
            <w:pPr>
              <w:jc w:val="center"/>
              <w:rPr>
                <w:rFonts w:asciiTheme="majorBidi" w:hAnsiTheme="majorBidi" w:cstheme="majorBidi"/>
              </w:rPr>
            </w:pPr>
            <w:r w:rsidRPr="0032465B">
              <w:rPr>
                <w:rFonts w:asciiTheme="majorBidi" w:hAnsiTheme="majorBidi" w:cstheme="majorBidi"/>
              </w:rPr>
              <w:t>0.155</w:t>
            </w:r>
          </w:p>
        </w:tc>
        <w:tc>
          <w:tcPr>
            <w:tcW w:w="1728" w:type="dxa"/>
          </w:tcPr>
          <w:p w14:paraId="329049F1" w14:textId="77777777" w:rsidR="008A2A0A" w:rsidRPr="0032465B" w:rsidRDefault="008A2A0A" w:rsidP="000830DD">
            <w:pPr>
              <w:jc w:val="center"/>
              <w:rPr>
                <w:rFonts w:asciiTheme="majorBidi" w:hAnsiTheme="majorBidi" w:cstheme="majorBidi"/>
              </w:rPr>
            </w:pPr>
            <w:r w:rsidRPr="0032465B">
              <w:rPr>
                <w:rFonts w:asciiTheme="majorBidi" w:hAnsiTheme="majorBidi" w:cstheme="majorBidi"/>
              </w:rPr>
              <w:t>-0.49</w:t>
            </w:r>
            <w:r>
              <w:rPr>
                <w:rFonts w:asciiTheme="majorBidi" w:hAnsiTheme="majorBidi" w:cstheme="majorBidi"/>
              </w:rPr>
              <w:t xml:space="preserve"> - </w:t>
            </w:r>
            <w:r w:rsidRPr="0032465B">
              <w:rPr>
                <w:rFonts w:asciiTheme="majorBidi" w:hAnsiTheme="majorBidi" w:cstheme="majorBidi"/>
              </w:rPr>
              <w:t>0.80</w:t>
            </w:r>
          </w:p>
        </w:tc>
        <w:tc>
          <w:tcPr>
            <w:tcW w:w="1728" w:type="dxa"/>
          </w:tcPr>
          <w:p w14:paraId="64716922" w14:textId="77777777" w:rsidR="008A2A0A" w:rsidRPr="0032465B" w:rsidRDefault="008A2A0A" w:rsidP="000830DD">
            <w:pPr>
              <w:jc w:val="center"/>
              <w:rPr>
                <w:rFonts w:asciiTheme="majorBidi" w:hAnsiTheme="majorBidi" w:cstheme="majorBidi"/>
              </w:rPr>
            </w:pPr>
            <w:r w:rsidRPr="0032465B">
              <w:rPr>
                <w:rFonts w:asciiTheme="majorBidi" w:hAnsiTheme="majorBidi" w:cstheme="majorBidi"/>
              </w:rPr>
              <w:t>0.63</w:t>
            </w:r>
          </w:p>
        </w:tc>
      </w:tr>
    </w:tbl>
    <w:p w14:paraId="09B0BD7E" w14:textId="77777777" w:rsidR="008A2A0A" w:rsidRPr="00CA2D44" w:rsidRDefault="008A2A0A" w:rsidP="008A2A0A">
      <w:pPr>
        <w:rPr>
          <w:rFonts w:asciiTheme="majorBidi" w:hAnsiTheme="majorBidi" w:cstheme="majorBidi"/>
        </w:rPr>
      </w:pPr>
      <w:r>
        <w:rPr>
          <w:rFonts w:asciiTheme="majorBidi" w:hAnsiTheme="majorBidi" w:cstheme="majorBidi"/>
          <w:color w:val="000000" w:themeColor="text1"/>
          <w:sz w:val="20"/>
          <w:szCs w:val="20"/>
        </w:rPr>
        <w:t xml:space="preserve">                        </w:t>
      </w:r>
      <w:proofErr w:type="spellStart"/>
      <w:r w:rsidRPr="00CA2D44">
        <w:rPr>
          <w:rFonts w:asciiTheme="majorBidi" w:hAnsiTheme="majorBidi" w:cstheme="majorBidi"/>
          <w:color w:val="000000" w:themeColor="text1"/>
          <w:sz w:val="20"/>
          <w:szCs w:val="20"/>
        </w:rPr>
        <w:t>Signficnat</w:t>
      </w:r>
      <w:proofErr w:type="spellEnd"/>
      <w:r w:rsidRPr="00CA2D44">
        <w:rPr>
          <w:rFonts w:asciiTheme="majorBidi" w:hAnsiTheme="majorBidi" w:cstheme="majorBidi"/>
          <w:color w:val="000000" w:themeColor="text1"/>
          <w:sz w:val="20"/>
          <w:szCs w:val="20"/>
        </w:rPr>
        <w:t xml:space="preserve"> level at </w:t>
      </w:r>
      <w:r w:rsidRPr="00CA2D44">
        <w:rPr>
          <w:rFonts w:asciiTheme="majorBidi" w:hAnsiTheme="majorBidi" w:cstheme="majorBidi"/>
          <w:i/>
          <w:iCs/>
          <w:color w:val="000000" w:themeColor="text1"/>
          <w:sz w:val="20"/>
          <w:szCs w:val="20"/>
        </w:rPr>
        <w:t>p</w:t>
      </w:r>
      <w:r w:rsidRPr="00CA2D44">
        <w:rPr>
          <w:rFonts w:asciiTheme="majorBidi" w:hAnsiTheme="majorBidi" w:cstheme="majorBidi"/>
          <w:color w:val="000000" w:themeColor="text1"/>
          <w:sz w:val="20"/>
          <w:szCs w:val="20"/>
        </w:rPr>
        <w:t>&lt;0.05</w:t>
      </w:r>
    </w:p>
    <w:p w14:paraId="10A34546" w14:textId="77777777" w:rsidR="0087595D" w:rsidRDefault="0087595D" w:rsidP="00F031E3">
      <w:pPr>
        <w:spacing w:line="480" w:lineRule="auto"/>
        <w:rPr>
          <w:rFonts w:asciiTheme="majorBidi" w:hAnsiTheme="majorBidi" w:cstheme="majorBidi"/>
        </w:rPr>
      </w:pPr>
    </w:p>
    <w:p w14:paraId="2B02D650" w14:textId="3F6E96FD" w:rsidR="00845E74" w:rsidRPr="00F031E3" w:rsidRDefault="00845E74" w:rsidP="00F031E3">
      <w:pPr>
        <w:spacing w:line="480" w:lineRule="auto"/>
        <w:rPr>
          <w:rFonts w:asciiTheme="majorBidi" w:hAnsiTheme="majorBidi" w:cstheme="majorBidi"/>
          <w:b/>
          <w:bCs/>
        </w:rPr>
      </w:pPr>
      <w:r w:rsidRPr="00F031E3">
        <w:rPr>
          <w:rFonts w:asciiTheme="majorBidi" w:hAnsiTheme="majorBidi" w:cstheme="majorBidi"/>
          <w:b/>
          <w:bCs/>
        </w:rPr>
        <w:lastRenderedPageBreak/>
        <w:t>Discussion:</w:t>
      </w:r>
    </w:p>
    <w:p w14:paraId="3C660B72" w14:textId="3498C6DE" w:rsidR="00845E74" w:rsidRPr="00F031E3" w:rsidRDefault="00F031E3" w:rsidP="00F031E3">
      <w:pPr>
        <w:spacing w:line="480" w:lineRule="auto"/>
        <w:rPr>
          <w:rFonts w:asciiTheme="majorBidi" w:hAnsiTheme="majorBidi" w:cstheme="majorBidi"/>
        </w:rPr>
      </w:pPr>
      <w:r w:rsidRPr="00F031E3">
        <w:rPr>
          <w:rFonts w:asciiTheme="majorBidi" w:hAnsiTheme="majorBidi" w:cstheme="majorBidi"/>
        </w:rPr>
        <w:t xml:space="preserve">This retrospective study evaluated in 2D fashion extraction of non-restorable tooth and immediate implant placement in the same visit. The </w:t>
      </w:r>
      <w:r w:rsidR="008A2A0A">
        <w:rPr>
          <w:rFonts w:asciiTheme="majorBidi" w:hAnsiTheme="majorBidi" w:cstheme="majorBidi"/>
        </w:rPr>
        <w:t>analysis</w:t>
      </w:r>
      <w:r w:rsidRPr="00F031E3">
        <w:rPr>
          <w:rFonts w:asciiTheme="majorBidi" w:hAnsiTheme="majorBidi" w:cstheme="majorBidi"/>
        </w:rPr>
        <w:t xml:space="preserve"> was completed by </w:t>
      </w:r>
      <w:r w:rsidR="008A2A0A">
        <w:rPr>
          <w:rFonts w:asciiTheme="majorBidi" w:hAnsiTheme="majorBidi" w:cstheme="majorBidi"/>
        </w:rPr>
        <w:t>evaluating</w:t>
      </w:r>
      <w:r w:rsidRPr="00F031E3">
        <w:rPr>
          <w:rFonts w:asciiTheme="majorBidi" w:hAnsiTheme="majorBidi" w:cstheme="majorBidi"/>
        </w:rPr>
        <w:t xml:space="preserve"> provided x-rays for the implant site though different time periods</w:t>
      </w:r>
      <w:r w:rsidR="008A2A0A">
        <w:rPr>
          <w:rFonts w:asciiTheme="majorBidi" w:hAnsiTheme="majorBidi" w:cstheme="majorBidi"/>
        </w:rPr>
        <w:t xml:space="preserve"> and follow up time frame</w:t>
      </w:r>
      <w:r w:rsidRPr="00F031E3">
        <w:rPr>
          <w:rFonts w:asciiTheme="majorBidi" w:hAnsiTheme="majorBidi" w:cstheme="majorBidi"/>
        </w:rPr>
        <w:t xml:space="preserve">. This analysis investigates the peri-implant bone remodeling around </w:t>
      </w:r>
      <w:r w:rsidR="008A2A0A">
        <w:rPr>
          <w:rFonts w:asciiTheme="majorBidi" w:hAnsiTheme="majorBidi" w:cstheme="majorBidi"/>
        </w:rPr>
        <w:t xml:space="preserve">immediately placed </w:t>
      </w:r>
      <w:r w:rsidRPr="00F031E3">
        <w:rPr>
          <w:rFonts w:asciiTheme="majorBidi" w:hAnsiTheme="majorBidi" w:cstheme="majorBidi"/>
        </w:rPr>
        <w:t xml:space="preserve">dental implant and </w:t>
      </w:r>
      <w:r w:rsidR="008A2A0A">
        <w:rPr>
          <w:rFonts w:asciiTheme="majorBidi" w:hAnsiTheme="majorBidi" w:cstheme="majorBidi"/>
        </w:rPr>
        <w:t>the second aim of this analysis is to evaluate the effect of the restorative emergence angle has on peri-implant marginal bone level.</w:t>
      </w:r>
      <w:r w:rsidR="0087595D">
        <w:rPr>
          <w:rFonts w:asciiTheme="majorBidi" w:hAnsiTheme="majorBidi" w:cstheme="majorBidi"/>
        </w:rPr>
        <w:t xml:space="preserve"> The result of this retrospective analysis deemed </w:t>
      </w:r>
      <w:r w:rsidR="0087595D" w:rsidRPr="00CA2D44">
        <w:rPr>
          <w:rFonts w:asciiTheme="majorBidi" w:hAnsiTheme="majorBidi" w:cstheme="majorBidi"/>
        </w:rPr>
        <w:t>the observed MBL at each phase was statistically significant compared to baseline</w:t>
      </w:r>
      <w:r w:rsidR="0087595D">
        <w:rPr>
          <w:rFonts w:asciiTheme="majorBidi" w:hAnsiTheme="majorBidi" w:cstheme="majorBidi"/>
        </w:rPr>
        <w:t xml:space="preserve"> and the analysis </w:t>
      </w:r>
      <w:r w:rsidR="0087595D" w:rsidRPr="00CA2D44">
        <w:rPr>
          <w:rFonts w:asciiTheme="majorBidi" w:hAnsiTheme="majorBidi" w:cstheme="majorBidi"/>
        </w:rPr>
        <w:t>suggest that the emergence angle was not correlated with the amount of bone loss observed at the restoration phase</w:t>
      </w:r>
    </w:p>
    <w:p w14:paraId="387FA105" w14:textId="3F4C0C03" w:rsidR="00F031E3" w:rsidRDefault="00F031E3" w:rsidP="00F031E3">
      <w:pPr>
        <w:spacing w:line="480" w:lineRule="auto"/>
        <w:rPr>
          <w:rFonts w:asciiTheme="majorBidi" w:hAnsiTheme="majorBidi" w:cstheme="majorBidi"/>
          <w:color w:val="000000" w:themeColor="text1"/>
        </w:rPr>
      </w:pPr>
      <w:r w:rsidRPr="00F031E3">
        <w:rPr>
          <w:rFonts w:asciiTheme="majorBidi" w:hAnsiTheme="majorBidi" w:cstheme="majorBidi"/>
        </w:rPr>
        <w:t xml:space="preserve">Total initial included chart and implants were 218 and there was 16 implant failure in the included data. After further evaluation through the record the final </w:t>
      </w:r>
      <w:r w:rsidR="008A2A0A">
        <w:rPr>
          <w:rFonts w:asciiTheme="majorBidi" w:hAnsiTheme="majorBidi" w:cstheme="majorBidi"/>
        </w:rPr>
        <w:t>total number of implants were included in this analysis were</w:t>
      </w:r>
      <w:r w:rsidRPr="00F031E3">
        <w:rPr>
          <w:rFonts w:asciiTheme="majorBidi" w:hAnsiTheme="majorBidi" w:cstheme="majorBidi"/>
        </w:rPr>
        <w:t xml:space="preserve"> 153. The evaluation rendered </w:t>
      </w:r>
      <w:r w:rsidR="008A2A0A">
        <w:rPr>
          <w:rFonts w:asciiTheme="majorBidi" w:hAnsiTheme="majorBidi" w:cstheme="majorBidi"/>
        </w:rPr>
        <w:t xml:space="preserve">and completed </w:t>
      </w:r>
      <w:r w:rsidRPr="00F031E3">
        <w:rPr>
          <w:rFonts w:asciiTheme="majorBidi" w:hAnsiTheme="majorBidi" w:cstheme="majorBidi"/>
        </w:rPr>
        <w:t>through</w:t>
      </w:r>
      <w:r w:rsidR="008A2A0A">
        <w:rPr>
          <w:rFonts w:asciiTheme="majorBidi" w:hAnsiTheme="majorBidi" w:cstheme="majorBidi"/>
        </w:rPr>
        <w:t xml:space="preserve"> utilizing</w:t>
      </w:r>
      <w:r w:rsidRPr="00F031E3">
        <w:rPr>
          <w:rFonts w:asciiTheme="majorBidi" w:hAnsiTheme="majorBidi" w:cstheme="majorBidi"/>
        </w:rPr>
        <w:t xml:space="preserve"> Image J to measure the peri-implant bone level </w:t>
      </w:r>
      <w:r w:rsidR="008A2A0A">
        <w:rPr>
          <w:rFonts w:asciiTheme="majorBidi" w:hAnsiTheme="majorBidi" w:cstheme="majorBidi"/>
        </w:rPr>
        <w:t>by given value</w:t>
      </w:r>
      <w:r w:rsidRPr="00F031E3">
        <w:rPr>
          <w:rFonts w:asciiTheme="majorBidi" w:hAnsiTheme="majorBidi" w:cstheme="majorBidi"/>
        </w:rPr>
        <w:t xml:space="preserve"> either the implant length, or diameter as the refence point. Total anterior site included in this analysis 67 sites, premolars were 57 and molar site included were 29 in total. A spreadsheet was created to include chart number, gender, age, medical history, tooth type (A: Anterior, PM: Premolar, M: Molar), implant brand, implant diameter and implant length, loading status (Cover screw, healing abutment, custom healing abutment or temporary crown), then peri-implant bone level values at (T0, T1, T2, T3, T4) and finally the restoration emergency angle </w:t>
      </w:r>
      <w:r w:rsidRPr="00F031E3">
        <w:rPr>
          <w:rFonts w:asciiTheme="majorBidi" w:hAnsiTheme="majorBidi" w:cstheme="majorBidi"/>
          <w:color w:val="000000" w:themeColor="text1"/>
        </w:rPr>
        <w:t>REA &gt;30° and ≤30°.</w:t>
      </w:r>
    </w:p>
    <w:p w14:paraId="7ABB5D7B" w14:textId="0C927B98" w:rsidR="0087595D" w:rsidRPr="0028113A" w:rsidRDefault="00113730" w:rsidP="0028113A">
      <w:pPr>
        <w:spacing w:line="480" w:lineRule="auto"/>
        <w:rPr>
          <w:rFonts w:asciiTheme="majorBidi" w:hAnsiTheme="majorBidi" w:cstheme="majorBidi"/>
          <w:color w:val="000000" w:themeColor="text1"/>
        </w:rPr>
      </w:pPr>
      <w:r>
        <w:rPr>
          <w:rFonts w:asciiTheme="majorBidi" w:hAnsiTheme="majorBidi" w:cstheme="majorBidi"/>
        </w:rPr>
        <w:fldChar w:fldCharType="begin"/>
      </w:r>
      <w:r w:rsidR="004C454B">
        <w:rPr>
          <w:rFonts w:asciiTheme="majorBidi" w:hAnsiTheme="majorBidi" w:cstheme="majorBidi"/>
        </w:rPr>
        <w:instrText xml:space="preserve"> ADDIN ZOTERO_ITEM CSL_CITATION {"citationID":"6kZYwhZC","properties":{"formattedCitation":"(Majzoub et al., 2021)","plainCitation":"(Majzoub et al., 2021)","noteIndex":0},"citationItems":[{"id":42,"uris":["http://zotero.org/users/local/uf8AnBMd/items/YF9P8D28"],"itemData":{"id":42,"type":"article-journal","abstract":"BACKGROUND: Clinical data on the restorative designs affecting the early progression of peri-implantitis are scarce. The aim of this retrospective study was to evaluate the influence of several restorative factors (e.g., restoration emergence angle, and internal screw length/diameter) on the marginal bone loss around implants with peri-implantitis.\nMETHODS: Implants diagnosed with peri-implantitis having 1- (T1) and 2-year (T2) follow-ups were included. In addition, within 6 months pre-diagnosis (Tb), all cases required to have full documentation in which no evidence of peri-implantitis was not indicated. Changes in marginal bone levels (MBLs) from Tb to T1 and from T1 to T2 were evaluated. The effect of several variables on MBLs changes was assessed via univariate and multivariate generalized estimating equations.\nRESULTS: Eighty-three bone-level implants from 65 patients were selected. The mean follow-up before peri-implantitis diagnosis was 99.47 ± 47.93 months. The radiographic mean marginal bone loss was 1.52 ± 1.33 mm (Tb to T1) and 0.58 ± 0.52 mm (T1 to T2). Restoration emergence angle and frequency of maintenance visits significantly affected MBLs from Tb to T1. Besides, 66.3% of the included implants' bone levels were in a zone within 1 mm of the apical end of the internal screw at T1 and remained in this zone during the second follow-up year.\nCONCLUSIONS: Significant marginal bone loss occurred in the early post-diagnosis period of peri-implantitis, which could be affected by the restoration emergence angle. Peri-implant MBLs were frequently located in a zone within 1 mm of the apical end of the internal screw.","container-title":"Journal of Periodontology","DOI":"10.1002/JPER.20-0327","ISSN":"1943-3670","issue":"4","journalAbbreviation":"J Periodontol","language":"eng","note":"PMID: 32902855","page":"536-546","source":"PubMed","title":"Influence of restorative design on the progression of peri-implant bone loss: A retrospective study","title-short":"Influence of restorative design on the progression of peri-implant bone loss","volume":"92","author":[{"family":"Majzoub","given":"Jad"},{"family":"Chen","given":"Zhaozhao"},{"family":"Saleh","given":"Islam"},{"family":"Askar","given":"Houssam"},{"family":"Wang","given":"Hom-Lay"}],"issued":{"date-parts":[["2021",4]]}}}],"schema":"https://github.com/citation-style-language/schema/raw/master/csl-citation.json"} </w:instrText>
      </w:r>
      <w:r>
        <w:rPr>
          <w:rFonts w:asciiTheme="majorBidi" w:hAnsiTheme="majorBidi" w:cstheme="majorBidi"/>
        </w:rPr>
        <w:fldChar w:fldCharType="separate"/>
      </w:r>
      <w:r w:rsidR="004C454B">
        <w:rPr>
          <w:rFonts w:asciiTheme="majorBidi" w:hAnsiTheme="majorBidi" w:cstheme="majorBidi"/>
          <w:noProof/>
        </w:rPr>
        <w:t>(Majzoub et al., 2021)</w:t>
      </w:r>
      <w:r>
        <w:rPr>
          <w:rFonts w:asciiTheme="majorBidi" w:hAnsiTheme="majorBidi" w:cstheme="majorBidi"/>
        </w:rPr>
        <w:fldChar w:fldCharType="end"/>
      </w:r>
      <w:r w:rsidR="004C454B">
        <w:rPr>
          <w:rFonts w:asciiTheme="majorBidi" w:hAnsiTheme="majorBidi" w:cstheme="majorBidi"/>
        </w:rPr>
        <w:t xml:space="preserve">, </w:t>
      </w:r>
      <w:r w:rsidR="004C454B">
        <w:rPr>
          <w:rFonts w:asciiTheme="majorBidi" w:hAnsiTheme="majorBidi" w:cstheme="majorBidi"/>
        </w:rPr>
        <w:fldChar w:fldCharType="begin"/>
      </w:r>
      <w:r w:rsidR="004C454B">
        <w:rPr>
          <w:rFonts w:asciiTheme="majorBidi" w:hAnsiTheme="majorBidi" w:cstheme="majorBidi"/>
        </w:rPr>
        <w:instrText xml:space="preserve"> ADDIN ZOTERO_ITEM CSL_CITATION {"citationID":"JNVth1wm","properties":{"formattedCitation":"(Strauss et al., 2024)","plainCitation":"(Strauss et al., 2024)","noteIndex":0},"citationItems":[{"id":64,"uris":["http://zotero.org/users/local/uf8AnBMd/items/7M9JJUDQ"],"itemData":{"id":64,"type":"article-journal","abstract":"Aim To assess the influence of the emergence angle on marginal bone loss (MBL) and supracrestal soft tissue around dental implants. Materials and Methods In six mongrel dogs, the mandibular premolars and molars were extracted. After 3 months of healing, four dental implants were placed in each hemimandible. The implants were randomly allocated to receive one of four customized healing abutments, each with a different value of the restorative emergence angle: 20°, 40°, 60° or 80°. Intra-oral radiographs were taken after placing the healing abutments and at 6, 9, 16 and 24 weeks of follow-up. Then, micro-CT and undecalcified histology and synchrotron were performed. MBL over time was analysed with generalized estimating equations (GEEs) and adjusted for baseline soft-tissue thickness. Results From implant placement to 24 weeks, GEE modelling showed that the MBL at mesial and distal sites consistently increased over time, indicating MBL in all groups (p &lt; 0.001). The model indicated that MBL varied significantly across the different restorative angles (angle effect, p &lt; 0.001), with 80° showing the greatest bone loss. Micro-CT, histology and synchrotron confirmed the corresponding trends and showed that wide restorative angles (60° and 80°) impaired the integrity of the junctional epithelium of the supracrestal tissue. Conclusions A wide restorative angle increases MBL and impairs the integrity of the junctional epithelium of the implant supracrestal complex.","container-title":"Journal of Clinical Periodontology","DOI":"10.1111/jcpe.14070","ISSN":"1600-051X","issue":"12","language":"en","license":"© 2024 The Author(s). Journal of Clinical Periodontology published by John Wiley &amp; Sons Ltd.","note":"_eprint: https://onlinelibrary.wiley.com/doi/pdf/10.1111/jcpe.14070","page":"1677-1687","source":"Wiley Online Library","title":"Wide Restorative Emergence Angle Increases Marginal Bone Loss and Impairs Integrity of the Junctional Epithelium of the Implant Supracrestal Complex: A Preclinical Study","title-short":"Wide Restorative Emergence Angle Increases Marginal Bone Loss and Impairs Integrity of the Junctional Epithelium of the Implant Supracrestal Complex","volume":"51","author":[{"family":"Strauss","given":"Franz J."},{"family":"Park","given":"Jin-Young"},{"family":"Lee","given":"Jung-Seok"},{"family":"Schiavon","given":"Lucia"},{"family":"Smirani","given":"Rawen"},{"family":"Hitz","given":"Sonja"},{"family":"Chantler","given":"Jennifer G. M."},{"family":"Mattheos","given":"Nikos"},{"family":"Jung","given":"Ronald"},{"family":"Bosshardt","given":"Dieter"},{"family":"Cha","given":"Jae-Kook"},{"family":"Thoma","given":"Daniel"}],"issued":{"date-parts":[["2024"]]}}}],"schema":"https://github.com/citation-style-language/schema/raw/master/csl-citation.json"} </w:instrText>
      </w:r>
      <w:r w:rsidR="004C454B">
        <w:rPr>
          <w:rFonts w:asciiTheme="majorBidi" w:hAnsiTheme="majorBidi" w:cstheme="majorBidi"/>
        </w:rPr>
        <w:fldChar w:fldCharType="separate"/>
      </w:r>
      <w:r w:rsidR="004C454B">
        <w:rPr>
          <w:rFonts w:asciiTheme="majorBidi" w:hAnsiTheme="majorBidi" w:cstheme="majorBidi"/>
          <w:noProof/>
        </w:rPr>
        <w:t>(Strauss et al., 2024)</w:t>
      </w:r>
      <w:r w:rsidR="004C454B">
        <w:rPr>
          <w:rFonts w:asciiTheme="majorBidi" w:hAnsiTheme="majorBidi" w:cstheme="majorBidi"/>
        </w:rPr>
        <w:fldChar w:fldCharType="end"/>
      </w:r>
      <w:r w:rsidR="0087595D">
        <w:rPr>
          <w:rFonts w:asciiTheme="majorBidi" w:hAnsiTheme="majorBidi" w:cstheme="majorBidi"/>
        </w:rPr>
        <w:t xml:space="preserve"> and </w:t>
      </w:r>
      <w:r w:rsidR="004C454B">
        <w:rPr>
          <w:rFonts w:asciiTheme="majorBidi" w:hAnsiTheme="majorBidi" w:cstheme="majorBidi"/>
        </w:rPr>
        <w:fldChar w:fldCharType="begin"/>
      </w:r>
      <w:r w:rsidR="004C454B">
        <w:rPr>
          <w:rFonts w:asciiTheme="majorBidi" w:hAnsiTheme="majorBidi" w:cstheme="majorBidi"/>
        </w:rPr>
        <w:instrText xml:space="preserve"> ADDIN ZOTERO_ITEM CSL_CITATION {"citationID":"Gh56gCX1","properties":{"formattedCitation":"(Misch et al., 2025)","plainCitation":"(Misch et al., 2025)","noteIndex":0},"citationItems":[{"id":55,"uris":["http://zotero.org/users/local/uf8AnBMd/items/W7LZD3JR"],"itemData":{"id":55,"type":"article-journal","abstract":"INTRODUCTION: This study aimed to investigate the combined effect of trans-mucosal abutment height (TmAH) and restorative emergence angle (REA) on marginal bone loss (MBL) around bone-level implants.\nMETHODS: Implant radiographs 12-18 months after crown placement (T0) and at least one year later (T1) were retrospectively analyzed. Sites were separated into four groups: Long/Narrow-Angle (LN) with TmAH &gt; 2 mm and REA &lt; 30°, Long/Wide-Angle (LW) with TmAH &gt; 2 mm and REA ≥ 30°, Short/Narrow-Angle (SN) with TmAH &lt; 2 mm and REA &lt; 30°, and Short/Wide-Angle (SW) with TmAH &lt; 2 mm and REA ≥ 30°. MBL was calculated, and multiple linear regression analysis was performed to control for patient-level and implant/prosthesis-level factors.\nRESULTS: 192 implants pertaining to 119 patients were included. Group significantly influenced MBL experience (p &lt; 0.001). Group SW experienced on average 0.48 mm (95% CI: 0.25-0.71, p &lt; 0.001), 0.43 mm (95% CI: 0.18-0.68, p = 0.001), and 0.25 mm (95% CI: 0.00-0.45, p = 0.013) greater MBL compared to Groups LN, LW, and SN, respectively. Group was also a significant factor impacting the development of peri-implantitis (p = 0.041), with Group SW displaying a roughly 4× greater likelihood of having peri-implantitis (PI) diagnosed compared to Groups LN (OR: 4.04; p = 0.091) and LW (OR: 4.19; p = 0.013). Every 1 mm increase in TmAH significantly decreased the likelihood of MBL &gt; 0 mm (OR = 0.63; p = 0.003).\nCONCLUSIONS: Abutment height &gt; 2 mm may play a role in reducing PI and MBL related to ≥ 30° REA around bone-level implants. REA was found to only be a significant factor when TmAH is less than 2 mm.","container-title":"Clinical Oral Implants Research","DOI":"10.1111/clr.14408","ISSN":"1600-0501","issue":"5","journalAbbreviation":"Clin Oral Implants Res","language":"eng","note":"PMID: 39927705\nPMCID: PMC12066925","page":"600-612","source":"PubMed","title":"Combined Effect of Abutment Height and Restoration Emergence Angle on Peri-Implant Bone Loss Progression: A Retrospective Analysis","title-short":"Combined Effect of Abutment Height and Restoration Emergence Angle on Peri-Implant Bone Loss Progression","volume":"36","author":[{"family":"Misch","given":"Jonathan"},{"family":"Abu-Reyal","given":"Sawsan"},{"family":"Lohana","given":"Danyal"},{"family":"Mandil","given":"Obada"},{"family":"Saleh","given":"Muhammad H. A."},{"family":"Li","given":"Junying"},{"family":"Wang","given":"Hom-Lay"},{"family":"Ravidà","given":"Andrea"}],"issued":{"date-parts":[["2025",5]]}}}],"schema":"https://github.com/citation-style-language/schema/raw/master/csl-citation.json"} </w:instrText>
      </w:r>
      <w:r w:rsidR="004C454B">
        <w:rPr>
          <w:rFonts w:asciiTheme="majorBidi" w:hAnsiTheme="majorBidi" w:cstheme="majorBidi"/>
        </w:rPr>
        <w:fldChar w:fldCharType="separate"/>
      </w:r>
      <w:r w:rsidR="004C454B">
        <w:rPr>
          <w:rFonts w:asciiTheme="majorBidi" w:hAnsiTheme="majorBidi" w:cstheme="majorBidi"/>
          <w:noProof/>
        </w:rPr>
        <w:t>(Misch et al., 2025)</w:t>
      </w:r>
      <w:r w:rsidR="004C454B">
        <w:rPr>
          <w:rFonts w:asciiTheme="majorBidi" w:hAnsiTheme="majorBidi" w:cstheme="majorBidi"/>
        </w:rPr>
        <w:fldChar w:fldCharType="end"/>
      </w:r>
      <w:r w:rsidR="0087595D">
        <w:rPr>
          <w:rFonts w:asciiTheme="majorBidi" w:hAnsiTheme="majorBidi" w:cstheme="majorBidi"/>
        </w:rPr>
        <w:t xml:space="preserve"> suggest the effect REA has on MBL where they found significant effect when implant having &gt; 30</w:t>
      </w:r>
      <w:r w:rsidR="0087595D" w:rsidRPr="00F031E3">
        <w:rPr>
          <w:rFonts w:asciiTheme="majorBidi" w:hAnsiTheme="majorBidi" w:cstheme="majorBidi"/>
          <w:color w:val="000000" w:themeColor="text1"/>
        </w:rPr>
        <w:t>°</w:t>
      </w:r>
      <w:r w:rsidR="0087595D">
        <w:rPr>
          <w:rFonts w:asciiTheme="majorBidi" w:hAnsiTheme="majorBidi" w:cstheme="majorBidi"/>
          <w:color w:val="000000" w:themeColor="text1"/>
        </w:rPr>
        <w:t xml:space="preserve"> REA. In </w:t>
      </w:r>
      <w:r w:rsidR="004C454B">
        <w:rPr>
          <w:rFonts w:asciiTheme="majorBidi" w:hAnsiTheme="majorBidi" w:cstheme="majorBidi"/>
          <w:color w:val="000000" w:themeColor="text1"/>
        </w:rPr>
        <w:fldChar w:fldCharType="begin"/>
      </w:r>
      <w:r w:rsidR="004C454B">
        <w:rPr>
          <w:rFonts w:asciiTheme="majorBidi" w:hAnsiTheme="majorBidi" w:cstheme="majorBidi"/>
          <w:color w:val="000000" w:themeColor="text1"/>
        </w:rPr>
        <w:instrText xml:space="preserve"> ADDIN ZOTERO_ITEM CSL_CITATION {"citationID":"IVdurpCT","properties":{"formattedCitation":"(Misch et al., 2025)","plainCitation":"(Misch et al., 2025)","noteIndex":0},"citationItems":[{"id":55,"uris":["http://zotero.org/users/local/uf8AnBMd/items/W7LZD3JR"],"itemData":{"id":55,"type":"article-journal","abstract":"INTRODUCTION: This study aimed to investigate the combined effect of trans-mucosal abutment height (TmAH) and restorative emergence angle (REA) on marginal bone loss (MBL) around bone-level implants.\nMETHODS: Implant radiographs 12-18 months after crown placement (T0) and at least one year later (T1) were retrospectively analyzed. Sites were separated into four groups: Long/Narrow-Angle (LN) with TmAH &gt; 2 mm and REA &lt; 30°, Long/Wide-Angle (LW) with TmAH &gt; 2 mm and REA ≥ 30°, Short/Narrow-Angle (SN) with TmAH &lt; 2 mm and REA &lt; 30°, and Short/Wide-Angle (SW) with TmAH &lt; 2 mm and REA ≥ 30°. MBL was calculated, and multiple linear regression analysis was performed to control for patient-level and implant/prosthesis-level factors.\nRESULTS: 192 implants pertaining to 119 patients were included. Group significantly influenced MBL experience (p &lt; 0.001). Group SW experienced on average 0.48 mm (95% CI: 0.25-0.71, p &lt; 0.001), 0.43 mm (95% CI: 0.18-0.68, p = 0.001), and 0.25 mm (95% CI: 0.00-0.45, p = 0.013) greater MBL compared to Groups LN, LW, and SN, respectively. Group was also a significant factor impacting the development of peri-implantitis (p = 0.041), with Group SW displaying a roughly 4× greater likelihood of having peri-implantitis (PI) diagnosed compared to Groups LN (OR: 4.04; p = 0.091) and LW (OR: 4.19; p = 0.013). Every 1 mm increase in TmAH significantly decreased the likelihood of MBL &gt; 0 mm (OR = 0.63; p = 0.003).\nCONCLUSIONS: Abutment height &gt; 2 mm may play a role in reducing PI and MBL related to ≥ 30° REA around bone-level implants. REA was found to only be a significant factor when TmAH is less than 2 mm.","container-title":"Clinical Oral Implants Research","DOI":"10.1111/clr.14408","ISSN":"1600-0501","issue":"5","journalAbbreviation":"Clin Oral Implants Res","language":"eng","note":"PMID: 39927705\nPMCID: PMC12066925","page":"600-612","source":"PubMed","title":"Combined Effect of Abutment Height and Restoration Emergence Angle on Peri-Implant Bone Loss Progression: A Retrospective Analysis","title-short":"Combined Effect of Abutment Height and Restoration Emergence Angle on Peri-Implant Bone Loss Progression","volume":"36","author":[{"family":"Misch","given":"Jonathan"},{"family":"Abu-Reyal","given":"Sawsan"},{"family":"Lohana","given":"Danyal"},{"family":"Mandil","given":"Obada"},{"family":"Saleh","given":"Muhammad H. A."},{"family":"Li","given":"Junying"},{"family":"Wang","given":"Hom-Lay"},{"family":"Ravidà","given":"Andrea"}],"issued":{"date-parts":[["2025",5]]}}}],"schema":"https://github.com/citation-style-language/schema/raw/master/csl-citation.json"} </w:instrText>
      </w:r>
      <w:r w:rsidR="004C454B">
        <w:rPr>
          <w:rFonts w:asciiTheme="majorBidi" w:hAnsiTheme="majorBidi" w:cstheme="majorBidi"/>
          <w:color w:val="000000" w:themeColor="text1"/>
        </w:rPr>
        <w:fldChar w:fldCharType="separate"/>
      </w:r>
      <w:r w:rsidR="004C454B">
        <w:rPr>
          <w:rFonts w:asciiTheme="majorBidi" w:hAnsiTheme="majorBidi" w:cstheme="majorBidi"/>
          <w:noProof/>
          <w:color w:val="000000" w:themeColor="text1"/>
        </w:rPr>
        <w:t>(Misch et al., 2025)</w:t>
      </w:r>
      <w:r w:rsidR="004C454B">
        <w:rPr>
          <w:rFonts w:asciiTheme="majorBidi" w:hAnsiTheme="majorBidi" w:cstheme="majorBidi"/>
          <w:color w:val="000000" w:themeColor="text1"/>
        </w:rPr>
        <w:fldChar w:fldCharType="end"/>
      </w:r>
      <w:r w:rsidR="004C454B">
        <w:rPr>
          <w:rFonts w:asciiTheme="majorBidi" w:hAnsiTheme="majorBidi" w:cstheme="majorBidi"/>
          <w:color w:val="000000" w:themeColor="text1"/>
        </w:rPr>
        <w:t xml:space="preserve"> </w:t>
      </w:r>
      <w:r w:rsidR="0087595D">
        <w:rPr>
          <w:rFonts w:asciiTheme="majorBidi" w:hAnsiTheme="majorBidi" w:cstheme="majorBidi"/>
          <w:color w:val="000000" w:themeColor="text1"/>
        </w:rPr>
        <w:t>the angle of 30</w:t>
      </w:r>
      <w:r w:rsidR="0087595D" w:rsidRPr="00F031E3">
        <w:rPr>
          <w:rFonts w:asciiTheme="majorBidi" w:hAnsiTheme="majorBidi" w:cstheme="majorBidi"/>
          <w:color w:val="000000" w:themeColor="text1"/>
        </w:rPr>
        <w:t>°</w:t>
      </w:r>
      <w:r w:rsidR="0087595D">
        <w:rPr>
          <w:rFonts w:asciiTheme="majorBidi" w:hAnsiTheme="majorBidi" w:cstheme="majorBidi"/>
          <w:color w:val="000000" w:themeColor="text1"/>
        </w:rPr>
        <w:t xml:space="preserve"> was not significant if the abutment height that was used in the final </w:t>
      </w:r>
      <w:r w:rsidR="0087595D">
        <w:rPr>
          <w:rFonts w:asciiTheme="majorBidi" w:hAnsiTheme="majorBidi" w:cstheme="majorBidi"/>
          <w:color w:val="000000" w:themeColor="text1"/>
        </w:rPr>
        <w:lastRenderedPageBreak/>
        <w:t xml:space="preserve">prosthesis is 2mm or higher. The main difference in studies mentioned the evaluation was completed in healed ridge and implant </w:t>
      </w:r>
      <w:r w:rsidR="0028113A">
        <w:rPr>
          <w:rFonts w:asciiTheme="majorBidi" w:hAnsiTheme="majorBidi" w:cstheme="majorBidi"/>
          <w:color w:val="000000" w:themeColor="text1"/>
        </w:rPr>
        <w:t>placement and</w:t>
      </w:r>
      <w:r w:rsidR="0087595D">
        <w:rPr>
          <w:rFonts w:asciiTheme="majorBidi" w:hAnsiTheme="majorBidi" w:cstheme="majorBidi"/>
          <w:color w:val="000000" w:themeColor="text1"/>
        </w:rPr>
        <w:t xml:space="preserve"> was not immediate implant cases. </w:t>
      </w:r>
      <w:r w:rsidR="0028113A">
        <w:rPr>
          <w:rFonts w:asciiTheme="majorBidi" w:hAnsiTheme="majorBidi" w:cstheme="majorBidi"/>
          <w:color w:val="000000" w:themeColor="text1"/>
        </w:rPr>
        <w:t xml:space="preserve">In this retrospective analysis the percentage of implant included in the anterior sites and premolar sites had REA of </w:t>
      </w:r>
      <w:r w:rsidR="0028113A" w:rsidRPr="00F031E3">
        <w:rPr>
          <w:rFonts w:asciiTheme="majorBidi" w:hAnsiTheme="majorBidi" w:cstheme="majorBidi"/>
          <w:color w:val="000000" w:themeColor="text1"/>
        </w:rPr>
        <w:t>≤30°.</w:t>
      </w:r>
      <w:r w:rsidR="0028113A">
        <w:rPr>
          <w:rFonts w:asciiTheme="majorBidi" w:hAnsiTheme="majorBidi" w:cstheme="majorBidi"/>
          <w:color w:val="000000" w:themeColor="text1"/>
        </w:rPr>
        <w:t xml:space="preserve"> Further research needed to investigate the importance of the REA, restorative/prosthesis </w:t>
      </w:r>
      <w:r w:rsidR="0028113A" w:rsidRPr="0028113A">
        <w:rPr>
          <w:rFonts w:asciiTheme="majorBidi" w:hAnsiTheme="majorBidi" w:cstheme="majorBidi"/>
          <w:color w:val="000000" w:themeColor="text1"/>
        </w:rPr>
        <w:t>design and clinical parameter effect of the peri-implant marginal bone level.</w:t>
      </w:r>
    </w:p>
    <w:p w14:paraId="054BC996" w14:textId="0AFD90F0" w:rsidR="00845E74" w:rsidRPr="0028113A" w:rsidRDefault="00845E74" w:rsidP="0028113A">
      <w:pPr>
        <w:spacing w:line="480" w:lineRule="auto"/>
        <w:rPr>
          <w:rFonts w:asciiTheme="majorBidi" w:hAnsiTheme="majorBidi" w:cstheme="majorBidi"/>
          <w:b/>
          <w:bCs/>
        </w:rPr>
      </w:pPr>
      <w:r w:rsidRPr="0028113A">
        <w:rPr>
          <w:rFonts w:asciiTheme="majorBidi" w:hAnsiTheme="majorBidi" w:cstheme="majorBidi"/>
          <w:b/>
          <w:bCs/>
        </w:rPr>
        <w:t>Conclusion:</w:t>
      </w:r>
    </w:p>
    <w:p w14:paraId="1C75A589" w14:textId="1CBE6348" w:rsidR="00D06F19" w:rsidRDefault="00D06F19" w:rsidP="0028113A">
      <w:pPr>
        <w:spacing w:line="480" w:lineRule="auto"/>
        <w:rPr>
          <w:rFonts w:asciiTheme="majorBidi" w:hAnsiTheme="majorBidi" w:cstheme="majorBidi"/>
        </w:rPr>
      </w:pPr>
      <w:r w:rsidRPr="0028113A">
        <w:rPr>
          <w:rFonts w:asciiTheme="majorBidi" w:hAnsiTheme="majorBidi" w:cstheme="majorBidi"/>
          <w:b/>
          <w:bCs/>
        </w:rPr>
        <w:tab/>
      </w:r>
      <w:r w:rsidRPr="0028113A">
        <w:rPr>
          <w:rFonts w:asciiTheme="majorBidi" w:hAnsiTheme="majorBidi" w:cstheme="majorBidi"/>
        </w:rPr>
        <w:t xml:space="preserve">With the limitation of this retrospective </w:t>
      </w:r>
      <w:r w:rsidR="0028113A" w:rsidRPr="0028113A">
        <w:rPr>
          <w:rFonts w:asciiTheme="majorBidi" w:hAnsiTheme="majorBidi" w:cstheme="majorBidi"/>
        </w:rPr>
        <w:t>evaluation, we observed significant variations in emergence angles which were observed across different implant sites. However, when accounting for variables such as implant location and site, no correlation was found between emergence angle and marginal bone loss (MBL).</w:t>
      </w:r>
      <w:r w:rsidRPr="0028113A">
        <w:rPr>
          <w:rFonts w:asciiTheme="majorBidi" w:hAnsiTheme="majorBidi" w:cstheme="majorBidi"/>
        </w:rPr>
        <w:t xml:space="preserve"> </w:t>
      </w:r>
    </w:p>
    <w:p w14:paraId="0935A18A" w14:textId="77777777" w:rsidR="0028113A" w:rsidRDefault="0028113A" w:rsidP="0028113A">
      <w:pPr>
        <w:spacing w:line="480" w:lineRule="auto"/>
        <w:rPr>
          <w:rFonts w:asciiTheme="majorBidi" w:hAnsiTheme="majorBidi" w:cstheme="majorBidi"/>
        </w:rPr>
      </w:pPr>
    </w:p>
    <w:p w14:paraId="5A867C28" w14:textId="77777777" w:rsidR="0028113A" w:rsidRDefault="0028113A" w:rsidP="0028113A">
      <w:pPr>
        <w:spacing w:line="480" w:lineRule="auto"/>
        <w:rPr>
          <w:rFonts w:asciiTheme="majorBidi" w:hAnsiTheme="majorBidi" w:cstheme="majorBidi"/>
        </w:rPr>
      </w:pPr>
    </w:p>
    <w:p w14:paraId="21659CD0" w14:textId="77777777" w:rsidR="0028113A" w:rsidRDefault="0028113A" w:rsidP="0028113A">
      <w:pPr>
        <w:spacing w:line="480" w:lineRule="auto"/>
        <w:rPr>
          <w:rFonts w:asciiTheme="majorBidi" w:hAnsiTheme="majorBidi" w:cstheme="majorBidi"/>
        </w:rPr>
      </w:pPr>
    </w:p>
    <w:p w14:paraId="1DBB53EE" w14:textId="77777777" w:rsidR="0028113A" w:rsidRDefault="0028113A" w:rsidP="0028113A">
      <w:pPr>
        <w:spacing w:line="480" w:lineRule="auto"/>
        <w:rPr>
          <w:rFonts w:asciiTheme="majorBidi" w:hAnsiTheme="majorBidi" w:cstheme="majorBidi"/>
        </w:rPr>
      </w:pPr>
    </w:p>
    <w:p w14:paraId="3AE5FD1E" w14:textId="77777777" w:rsidR="0028113A" w:rsidRDefault="0028113A" w:rsidP="0028113A">
      <w:pPr>
        <w:spacing w:line="480" w:lineRule="auto"/>
        <w:rPr>
          <w:rFonts w:asciiTheme="majorBidi" w:hAnsiTheme="majorBidi" w:cstheme="majorBidi"/>
        </w:rPr>
      </w:pPr>
    </w:p>
    <w:p w14:paraId="520DB3E2" w14:textId="77777777" w:rsidR="0028113A" w:rsidRDefault="0028113A" w:rsidP="0028113A">
      <w:pPr>
        <w:spacing w:line="480" w:lineRule="auto"/>
        <w:rPr>
          <w:rFonts w:asciiTheme="majorBidi" w:hAnsiTheme="majorBidi" w:cstheme="majorBidi"/>
        </w:rPr>
      </w:pPr>
    </w:p>
    <w:p w14:paraId="002DC162" w14:textId="77777777" w:rsidR="0028113A" w:rsidRDefault="0028113A" w:rsidP="0028113A">
      <w:pPr>
        <w:spacing w:line="480" w:lineRule="auto"/>
        <w:rPr>
          <w:rFonts w:asciiTheme="majorBidi" w:hAnsiTheme="majorBidi" w:cstheme="majorBidi"/>
        </w:rPr>
      </w:pPr>
    </w:p>
    <w:p w14:paraId="6F9CCB3F" w14:textId="77777777" w:rsidR="0028113A" w:rsidRDefault="0028113A" w:rsidP="0028113A">
      <w:pPr>
        <w:spacing w:line="480" w:lineRule="auto"/>
        <w:rPr>
          <w:rFonts w:asciiTheme="majorBidi" w:hAnsiTheme="majorBidi" w:cstheme="majorBidi"/>
        </w:rPr>
      </w:pPr>
    </w:p>
    <w:p w14:paraId="1DE10C29" w14:textId="77777777" w:rsidR="0028113A" w:rsidRDefault="0028113A" w:rsidP="0028113A">
      <w:pPr>
        <w:spacing w:line="480" w:lineRule="auto"/>
        <w:rPr>
          <w:rFonts w:asciiTheme="majorBidi" w:hAnsiTheme="majorBidi" w:cstheme="majorBidi"/>
        </w:rPr>
      </w:pPr>
    </w:p>
    <w:p w14:paraId="4D722818" w14:textId="77777777" w:rsidR="0028113A" w:rsidRDefault="0028113A" w:rsidP="0028113A">
      <w:pPr>
        <w:spacing w:line="480" w:lineRule="auto"/>
        <w:rPr>
          <w:rFonts w:asciiTheme="majorBidi" w:hAnsiTheme="majorBidi" w:cstheme="majorBidi"/>
        </w:rPr>
      </w:pPr>
    </w:p>
    <w:p w14:paraId="3D7610F2" w14:textId="7DBF3826" w:rsidR="0028113A" w:rsidRPr="004C454B" w:rsidRDefault="0028113A" w:rsidP="0028113A">
      <w:pPr>
        <w:spacing w:line="240" w:lineRule="auto"/>
        <w:rPr>
          <w:rFonts w:asciiTheme="majorBidi" w:hAnsiTheme="majorBidi" w:cstheme="majorBidi"/>
          <w:b/>
          <w:bCs/>
          <w:sz w:val="28"/>
          <w:szCs w:val="28"/>
        </w:rPr>
      </w:pPr>
      <w:r w:rsidRPr="004C454B">
        <w:rPr>
          <w:rFonts w:asciiTheme="majorBidi" w:hAnsiTheme="majorBidi" w:cstheme="majorBidi"/>
          <w:b/>
          <w:bCs/>
          <w:sz w:val="28"/>
          <w:szCs w:val="28"/>
        </w:rPr>
        <w:t xml:space="preserve">References: </w:t>
      </w:r>
    </w:p>
    <w:p w14:paraId="516A51B7" w14:textId="77777777" w:rsidR="004C454B" w:rsidRPr="004C454B" w:rsidRDefault="00AF5ABF" w:rsidP="00940D90">
      <w:pPr>
        <w:pStyle w:val="Bibliography"/>
        <w:numPr>
          <w:ilvl w:val="0"/>
          <w:numId w:val="5"/>
        </w:numPr>
        <w:rPr>
          <w:rFonts w:asciiTheme="majorBidi" w:hAnsiTheme="majorBidi" w:cstheme="majorBidi"/>
        </w:rPr>
      </w:pPr>
      <w:r w:rsidRPr="004C454B">
        <w:rPr>
          <w:rFonts w:asciiTheme="majorBidi" w:hAnsiTheme="majorBidi" w:cstheme="majorBidi"/>
        </w:rPr>
        <w:fldChar w:fldCharType="begin"/>
      </w:r>
      <w:r w:rsidR="004C454B" w:rsidRPr="004C454B">
        <w:rPr>
          <w:rFonts w:asciiTheme="majorBidi" w:hAnsiTheme="majorBidi" w:cstheme="majorBidi"/>
        </w:rPr>
        <w:instrText xml:space="preserve"> ADDIN ZOTERO_BIBL {"uncited":[],"omitted":[],"custom":[]} CSL_BIBLIOGRAPHY </w:instrText>
      </w:r>
      <w:r w:rsidRPr="004C454B">
        <w:rPr>
          <w:rFonts w:asciiTheme="majorBidi" w:hAnsiTheme="majorBidi" w:cstheme="majorBidi"/>
        </w:rPr>
        <w:fldChar w:fldCharType="separate"/>
      </w:r>
      <w:r w:rsidR="004C454B" w:rsidRPr="004C454B">
        <w:rPr>
          <w:rFonts w:asciiTheme="majorBidi" w:hAnsiTheme="majorBidi" w:cstheme="majorBidi"/>
        </w:rPr>
        <w:t xml:space="preserve">Abrahamsson, I., Berglundh, T., Linder, E., Lang, N. P., &amp; Lindhe, J. (2004). Early bone formation adjacent to rough and turned endosseous implant surfaces. An experimental study in the dog. </w:t>
      </w:r>
      <w:r w:rsidR="004C454B" w:rsidRPr="004C454B">
        <w:rPr>
          <w:rFonts w:asciiTheme="majorBidi" w:hAnsiTheme="majorBidi" w:cstheme="majorBidi"/>
          <w:i/>
          <w:iCs/>
        </w:rPr>
        <w:t>Clinical Oral Implants Research</w:t>
      </w:r>
      <w:r w:rsidR="004C454B" w:rsidRPr="004C454B">
        <w:rPr>
          <w:rFonts w:asciiTheme="majorBidi" w:hAnsiTheme="majorBidi" w:cstheme="majorBidi"/>
        </w:rPr>
        <w:t xml:space="preserve">, </w:t>
      </w:r>
      <w:r w:rsidR="004C454B" w:rsidRPr="004C454B">
        <w:rPr>
          <w:rFonts w:asciiTheme="majorBidi" w:hAnsiTheme="majorBidi" w:cstheme="majorBidi"/>
          <w:i/>
          <w:iCs/>
        </w:rPr>
        <w:t>15</w:t>
      </w:r>
      <w:r w:rsidR="004C454B" w:rsidRPr="004C454B">
        <w:rPr>
          <w:rFonts w:asciiTheme="majorBidi" w:hAnsiTheme="majorBidi" w:cstheme="majorBidi"/>
        </w:rPr>
        <w:t>(4), 381–392. https://doi.org/10.1111/j.1600-0501.2004.01082.x</w:t>
      </w:r>
    </w:p>
    <w:p w14:paraId="76CDCB85"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t xml:space="preserve">Albrektsson, T., Chrcanovic, B., Östman, P.-O., &amp; Sennerby, L. (2017). Initial and long-term crestal bone responses to modern dental implants. </w:t>
      </w:r>
      <w:r w:rsidRPr="004C454B">
        <w:rPr>
          <w:rFonts w:asciiTheme="majorBidi" w:hAnsiTheme="majorBidi" w:cstheme="majorBidi"/>
          <w:i/>
          <w:iCs/>
        </w:rPr>
        <w:t>Periodontology 2000</w:t>
      </w:r>
      <w:r w:rsidRPr="004C454B">
        <w:rPr>
          <w:rFonts w:asciiTheme="majorBidi" w:hAnsiTheme="majorBidi" w:cstheme="majorBidi"/>
        </w:rPr>
        <w:t xml:space="preserve">, </w:t>
      </w:r>
      <w:r w:rsidRPr="004C454B">
        <w:rPr>
          <w:rFonts w:asciiTheme="majorBidi" w:hAnsiTheme="majorBidi" w:cstheme="majorBidi"/>
          <w:i/>
          <w:iCs/>
        </w:rPr>
        <w:t>73</w:t>
      </w:r>
      <w:r w:rsidRPr="004C454B">
        <w:rPr>
          <w:rFonts w:asciiTheme="majorBidi" w:hAnsiTheme="majorBidi" w:cstheme="majorBidi"/>
        </w:rPr>
        <w:t>(1), 41–50. https://doi.org/10.1111/prd.12176</w:t>
      </w:r>
    </w:p>
    <w:p w14:paraId="500598B0"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t xml:space="preserve">Berglundh, T., Armitage, G., Araujo, M. G., Avila-Ortiz, G., Blanco, J., Camargo, P. M., Chen, S., Cochran, D., Derks, J., Figuero, E., Hämmerle, C. H. F., Heitz-Mayfield, L. J. A., Huynh-Ba, G., Iacono, V., Koo, K.-T., Lambert, F., McCauley, L., Quirynen, M., Renvert, S., … Zitzmann, N. (2018). Peri-implant diseases and conditions: Consensus report of workgroup 4 of the 2017 World Workshop on the Classification of Periodontal and Peri-Implant Diseases and Conditions. </w:t>
      </w:r>
      <w:r w:rsidRPr="004C454B">
        <w:rPr>
          <w:rFonts w:asciiTheme="majorBidi" w:hAnsiTheme="majorBidi" w:cstheme="majorBidi"/>
          <w:i/>
          <w:iCs/>
        </w:rPr>
        <w:t>Journal of Periodontology</w:t>
      </w:r>
      <w:r w:rsidRPr="004C454B">
        <w:rPr>
          <w:rFonts w:asciiTheme="majorBidi" w:hAnsiTheme="majorBidi" w:cstheme="majorBidi"/>
        </w:rPr>
        <w:t xml:space="preserve">, </w:t>
      </w:r>
      <w:r w:rsidRPr="004C454B">
        <w:rPr>
          <w:rFonts w:asciiTheme="majorBidi" w:hAnsiTheme="majorBidi" w:cstheme="majorBidi"/>
          <w:i/>
          <w:iCs/>
        </w:rPr>
        <w:t>89</w:t>
      </w:r>
      <w:r w:rsidRPr="004C454B">
        <w:rPr>
          <w:rFonts w:asciiTheme="majorBidi" w:hAnsiTheme="majorBidi" w:cstheme="majorBidi"/>
        </w:rPr>
        <w:t>(S1), S313–S318. https://doi.org/10.1002/JPER.17-0739</w:t>
      </w:r>
    </w:p>
    <w:p w14:paraId="01BF7D05"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t xml:space="preserve">Brånemark, P. I., Adell, R., Breine, U., Hansson, B. O., Lindström, J., &amp; Ohlsson, A. (1969). Intra-osseous anchorage of dental prostheses. I. Experimental studies. </w:t>
      </w:r>
      <w:r w:rsidRPr="004C454B">
        <w:rPr>
          <w:rFonts w:asciiTheme="majorBidi" w:hAnsiTheme="majorBidi" w:cstheme="majorBidi"/>
          <w:i/>
          <w:iCs/>
        </w:rPr>
        <w:t>Scandinavian Journal of Plastic and Reconstructive Surgery</w:t>
      </w:r>
      <w:r w:rsidRPr="004C454B">
        <w:rPr>
          <w:rFonts w:asciiTheme="majorBidi" w:hAnsiTheme="majorBidi" w:cstheme="majorBidi"/>
        </w:rPr>
        <w:t xml:space="preserve">, </w:t>
      </w:r>
      <w:r w:rsidRPr="004C454B">
        <w:rPr>
          <w:rFonts w:asciiTheme="majorBidi" w:hAnsiTheme="majorBidi" w:cstheme="majorBidi"/>
          <w:i/>
          <w:iCs/>
        </w:rPr>
        <w:t>3</w:t>
      </w:r>
      <w:r w:rsidRPr="004C454B">
        <w:rPr>
          <w:rFonts w:asciiTheme="majorBidi" w:hAnsiTheme="majorBidi" w:cstheme="majorBidi"/>
        </w:rPr>
        <w:t>(2), 81–100. https://doi.org/10.3109/02844316909036699</w:t>
      </w:r>
    </w:p>
    <w:p w14:paraId="2A2BDD91"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t xml:space="preserve">Buser, D., Broggini, N., Wieland, M., Schenk, R. K., Denzer, A. J., Cochran, D. L., Hoffmann, B., Lussi, A., &amp; Steinemann, S. G. (2004). Enhanced bone apposition to a </w:t>
      </w:r>
      <w:r w:rsidRPr="004C454B">
        <w:rPr>
          <w:rFonts w:asciiTheme="majorBidi" w:hAnsiTheme="majorBidi" w:cstheme="majorBidi"/>
        </w:rPr>
        <w:lastRenderedPageBreak/>
        <w:t xml:space="preserve">chemically modified SLA titanium surface. </w:t>
      </w:r>
      <w:r w:rsidRPr="004C454B">
        <w:rPr>
          <w:rFonts w:asciiTheme="majorBidi" w:hAnsiTheme="majorBidi" w:cstheme="majorBidi"/>
          <w:i/>
          <w:iCs/>
        </w:rPr>
        <w:t>Journal of Dental Research</w:t>
      </w:r>
      <w:r w:rsidRPr="004C454B">
        <w:rPr>
          <w:rFonts w:asciiTheme="majorBidi" w:hAnsiTheme="majorBidi" w:cstheme="majorBidi"/>
        </w:rPr>
        <w:t xml:space="preserve">, </w:t>
      </w:r>
      <w:r w:rsidRPr="004C454B">
        <w:rPr>
          <w:rFonts w:asciiTheme="majorBidi" w:hAnsiTheme="majorBidi" w:cstheme="majorBidi"/>
          <w:i/>
          <w:iCs/>
        </w:rPr>
        <w:t>83</w:t>
      </w:r>
      <w:r w:rsidRPr="004C454B">
        <w:rPr>
          <w:rFonts w:asciiTheme="majorBidi" w:hAnsiTheme="majorBidi" w:cstheme="majorBidi"/>
        </w:rPr>
        <w:t>(7), 529–533. https://doi.org/10.1177/154405910408300704</w:t>
      </w:r>
    </w:p>
    <w:p w14:paraId="6FDFD8B8"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t xml:space="preserve">Buser, D., Chappuis, V., Belser, U. C., &amp; Chen, S. (2017). Implant placement post extraction in esthetic single tooth sites: When immediate, when early, when late? </w:t>
      </w:r>
      <w:r w:rsidRPr="004C454B">
        <w:rPr>
          <w:rFonts w:asciiTheme="majorBidi" w:hAnsiTheme="majorBidi" w:cstheme="majorBidi"/>
          <w:i/>
          <w:iCs/>
        </w:rPr>
        <w:t>Periodontology 2000</w:t>
      </w:r>
      <w:r w:rsidRPr="004C454B">
        <w:rPr>
          <w:rFonts w:asciiTheme="majorBidi" w:hAnsiTheme="majorBidi" w:cstheme="majorBidi"/>
        </w:rPr>
        <w:t xml:space="preserve">, </w:t>
      </w:r>
      <w:r w:rsidRPr="004C454B">
        <w:rPr>
          <w:rFonts w:asciiTheme="majorBidi" w:hAnsiTheme="majorBidi" w:cstheme="majorBidi"/>
          <w:i/>
          <w:iCs/>
        </w:rPr>
        <w:t>73</w:t>
      </w:r>
      <w:r w:rsidRPr="004C454B">
        <w:rPr>
          <w:rFonts w:asciiTheme="majorBidi" w:hAnsiTheme="majorBidi" w:cstheme="majorBidi"/>
        </w:rPr>
        <w:t>(1), 84–102. https://doi.org/10.1111/prd.12170</w:t>
      </w:r>
    </w:p>
    <w:p w14:paraId="798A01E7"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t xml:space="preserve">Buser, D., Schenk, R. K., Steinemann, S., Fiorellini, J. P., Fox, C. H., &amp; Stich, H. (1991). Influence of surface characteristics on bone integration of titanium implants. A histomorphometric study in miniature pigs. </w:t>
      </w:r>
      <w:r w:rsidRPr="004C454B">
        <w:rPr>
          <w:rFonts w:asciiTheme="majorBidi" w:hAnsiTheme="majorBidi" w:cstheme="majorBidi"/>
          <w:i/>
          <w:iCs/>
        </w:rPr>
        <w:t>Journal of Biomedical Materials Research</w:t>
      </w:r>
      <w:r w:rsidRPr="004C454B">
        <w:rPr>
          <w:rFonts w:asciiTheme="majorBidi" w:hAnsiTheme="majorBidi" w:cstheme="majorBidi"/>
        </w:rPr>
        <w:t xml:space="preserve">, </w:t>
      </w:r>
      <w:r w:rsidRPr="004C454B">
        <w:rPr>
          <w:rFonts w:asciiTheme="majorBidi" w:hAnsiTheme="majorBidi" w:cstheme="majorBidi"/>
          <w:i/>
          <w:iCs/>
        </w:rPr>
        <w:t>25</w:t>
      </w:r>
      <w:r w:rsidRPr="004C454B">
        <w:rPr>
          <w:rFonts w:asciiTheme="majorBidi" w:hAnsiTheme="majorBidi" w:cstheme="majorBidi"/>
        </w:rPr>
        <w:t>(7), 889–902. https://doi.org/10.1002/jbm.820250708</w:t>
      </w:r>
    </w:p>
    <w:p w14:paraId="3E77ECE2"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t xml:space="preserve">Carlsson, L., Röstlund, T., Albrektsson, B., &amp; Albrektsson, T. (1988). Removal torques for polished and rough titanium implants. </w:t>
      </w:r>
      <w:r w:rsidRPr="004C454B">
        <w:rPr>
          <w:rFonts w:asciiTheme="majorBidi" w:hAnsiTheme="majorBidi" w:cstheme="majorBidi"/>
          <w:i/>
          <w:iCs/>
        </w:rPr>
        <w:t>The International Journal of Oral &amp; Maxillofacial Implants</w:t>
      </w:r>
      <w:r w:rsidRPr="004C454B">
        <w:rPr>
          <w:rFonts w:asciiTheme="majorBidi" w:hAnsiTheme="majorBidi" w:cstheme="majorBidi"/>
        </w:rPr>
        <w:t xml:space="preserve">, </w:t>
      </w:r>
      <w:r w:rsidRPr="004C454B">
        <w:rPr>
          <w:rFonts w:asciiTheme="majorBidi" w:hAnsiTheme="majorBidi" w:cstheme="majorBidi"/>
          <w:i/>
          <w:iCs/>
        </w:rPr>
        <w:t>3</w:t>
      </w:r>
      <w:r w:rsidRPr="004C454B">
        <w:rPr>
          <w:rFonts w:asciiTheme="majorBidi" w:hAnsiTheme="majorBidi" w:cstheme="majorBidi"/>
        </w:rPr>
        <w:t>(1), 21–24.</w:t>
      </w:r>
    </w:p>
    <w:p w14:paraId="19C77E95"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t xml:space="preserve">Cosyn, J., De Lat, L., Seyssens, L., Doornewaard, R., Deschepper, E., &amp; Vervaeke, S. (2019). The effectiveness of immediate implant placement for single tooth replacement compared to delayed implant placement: A systematic review and meta-analysis. </w:t>
      </w:r>
      <w:r w:rsidRPr="004C454B">
        <w:rPr>
          <w:rFonts w:asciiTheme="majorBidi" w:hAnsiTheme="majorBidi" w:cstheme="majorBidi"/>
          <w:i/>
          <w:iCs/>
        </w:rPr>
        <w:t>Journal of Clinical Periodontology</w:t>
      </w:r>
      <w:r w:rsidRPr="004C454B">
        <w:rPr>
          <w:rFonts w:asciiTheme="majorBidi" w:hAnsiTheme="majorBidi" w:cstheme="majorBidi"/>
        </w:rPr>
        <w:t xml:space="preserve">, </w:t>
      </w:r>
      <w:r w:rsidRPr="004C454B">
        <w:rPr>
          <w:rFonts w:asciiTheme="majorBidi" w:hAnsiTheme="majorBidi" w:cstheme="majorBidi"/>
          <w:i/>
          <w:iCs/>
        </w:rPr>
        <w:t>46 Suppl 21</w:t>
      </w:r>
      <w:r w:rsidRPr="004C454B">
        <w:rPr>
          <w:rFonts w:asciiTheme="majorBidi" w:hAnsiTheme="majorBidi" w:cstheme="majorBidi"/>
        </w:rPr>
        <w:t>, 224–241. https://doi.org/10.1111/jcpe.13054</w:t>
      </w:r>
    </w:p>
    <w:p w14:paraId="154FE3DC"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t xml:space="preserve">Derks, J., &amp; Tomasi, C. (2015). Peri-implant health and disease. A systematic review of current epidemiology. </w:t>
      </w:r>
      <w:r w:rsidRPr="004C454B">
        <w:rPr>
          <w:rFonts w:asciiTheme="majorBidi" w:hAnsiTheme="majorBidi" w:cstheme="majorBidi"/>
          <w:i/>
          <w:iCs/>
        </w:rPr>
        <w:t>Journal of Clinical Periodontology</w:t>
      </w:r>
      <w:r w:rsidRPr="004C454B">
        <w:rPr>
          <w:rFonts w:asciiTheme="majorBidi" w:hAnsiTheme="majorBidi" w:cstheme="majorBidi"/>
        </w:rPr>
        <w:t xml:space="preserve">, </w:t>
      </w:r>
      <w:r w:rsidRPr="004C454B">
        <w:rPr>
          <w:rFonts w:asciiTheme="majorBidi" w:hAnsiTheme="majorBidi" w:cstheme="majorBidi"/>
          <w:i/>
          <w:iCs/>
        </w:rPr>
        <w:t>42 Suppl 16</w:t>
      </w:r>
      <w:r w:rsidRPr="004C454B">
        <w:rPr>
          <w:rFonts w:asciiTheme="majorBidi" w:hAnsiTheme="majorBidi" w:cstheme="majorBidi"/>
        </w:rPr>
        <w:t>, S158-171. https://doi.org/10.1111/jcpe.12334</w:t>
      </w:r>
    </w:p>
    <w:p w14:paraId="34E53E92"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t xml:space="preserve">Galindo-Moreno, P., León-Cano, A., Ortega-Oller, I., Monje, A., O Valle, F., &amp; Catena, A. (2015). Marginal bone loss as success criterion in implant dentistry: Beyond 2 mm. </w:t>
      </w:r>
      <w:r w:rsidRPr="004C454B">
        <w:rPr>
          <w:rFonts w:asciiTheme="majorBidi" w:hAnsiTheme="majorBidi" w:cstheme="majorBidi"/>
          <w:i/>
          <w:iCs/>
        </w:rPr>
        <w:t>Clinical Oral Implants Research</w:t>
      </w:r>
      <w:r w:rsidRPr="004C454B">
        <w:rPr>
          <w:rFonts w:asciiTheme="majorBidi" w:hAnsiTheme="majorBidi" w:cstheme="majorBidi"/>
        </w:rPr>
        <w:t xml:space="preserve">, </w:t>
      </w:r>
      <w:r w:rsidRPr="004C454B">
        <w:rPr>
          <w:rFonts w:asciiTheme="majorBidi" w:hAnsiTheme="majorBidi" w:cstheme="majorBidi"/>
          <w:i/>
          <w:iCs/>
        </w:rPr>
        <w:t>26</w:t>
      </w:r>
      <w:r w:rsidRPr="004C454B">
        <w:rPr>
          <w:rFonts w:asciiTheme="majorBidi" w:hAnsiTheme="majorBidi" w:cstheme="majorBidi"/>
        </w:rPr>
        <w:t>(4), e28–e34. https://doi.org/10.1111/clr.12324</w:t>
      </w:r>
    </w:p>
    <w:p w14:paraId="599E4419"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lastRenderedPageBreak/>
        <w:t xml:space="preserve">Lang, N. P., Pun, L., Lau, K. Y., Li, K. Y., &amp; Wong, M. C. M. (2012). A systematic review on survival and success rates of implants placed immediately into fresh extraction sockets after at least 1 year. </w:t>
      </w:r>
      <w:r w:rsidRPr="004C454B">
        <w:rPr>
          <w:rFonts w:asciiTheme="majorBidi" w:hAnsiTheme="majorBidi" w:cstheme="majorBidi"/>
          <w:i/>
          <w:iCs/>
        </w:rPr>
        <w:t>Clinical Oral Implants Research</w:t>
      </w:r>
      <w:r w:rsidRPr="004C454B">
        <w:rPr>
          <w:rFonts w:asciiTheme="majorBidi" w:hAnsiTheme="majorBidi" w:cstheme="majorBidi"/>
        </w:rPr>
        <w:t xml:space="preserve">, </w:t>
      </w:r>
      <w:r w:rsidRPr="004C454B">
        <w:rPr>
          <w:rFonts w:asciiTheme="majorBidi" w:hAnsiTheme="majorBidi" w:cstheme="majorBidi"/>
          <w:i/>
          <w:iCs/>
        </w:rPr>
        <w:t>23 Suppl 5</w:t>
      </w:r>
      <w:r w:rsidRPr="004C454B">
        <w:rPr>
          <w:rFonts w:asciiTheme="majorBidi" w:hAnsiTheme="majorBidi" w:cstheme="majorBidi"/>
        </w:rPr>
        <w:t>, 39–66. https://doi.org/10.1111/j.1600-0501.2011.02372.x</w:t>
      </w:r>
    </w:p>
    <w:p w14:paraId="27A763DA"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t xml:space="preserve">Lazzara, R. J. (1989). Immediate implant placement into extraction sites: Surgical and restorative advantages. </w:t>
      </w:r>
      <w:r w:rsidRPr="004C454B">
        <w:rPr>
          <w:rFonts w:asciiTheme="majorBidi" w:hAnsiTheme="majorBidi" w:cstheme="majorBidi"/>
          <w:i/>
          <w:iCs/>
        </w:rPr>
        <w:t>The International Journal of Periodontics &amp; Restorative Dentistry</w:t>
      </w:r>
      <w:r w:rsidRPr="004C454B">
        <w:rPr>
          <w:rFonts w:asciiTheme="majorBidi" w:hAnsiTheme="majorBidi" w:cstheme="majorBidi"/>
        </w:rPr>
        <w:t xml:space="preserve">, </w:t>
      </w:r>
      <w:r w:rsidRPr="004C454B">
        <w:rPr>
          <w:rFonts w:asciiTheme="majorBidi" w:hAnsiTheme="majorBidi" w:cstheme="majorBidi"/>
          <w:i/>
          <w:iCs/>
        </w:rPr>
        <w:t>9</w:t>
      </w:r>
      <w:r w:rsidRPr="004C454B">
        <w:rPr>
          <w:rFonts w:asciiTheme="majorBidi" w:hAnsiTheme="majorBidi" w:cstheme="majorBidi"/>
        </w:rPr>
        <w:t>(5), 332–343.</w:t>
      </w:r>
    </w:p>
    <w:p w14:paraId="5BAE63D5"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t xml:space="preserve">Majzoub, J., Chen, Z., Saleh, I., Askar, H., &amp; Wang, H.-L. (2021). Influence of restorative design on the progression of peri-implant bone loss: A retrospective study. </w:t>
      </w:r>
      <w:r w:rsidRPr="004C454B">
        <w:rPr>
          <w:rFonts w:asciiTheme="majorBidi" w:hAnsiTheme="majorBidi" w:cstheme="majorBidi"/>
          <w:i/>
          <w:iCs/>
        </w:rPr>
        <w:t>Journal of Periodontology</w:t>
      </w:r>
      <w:r w:rsidRPr="004C454B">
        <w:rPr>
          <w:rFonts w:asciiTheme="majorBidi" w:hAnsiTheme="majorBidi" w:cstheme="majorBidi"/>
        </w:rPr>
        <w:t xml:space="preserve">, </w:t>
      </w:r>
      <w:r w:rsidRPr="004C454B">
        <w:rPr>
          <w:rFonts w:asciiTheme="majorBidi" w:hAnsiTheme="majorBidi" w:cstheme="majorBidi"/>
          <w:i/>
          <w:iCs/>
        </w:rPr>
        <w:t>92</w:t>
      </w:r>
      <w:r w:rsidRPr="004C454B">
        <w:rPr>
          <w:rFonts w:asciiTheme="majorBidi" w:hAnsiTheme="majorBidi" w:cstheme="majorBidi"/>
        </w:rPr>
        <w:t>(4), 536–546. https://doi.org/10.1002/JPER.20-0327</w:t>
      </w:r>
    </w:p>
    <w:p w14:paraId="4C38C0B7"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t xml:space="preserve">Misch, J., Abu-Reyal, S., Lohana, D., Mandil, O., Saleh, M. H. A., Li, J., Wang, H.-L., &amp; Ravidà, A. (2025). Combined Effect of Abutment Height and Restoration Emergence Angle on Peri-Implant Bone Loss Progression: A Retrospective Analysis. </w:t>
      </w:r>
      <w:r w:rsidRPr="004C454B">
        <w:rPr>
          <w:rFonts w:asciiTheme="majorBidi" w:hAnsiTheme="majorBidi" w:cstheme="majorBidi"/>
          <w:i/>
          <w:iCs/>
        </w:rPr>
        <w:t>Clinical Oral Implants Research</w:t>
      </w:r>
      <w:r w:rsidRPr="004C454B">
        <w:rPr>
          <w:rFonts w:asciiTheme="majorBidi" w:hAnsiTheme="majorBidi" w:cstheme="majorBidi"/>
        </w:rPr>
        <w:t xml:space="preserve">, </w:t>
      </w:r>
      <w:r w:rsidRPr="004C454B">
        <w:rPr>
          <w:rFonts w:asciiTheme="majorBidi" w:hAnsiTheme="majorBidi" w:cstheme="majorBidi"/>
          <w:i/>
          <w:iCs/>
        </w:rPr>
        <w:t>36</w:t>
      </w:r>
      <w:r w:rsidRPr="004C454B">
        <w:rPr>
          <w:rFonts w:asciiTheme="majorBidi" w:hAnsiTheme="majorBidi" w:cstheme="majorBidi"/>
        </w:rPr>
        <w:t>(5), 600–612. https://doi.org/10.1111/clr.14408</w:t>
      </w:r>
    </w:p>
    <w:p w14:paraId="3845FA42"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t xml:space="preserve">Schulte, W., &amp; Heimke, G. (1976). [The Tübinger immediate implant]. </w:t>
      </w:r>
      <w:r w:rsidRPr="004C454B">
        <w:rPr>
          <w:rFonts w:asciiTheme="majorBidi" w:hAnsiTheme="majorBidi" w:cstheme="majorBidi"/>
          <w:i/>
          <w:iCs/>
        </w:rPr>
        <w:t>Die Quintessenz</w:t>
      </w:r>
      <w:r w:rsidRPr="004C454B">
        <w:rPr>
          <w:rFonts w:asciiTheme="majorBidi" w:hAnsiTheme="majorBidi" w:cstheme="majorBidi"/>
        </w:rPr>
        <w:t xml:space="preserve">, </w:t>
      </w:r>
      <w:r w:rsidRPr="004C454B">
        <w:rPr>
          <w:rFonts w:asciiTheme="majorBidi" w:hAnsiTheme="majorBidi" w:cstheme="majorBidi"/>
          <w:i/>
          <w:iCs/>
        </w:rPr>
        <w:t>27</w:t>
      </w:r>
      <w:r w:rsidRPr="004C454B">
        <w:rPr>
          <w:rFonts w:asciiTheme="majorBidi" w:hAnsiTheme="majorBidi" w:cstheme="majorBidi"/>
        </w:rPr>
        <w:t>(6), 17–23.</w:t>
      </w:r>
    </w:p>
    <w:p w14:paraId="6F9E7E48"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t xml:space="preserve">Strauss, F. J., Park, J.-Y., Lee, J.-S., Schiavon, L., Smirani, R., Hitz, S., Chantler, J. G. M., Mattheos, N., Jung, R., Bosshardt, D., Cha, J.-K., &amp; Thoma, D. (2024). Wide Restorative Emergence Angle Increases Marginal Bone Loss and Impairs Integrity of the Junctional Epithelium of the Implant Supracrestal Complex: A Preclinical Study. </w:t>
      </w:r>
      <w:r w:rsidRPr="004C454B">
        <w:rPr>
          <w:rFonts w:asciiTheme="majorBidi" w:hAnsiTheme="majorBidi" w:cstheme="majorBidi"/>
          <w:i/>
          <w:iCs/>
        </w:rPr>
        <w:t>Journal of Clinical Periodontology</w:t>
      </w:r>
      <w:r w:rsidRPr="004C454B">
        <w:rPr>
          <w:rFonts w:asciiTheme="majorBidi" w:hAnsiTheme="majorBidi" w:cstheme="majorBidi"/>
        </w:rPr>
        <w:t xml:space="preserve">, </w:t>
      </w:r>
      <w:r w:rsidRPr="004C454B">
        <w:rPr>
          <w:rFonts w:asciiTheme="majorBidi" w:hAnsiTheme="majorBidi" w:cstheme="majorBidi"/>
          <w:i/>
          <w:iCs/>
        </w:rPr>
        <w:t>51</w:t>
      </w:r>
      <w:r w:rsidRPr="004C454B">
        <w:rPr>
          <w:rFonts w:asciiTheme="majorBidi" w:hAnsiTheme="majorBidi" w:cstheme="majorBidi"/>
        </w:rPr>
        <w:t>(12), 1677–1687. https://doi.org/10.1111/jcpe.14070</w:t>
      </w:r>
    </w:p>
    <w:p w14:paraId="2E5F74DC"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lastRenderedPageBreak/>
        <w:t xml:space="preserve">Vacek, J. S., Gher, M. E., Assad, D. A., Richardson, A. C., &amp; Giambarresi, L. I. (1994). The dimensions of the human dentogingival junction. </w:t>
      </w:r>
      <w:r w:rsidRPr="004C454B">
        <w:rPr>
          <w:rFonts w:asciiTheme="majorBidi" w:hAnsiTheme="majorBidi" w:cstheme="majorBidi"/>
          <w:i/>
          <w:iCs/>
        </w:rPr>
        <w:t>The International Journal of Periodontics &amp; Restorative Dentistry</w:t>
      </w:r>
      <w:r w:rsidRPr="004C454B">
        <w:rPr>
          <w:rFonts w:asciiTheme="majorBidi" w:hAnsiTheme="majorBidi" w:cstheme="majorBidi"/>
        </w:rPr>
        <w:t xml:space="preserve">, </w:t>
      </w:r>
      <w:r w:rsidRPr="004C454B">
        <w:rPr>
          <w:rFonts w:asciiTheme="majorBidi" w:hAnsiTheme="majorBidi" w:cstheme="majorBidi"/>
          <w:i/>
          <w:iCs/>
        </w:rPr>
        <w:t>14</w:t>
      </w:r>
      <w:r w:rsidRPr="004C454B">
        <w:rPr>
          <w:rFonts w:asciiTheme="majorBidi" w:hAnsiTheme="majorBidi" w:cstheme="majorBidi"/>
        </w:rPr>
        <w:t>(2), 154–165.</w:t>
      </w:r>
    </w:p>
    <w:p w14:paraId="1F12FA8F" w14:textId="77777777" w:rsidR="004C454B" w:rsidRPr="004C454B" w:rsidRDefault="004C454B" w:rsidP="00940D90">
      <w:pPr>
        <w:pStyle w:val="Bibliography"/>
        <w:numPr>
          <w:ilvl w:val="0"/>
          <w:numId w:val="5"/>
        </w:numPr>
        <w:rPr>
          <w:rFonts w:asciiTheme="majorBidi" w:hAnsiTheme="majorBidi" w:cstheme="majorBidi"/>
        </w:rPr>
      </w:pPr>
      <w:r w:rsidRPr="004C454B">
        <w:rPr>
          <w:rFonts w:asciiTheme="majorBidi" w:hAnsiTheme="majorBidi" w:cstheme="majorBidi"/>
        </w:rPr>
        <w:t xml:space="preserve">Yi, Y., Koo, K.-T., Schwarz, F., Ben Amara, H., &amp; Heo, S.-J. (2020). Association of prosthetic features and peri-implantitis: A cross-sectional study. </w:t>
      </w:r>
      <w:r w:rsidRPr="004C454B">
        <w:rPr>
          <w:rFonts w:asciiTheme="majorBidi" w:hAnsiTheme="majorBidi" w:cstheme="majorBidi"/>
          <w:i/>
          <w:iCs/>
        </w:rPr>
        <w:t>Journal of Clinical Periodontology</w:t>
      </w:r>
      <w:r w:rsidRPr="004C454B">
        <w:rPr>
          <w:rFonts w:asciiTheme="majorBidi" w:hAnsiTheme="majorBidi" w:cstheme="majorBidi"/>
        </w:rPr>
        <w:t xml:space="preserve">, </w:t>
      </w:r>
      <w:r w:rsidRPr="004C454B">
        <w:rPr>
          <w:rFonts w:asciiTheme="majorBidi" w:hAnsiTheme="majorBidi" w:cstheme="majorBidi"/>
          <w:i/>
          <w:iCs/>
        </w:rPr>
        <w:t>47</w:t>
      </w:r>
      <w:r w:rsidRPr="004C454B">
        <w:rPr>
          <w:rFonts w:asciiTheme="majorBidi" w:hAnsiTheme="majorBidi" w:cstheme="majorBidi"/>
        </w:rPr>
        <w:t>(3), 392–403. https://doi.org/10.1111/jcpe.13251</w:t>
      </w:r>
    </w:p>
    <w:p w14:paraId="623F9AB0" w14:textId="3623033C" w:rsidR="00AF5ABF" w:rsidRPr="0028113A" w:rsidRDefault="00AF5ABF" w:rsidP="00940D90">
      <w:pPr>
        <w:pStyle w:val="Bibliography"/>
        <w:ind w:left="0" w:firstLine="0"/>
        <w:rPr>
          <w:rFonts w:asciiTheme="majorBidi" w:hAnsiTheme="majorBidi" w:cstheme="majorBidi"/>
        </w:rPr>
      </w:pPr>
      <w:r w:rsidRPr="004C454B">
        <w:rPr>
          <w:rFonts w:asciiTheme="majorBidi" w:hAnsiTheme="majorBidi" w:cstheme="majorBidi"/>
        </w:rPr>
        <w:fldChar w:fldCharType="end"/>
      </w:r>
    </w:p>
    <w:sectPr w:rsidR="00AF5ABF" w:rsidRPr="0028113A">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Jonathan Korostoff" w:date="2025-06-08T09:38:00Z" w:initials="JK">
    <w:p w14:paraId="3834116E" w14:textId="77777777" w:rsidR="00DD6750" w:rsidRDefault="00DD6750" w:rsidP="00DD6750">
      <w:pPr>
        <w:pStyle w:val="CommentText"/>
      </w:pPr>
      <w:r>
        <w:rPr>
          <w:rStyle w:val="CommentReference"/>
        </w:rPr>
        <w:annotationRef/>
      </w:r>
      <w:r>
        <w:t>Each figure needs to have your own figure legend.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834116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834116E" w16cid:durableId="2BEFD88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67B25B" w14:textId="77777777" w:rsidR="00F774CC" w:rsidRDefault="00F774CC" w:rsidP="009979C4">
      <w:pPr>
        <w:spacing w:after="0" w:line="240" w:lineRule="auto"/>
      </w:pPr>
      <w:r>
        <w:separator/>
      </w:r>
    </w:p>
  </w:endnote>
  <w:endnote w:type="continuationSeparator" w:id="0">
    <w:p w14:paraId="415F4D07" w14:textId="77777777" w:rsidR="00F774CC" w:rsidRDefault="00F774CC" w:rsidP="009979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413C07" w14:textId="77777777" w:rsidR="00F774CC" w:rsidRDefault="00F774CC" w:rsidP="009979C4">
      <w:pPr>
        <w:spacing w:after="0" w:line="240" w:lineRule="auto"/>
      </w:pPr>
      <w:r>
        <w:separator/>
      </w:r>
    </w:p>
  </w:footnote>
  <w:footnote w:type="continuationSeparator" w:id="0">
    <w:p w14:paraId="2A18E198" w14:textId="77777777" w:rsidR="00F774CC" w:rsidRDefault="00F774CC" w:rsidP="009979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54E4F"/>
    <w:multiLevelType w:val="hybridMultilevel"/>
    <w:tmpl w:val="DC80B62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8AC4483"/>
    <w:multiLevelType w:val="hybridMultilevel"/>
    <w:tmpl w:val="3EC8D1FC"/>
    <w:lvl w:ilvl="0" w:tplc="07B030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5557334"/>
    <w:multiLevelType w:val="hybridMultilevel"/>
    <w:tmpl w:val="C72454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1292EE8"/>
    <w:multiLevelType w:val="hybridMultilevel"/>
    <w:tmpl w:val="564C17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5EFA60E3"/>
    <w:multiLevelType w:val="multilevel"/>
    <w:tmpl w:val="84F05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02878507">
    <w:abstractNumId w:val="0"/>
  </w:num>
  <w:num w:numId="2" w16cid:durableId="561452210">
    <w:abstractNumId w:val="3"/>
  </w:num>
  <w:num w:numId="3" w16cid:durableId="1343556661">
    <w:abstractNumId w:val="4"/>
  </w:num>
  <w:num w:numId="4" w16cid:durableId="1277055688">
    <w:abstractNumId w:val="1"/>
  </w:num>
  <w:num w:numId="5" w16cid:durableId="4191853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79C4"/>
    <w:rsid w:val="000B0A79"/>
    <w:rsid w:val="000C11A8"/>
    <w:rsid w:val="00113730"/>
    <w:rsid w:val="0014222B"/>
    <w:rsid w:val="001E46C0"/>
    <w:rsid w:val="0023566D"/>
    <w:rsid w:val="00255F58"/>
    <w:rsid w:val="0028113A"/>
    <w:rsid w:val="00297AD5"/>
    <w:rsid w:val="00345E06"/>
    <w:rsid w:val="003644E2"/>
    <w:rsid w:val="004571FB"/>
    <w:rsid w:val="0046475D"/>
    <w:rsid w:val="004C454B"/>
    <w:rsid w:val="004C4E1A"/>
    <w:rsid w:val="004D0395"/>
    <w:rsid w:val="005253CA"/>
    <w:rsid w:val="00542A98"/>
    <w:rsid w:val="00545F1C"/>
    <w:rsid w:val="005528E5"/>
    <w:rsid w:val="00564665"/>
    <w:rsid w:val="00746900"/>
    <w:rsid w:val="00813079"/>
    <w:rsid w:val="00845A02"/>
    <w:rsid w:val="00845E74"/>
    <w:rsid w:val="0087595D"/>
    <w:rsid w:val="008A2A0A"/>
    <w:rsid w:val="00940D90"/>
    <w:rsid w:val="00966C1C"/>
    <w:rsid w:val="009979C4"/>
    <w:rsid w:val="00A46A03"/>
    <w:rsid w:val="00A63A43"/>
    <w:rsid w:val="00A66E70"/>
    <w:rsid w:val="00A678D4"/>
    <w:rsid w:val="00AD062D"/>
    <w:rsid w:val="00AF5ABF"/>
    <w:rsid w:val="00B0351F"/>
    <w:rsid w:val="00B14FEB"/>
    <w:rsid w:val="00B72677"/>
    <w:rsid w:val="00BC0879"/>
    <w:rsid w:val="00C87BD3"/>
    <w:rsid w:val="00D06F19"/>
    <w:rsid w:val="00D45BF6"/>
    <w:rsid w:val="00D6632F"/>
    <w:rsid w:val="00DB5B70"/>
    <w:rsid w:val="00DC700F"/>
    <w:rsid w:val="00DD6750"/>
    <w:rsid w:val="00DE1721"/>
    <w:rsid w:val="00DE4927"/>
    <w:rsid w:val="00E172C9"/>
    <w:rsid w:val="00E229C9"/>
    <w:rsid w:val="00E5765F"/>
    <w:rsid w:val="00EA077F"/>
    <w:rsid w:val="00EB2C18"/>
    <w:rsid w:val="00EF53F4"/>
    <w:rsid w:val="00F031E3"/>
    <w:rsid w:val="00F22A35"/>
    <w:rsid w:val="00F774C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75D857"/>
  <w15:chartTrackingRefBased/>
  <w15:docId w15:val="{25E7A433-9DA8-9F4B-9788-3AA151D304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113A"/>
  </w:style>
  <w:style w:type="paragraph" w:styleId="Heading1">
    <w:name w:val="heading 1"/>
    <w:basedOn w:val="Normal"/>
    <w:next w:val="Normal"/>
    <w:link w:val="Heading1Char"/>
    <w:uiPriority w:val="9"/>
    <w:qFormat/>
    <w:rsid w:val="009979C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9979C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979C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979C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979C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979C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979C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979C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979C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979C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9979C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979C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979C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979C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979C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979C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979C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979C4"/>
    <w:rPr>
      <w:rFonts w:eastAsiaTheme="majorEastAsia" w:cstheme="majorBidi"/>
      <w:color w:val="272727" w:themeColor="text1" w:themeTint="D8"/>
    </w:rPr>
  </w:style>
  <w:style w:type="paragraph" w:styleId="Title">
    <w:name w:val="Title"/>
    <w:basedOn w:val="Normal"/>
    <w:next w:val="Normal"/>
    <w:link w:val="TitleChar"/>
    <w:uiPriority w:val="10"/>
    <w:qFormat/>
    <w:rsid w:val="009979C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979C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979C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979C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979C4"/>
    <w:pPr>
      <w:spacing w:before="160"/>
      <w:jc w:val="center"/>
    </w:pPr>
    <w:rPr>
      <w:i/>
      <w:iCs/>
      <w:color w:val="404040" w:themeColor="text1" w:themeTint="BF"/>
    </w:rPr>
  </w:style>
  <w:style w:type="character" w:customStyle="1" w:styleId="QuoteChar">
    <w:name w:val="Quote Char"/>
    <w:basedOn w:val="DefaultParagraphFont"/>
    <w:link w:val="Quote"/>
    <w:uiPriority w:val="29"/>
    <w:rsid w:val="009979C4"/>
    <w:rPr>
      <w:i/>
      <w:iCs/>
      <w:color w:val="404040" w:themeColor="text1" w:themeTint="BF"/>
    </w:rPr>
  </w:style>
  <w:style w:type="paragraph" w:styleId="ListParagraph">
    <w:name w:val="List Paragraph"/>
    <w:basedOn w:val="Normal"/>
    <w:uiPriority w:val="34"/>
    <w:qFormat/>
    <w:rsid w:val="009979C4"/>
    <w:pPr>
      <w:ind w:left="720"/>
      <w:contextualSpacing/>
    </w:pPr>
  </w:style>
  <w:style w:type="character" w:styleId="IntenseEmphasis">
    <w:name w:val="Intense Emphasis"/>
    <w:basedOn w:val="DefaultParagraphFont"/>
    <w:uiPriority w:val="21"/>
    <w:qFormat/>
    <w:rsid w:val="009979C4"/>
    <w:rPr>
      <w:i/>
      <w:iCs/>
      <w:color w:val="0F4761" w:themeColor="accent1" w:themeShade="BF"/>
    </w:rPr>
  </w:style>
  <w:style w:type="paragraph" w:styleId="IntenseQuote">
    <w:name w:val="Intense Quote"/>
    <w:basedOn w:val="Normal"/>
    <w:next w:val="Normal"/>
    <w:link w:val="IntenseQuoteChar"/>
    <w:uiPriority w:val="30"/>
    <w:qFormat/>
    <w:rsid w:val="009979C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979C4"/>
    <w:rPr>
      <w:i/>
      <w:iCs/>
      <w:color w:val="0F4761" w:themeColor="accent1" w:themeShade="BF"/>
    </w:rPr>
  </w:style>
  <w:style w:type="character" w:styleId="IntenseReference">
    <w:name w:val="Intense Reference"/>
    <w:basedOn w:val="DefaultParagraphFont"/>
    <w:uiPriority w:val="32"/>
    <w:qFormat/>
    <w:rsid w:val="009979C4"/>
    <w:rPr>
      <w:b/>
      <w:bCs/>
      <w:smallCaps/>
      <w:color w:val="0F4761" w:themeColor="accent1" w:themeShade="BF"/>
      <w:spacing w:val="5"/>
    </w:rPr>
  </w:style>
  <w:style w:type="paragraph" w:styleId="Header">
    <w:name w:val="header"/>
    <w:basedOn w:val="Normal"/>
    <w:link w:val="HeaderChar"/>
    <w:uiPriority w:val="99"/>
    <w:unhideWhenUsed/>
    <w:rsid w:val="009979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79C4"/>
  </w:style>
  <w:style w:type="paragraph" w:styleId="Footer">
    <w:name w:val="footer"/>
    <w:basedOn w:val="Normal"/>
    <w:link w:val="FooterChar"/>
    <w:uiPriority w:val="99"/>
    <w:unhideWhenUsed/>
    <w:rsid w:val="009979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79C4"/>
  </w:style>
  <w:style w:type="table" w:styleId="TableGrid">
    <w:name w:val="Table Grid"/>
    <w:basedOn w:val="TableNormal"/>
    <w:uiPriority w:val="59"/>
    <w:rsid w:val="00F031E3"/>
    <w:pPr>
      <w:spacing w:after="0" w:line="240" w:lineRule="auto"/>
    </w:pPr>
    <w:rPr>
      <w:rFonts w:eastAsiaTheme="minorEastAsia"/>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F031E3"/>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F031E3"/>
    <w:rPr>
      <w:b/>
      <w:bCs/>
    </w:rPr>
  </w:style>
  <w:style w:type="character" w:styleId="Emphasis">
    <w:name w:val="Emphasis"/>
    <w:basedOn w:val="DefaultParagraphFont"/>
    <w:uiPriority w:val="20"/>
    <w:qFormat/>
    <w:rsid w:val="008A2A0A"/>
    <w:rPr>
      <w:i/>
      <w:iCs/>
    </w:rPr>
  </w:style>
  <w:style w:type="paragraph" w:styleId="Bibliography">
    <w:name w:val="Bibliography"/>
    <w:basedOn w:val="Normal"/>
    <w:next w:val="Normal"/>
    <w:uiPriority w:val="37"/>
    <w:unhideWhenUsed/>
    <w:rsid w:val="00AF5ABF"/>
    <w:pPr>
      <w:spacing w:after="0" w:line="480" w:lineRule="auto"/>
      <w:ind w:left="720" w:hanging="720"/>
    </w:pPr>
  </w:style>
  <w:style w:type="character" w:styleId="CommentReference">
    <w:name w:val="annotation reference"/>
    <w:basedOn w:val="DefaultParagraphFont"/>
    <w:uiPriority w:val="99"/>
    <w:semiHidden/>
    <w:unhideWhenUsed/>
    <w:rsid w:val="00DD6750"/>
    <w:rPr>
      <w:sz w:val="16"/>
      <w:szCs w:val="16"/>
    </w:rPr>
  </w:style>
  <w:style w:type="paragraph" w:styleId="CommentText">
    <w:name w:val="annotation text"/>
    <w:basedOn w:val="Normal"/>
    <w:link w:val="CommentTextChar"/>
    <w:uiPriority w:val="99"/>
    <w:semiHidden/>
    <w:unhideWhenUsed/>
    <w:rsid w:val="00DD6750"/>
    <w:pPr>
      <w:spacing w:line="240" w:lineRule="auto"/>
    </w:pPr>
    <w:rPr>
      <w:sz w:val="20"/>
      <w:szCs w:val="20"/>
    </w:rPr>
  </w:style>
  <w:style w:type="character" w:customStyle="1" w:styleId="CommentTextChar">
    <w:name w:val="Comment Text Char"/>
    <w:basedOn w:val="DefaultParagraphFont"/>
    <w:link w:val="CommentText"/>
    <w:uiPriority w:val="99"/>
    <w:semiHidden/>
    <w:rsid w:val="00DD675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1779595">
      <w:bodyDiv w:val="1"/>
      <w:marLeft w:val="0"/>
      <w:marRight w:val="0"/>
      <w:marTop w:val="0"/>
      <w:marBottom w:val="0"/>
      <w:divBdr>
        <w:top w:val="none" w:sz="0" w:space="0" w:color="auto"/>
        <w:left w:val="none" w:sz="0" w:space="0" w:color="auto"/>
        <w:bottom w:val="none" w:sz="0" w:space="0" w:color="auto"/>
        <w:right w:val="none" w:sz="0" w:space="0" w:color="auto"/>
      </w:divBdr>
    </w:div>
    <w:div w:id="583495210">
      <w:bodyDiv w:val="1"/>
      <w:marLeft w:val="0"/>
      <w:marRight w:val="0"/>
      <w:marTop w:val="0"/>
      <w:marBottom w:val="0"/>
      <w:divBdr>
        <w:top w:val="none" w:sz="0" w:space="0" w:color="auto"/>
        <w:left w:val="none" w:sz="0" w:space="0" w:color="auto"/>
        <w:bottom w:val="none" w:sz="0" w:space="0" w:color="auto"/>
        <w:right w:val="none" w:sz="0" w:space="0" w:color="auto"/>
      </w:divBdr>
    </w:div>
    <w:div w:id="852183416">
      <w:bodyDiv w:val="1"/>
      <w:marLeft w:val="0"/>
      <w:marRight w:val="0"/>
      <w:marTop w:val="0"/>
      <w:marBottom w:val="0"/>
      <w:divBdr>
        <w:top w:val="none" w:sz="0" w:space="0" w:color="auto"/>
        <w:left w:val="none" w:sz="0" w:space="0" w:color="auto"/>
        <w:bottom w:val="none" w:sz="0" w:space="0" w:color="auto"/>
        <w:right w:val="none" w:sz="0" w:space="0" w:color="auto"/>
      </w:divBdr>
    </w:div>
    <w:div w:id="1594706109">
      <w:bodyDiv w:val="1"/>
      <w:marLeft w:val="0"/>
      <w:marRight w:val="0"/>
      <w:marTop w:val="0"/>
      <w:marBottom w:val="0"/>
      <w:divBdr>
        <w:top w:val="none" w:sz="0" w:space="0" w:color="auto"/>
        <w:left w:val="none" w:sz="0" w:space="0" w:color="auto"/>
        <w:bottom w:val="none" w:sz="0" w:space="0" w:color="auto"/>
        <w:right w:val="none" w:sz="0" w:space="0" w:color="auto"/>
      </w:divBdr>
    </w:div>
    <w:div w:id="1762751664">
      <w:bodyDiv w:val="1"/>
      <w:marLeft w:val="0"/>
      <w:marRight w:val="0"/>
      <w:marTop w:val="0"/>
      <w:marBottom w:val="0"/>
      <w:divBdr>
        <w:top w:val="none" w:sz="0" w:space="0" w:color="auto"/>
        <w:left w:val="none" w:sz="0" w:space="0" w:color="auto"/>
        <w:bottom w:val="none" w:sz="0" w:space="0" w:color="auto"/>
        <w:right w:val="none" w:sz="0" w:space="0" w:color="auto"/>
      </w:divBdr>
    </w:div>
    <w:div w:id="1846704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diagramQuickStyle" Target="diagrams/quickStyle1.xm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diagramData" Target="diagrams/data2.xml"/><Relationship Id="rId7" Type="http://schemas.openxmlformats.org/officeDocument/2006/relationships/image" Target="media/image1.jpeg"/><Relationship Id="rId12" Type="http://schemas.openxmlformats.org/officeDocument/2006/relationships/image" Target="media/image3.png"/><Relationship Id="rId17" Type="http://schemas.openxmlformats.org/officeDocument/2006/relationships/diagramLayout" Target="diagrams/layout1.xml"/><Relationship Id="rId25" Type="http://schemas.microsoft.com/office/2007/relationships/diagramDrawing" Target="diagrams/drawing2.xml"/><Relationship Id="rId2" Type="http://schemas.openxmlformats.org/officeDocument/2006/relationships/styles" Target="styles.xml"/><Relationship Id="rId16" Type="http://schemas.openxmlformats.org/officeDocument/2006/relationships/diagramData" Target="diagrams/data1.xml"/><Relationship Id="rId20" Type="http://schemas.microsoft.com/office/2007/relationships/diagramDrawing" Target="diagrams/drawing1.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6/09/relationships/commentsIds" Target="commentsIds.xml"/><Relationship Id="rId24" Type="http://schemas.openxmlformats.org/officeDocument/2006/relationships/diagramColors" Target="diagrams/colors2.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diagramQuickStyle" Target="diagrams/quickStyle2.xml"/><Relationship Id="rId10" Type="http://schemas.microsoft.com/office/2011/relationships/commentsExtended" Target="commentsExtended.xml"/><Relationship Id="rId19"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comments" Target="comments.xml"/><Relationship Id="rId14" Type="http://schemas.openxmlformats.org/officeDocument/2006/relationships/image" Target="media/image5.png"/><Relationship Id="rId22" Type="http://schemas.openxmlformats.org/officeDocument/2006/relationships/diagramLayout" Target="diagrams/layout2.xml"/><Relationship Id="rId27"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CF6248E-79E3-8D47-8591-564A875FECD8}" type="doc">
      <dgm:prSet loTypeId="urn:microsoft.com/office/officeart/2005/8/layout/StepDownProcess" loCatId="" qsTypeId="urn:microsoft.com/office/officeart/2005/8/quickstyle/simple1" qsCatId="simple" csTypeId="urn:microsoft.com/office/officeart/2005/8/colors/accent0_1" csCatId="mainScheme" phldr="1"/>
      <dgm:spPr/>
      <dgm:t>
        <a:bodyPr/>
        <a:lstStyle/>
        <a:p>
          <a:endParaRPr lang="en-US"/>
        </a:p>
      </dgm:t>
    </dgm:pt>
    <dgm:pt modelId="{65E2F737-E775-1F48-8C67-50EA1C78349A}">
      <dgm:prSet phldrT="[Text]"/>
      <dgm:spPr/>
      <dgm:t>
        <a:bodyPr/>
        <a:lstStyle/>
        <a:p>
          <a:pPr algn="ctr"/>
          <a:r>
            <a:rPr lang="en-US"/>
            <a:t>218 Charts</a:t>
          </a:r>
        </a:p>
      </dgm:t>
    </dgm:pt>
    <dgm:pt modelId="{89998427-C8FF-AC40-B7CE-506B1BBE9256}" type="parTrans" cxnId="{397BE8B5-B4BA-8B41-81D5-01A5866D25A7}">
      <dgm:prSet/>
      <dgm:spPr/>
      <dgm:t>
        <a:bodyPr/>
        <a:lstStyle/>
        <a:p>
          <a:pPr algn="ctr"/>
          <a:endParaRPr lang="en-US"/>
        </a:p>
      </dgm:t>
    </dgm:pt>
    <dgm:pt modelId="{48766FFE-FAD3-0D4E-92C5-319E20195588}" type="sibTrans" cxnId="{397BE8B5-B4BA-8B41-81D5-01A5866D25A7}">
      <dgm:prSet/>
      <dgm:spPr/>
      <dgm:t>
        <a:bodyPr/>
        <a:lstStyle/>
        <a:p>
          <a:pPr algn="ctr"/>
          <a:endParaRPr lang="en-US"/>
        </a:p>
      </dgm:t>
    </dgm:pt>
    <dgm:pt modelId="{02E74D28-C154-DD4E-973A-95E99F2DE4B2}">
      <dgm:prSet phldrT="[Text]"/>
      <dgm:spPr/>
      <dgm:t>
        <a:bodyPr/>
        <a:lstStyle/>
        <a:p>
          <a:pPr algn="ctr"/>
          <a:r>
            <a:rPr lang="en-US"/>
            <a:t>16 implant failure</a:t>
          </a:r>
        </a:p>
      </dgm:t>
    </dgm:pt>
    <dgm:pt modelId="{A0A5CDFB-D3B4-1347-A4FE-4BDFA865EC45}" type="parTrans" cxnId="{B858DD8D-B206-C547-8129-F95DC1D07BB0}">
      <dgm:prSet/>
      <dgm:spPr/>
      <dgm:t>
        <a:bodyPr/>
        <a:lstStyle/>
        <a:p>
          <a:pPr algn="ctr"/>
          <a:endParaRPr lang="en-US"/>
        </a:p>
      </dgm:t>
    </dgm:pt>
    <dgm:pt modelId="{C6DF968C-C27A-834B-9625-6C46DD30BB2D}" type="sibTrans" cxnId="{B858DD8D-B206-C547-8129-F95DC1D07BB0}">
      <dgm:prSet/>
      <dgm:spPr/>
      <dgm:t>
        <a:bodyPr/>
        <a:lstStyle/>
        <a:p>
          <a:pPr algn="ctr"/>
          <a:endParaRPr lang="en-US"/>
        </a:p>
      </dgm:t>
    </dgm:pt>
    <dgm:pt modelId="{D289A9F2-4B6D-1F4D-B540-931EF9FEF3D8}">
      <dgm:prSet phldrT="[Text]"/>
      <dgm:spPr/>
      <dgm:t>
        <a:bodyPr/>
        <a:lstStyle/>
        <a:p>
          <a:pPr algn="ctr"/>
          <a:r>
            <a:rPr lang="en-US"/>
            <a:t>155 Charts</a:t>
          </a:r>
        </a:p>
      </dgm:t>
    </dgm:pt>
    <dgm:pt modelId="{D7F80515-0226-B347-BE8F-4A55CA246580}" type="parTrans" cxnId="{5CE14DC2-A5FF-ED44-A4AA-74F5B7ABF8C0}">
      <dgm:prSet/>
      <dgm:spPr/>
      <dgm:t>
        <a:bodyPr/>
        <a:lstStyle/>
        <a:p>
          <a:pPr algn="ctr"/>
          <a:endParaRPr lang="en-US"/>
        </a:p>
      </dgm:t>
    </dgm:pt>
    <dgm:pt modelId="{25707174-9349-7B40-8B9A-F0AFCEB927A5}" type="sibTrans" cxnId="{5CE14DC2-A5FF-ED44-A4AA-74F5B7ABF8C0}">
      <dgm:prSet/>
      <dgm:spPr/>
      <dgm:t>
        <a:bodyPr/>
        <a:lstStyle/>
        <a:p>
          <a:pPr algn="ctr"/>
          <a:endParaRPr lang="en-US"/>
        </a:p>
      </dgm:t>
    </dgm:pt>
    <dgm:pt modelId="{062CBE74-5893-8845-960D-C59EC6B9C294}">
      <dgm:prSet phldrT="[Text]"/>
      <dgm:spPr/>
      <dgm:t>
        <a:bodyPr/>
        <a:lstStyle/>
        <a:p>
          <a:pPr algn="ctr"/>
          <a:r>
            <a:rPr lang="en-US"/>
            <a:t>Exclusion Criteria</a:t>
          </a:r>
        </a:p>
      </dgm:t>
    </dgm:pt>
    <dgm:pt modelId="{4FC0C64A-BAA3-1245-A3DE-2EF0CA58B668}" type="parTrans" cxnId="{15B6CB57-B7FA-0F4B-A010-B8CCDAF13774}">
      <dgm:prSet/>
      <dgm:spPr/>
      <dgm:t>
        <a:bodyPr/>
        <a:lstStyle/>
        <a:p>
          <a:pPr algn="ctr"/>
          <a:endParaRPr lang="en-US"/>
        </a:p>
      </dgm:t>
    </dgm:pt>
    <dgm:pt modelId="{4397290C-2E6F-C148-8198-F0A70461B414}" type="sibTrans" cxnId="{15B6CB57-B7FA-0F4B-A010-B8CCDAF13774}">
      <dgm:prSet/>
      <dgm:spPr/>
      <dgm:t>
        <a:bodyPr/>
        <a:lstStyle/>
        <a:p>
          <a:pPr algn="ctr"/>
          <a:endParaRPr lang="en-US"/>
        </a:p>
      </dgm:t>
    </dgm:pt>
    <dgm:pt modelId="{C3A964F2-EAEA-E941-8D70-31FD21ED2D67}" type="pres">
      <dgm:prSet presAssocID="{6CF6248E-79E3-8D47-8591-564A875FECD8}" presName="rootnode" presStyleCnt="0">
        <dgm:presLayoutVars>
          <dgm:chMax/>
          <dgm:chPref/>
          <dgm:dir/>
          <dgm:animLvl val="lvl"/>
        </dgm:presLayoutVars>
      </dgm:prSet>
      <dgm:spPr/>
    </dgm:pt>
    <dgm:pt modelId="{5601A332-1306-2245-BB9A-676C2610CD33}" type="pres">
      <dgm:prSet presAssocID="{65E2F737-E775-1F48-8C67-50EA1C78349A}" presName="composite" presStyleCnt="0"/>
      <dgm:spPr/>
    </dgm:pt>
    <dgm:pt modelId="{1187F2D8-A05E-DE4E-B8B5-25012B062AB5}" type="pres">
      <dgm:prSet presAssocID="{65E2F737-E775-1F48-8C67-50EA1C78349A}" presName="bentUpArrow1" presStyleLbl="alignImgPlace1" presStyleIdx="0" presStyleCnt="1"/>
      <dgm:spPr/>
    </dgm:pt>
    <dgm:pt modelId="{5C3BECAE-15DB-E04B-8024-E5C458F50B30}" type="pres">
      <dgm:prSet presAssocID="{65E2F737-E775-1F48-8C67-50EA1C78349A}" presName="ParentText" presStyleLbl="node1" presStyleIdx="0" presStyleCnt="2">
        <dgm:presLayoutVars>
          <dgm:chMax val="1"/>
          <dgm:chPref val="1"/>
          <dgm:bulletEnabled val="1"/>
        </dgm:presLayoutVars>
      </dgm:prSet>
      <dgm:spPr/>
    </dgm:pt>
    <dgm:pt modelId="{D5F1607C-4586-3042-A3D7-5B83A698ECDC}" type="pres">
      <dgm:prSet presAssocID="{65E2F737-E775-1F48-8C67-50EA1C78349A}" presName="ChildText" presStyleLbl="revTx" presStyleIdx="0" presStyleCnt="1">
        <dgm:presLayoutVars>
          <dgm:chMax val="0"/>
          <dgm:chPref val="0"/>
          <dgm:bulletEnabled val="1"/>
        </dgm:presLayoutVars>
      </dgm:prSet>
      <dgm:spPr/>
    </dgm:pt>
    <dgm:pt modelId="{0346A948-2348-0844-8C48-6D4F1B84FA00}" type="pres">
      <dgm:prSet presAssocID="{48766FFE-FAD3-0D4E-92C5-319E20195588}" presName="sibTrans" presStyleCnt="0"/>
      <dgm:spPr/>
    </dgm:pt>
    <dgm:pt modelId="{FF9BD44C-FF16-A449-95A5-36CC6D0EDE32}" type="pres">
      <dgm:prSet presAssocID="{D289A9F2-4B6D-1F4D-B540-931EF9FEF3D8}" presName="composite" presStyleCnt="0"/>
      <dgm:spPr/>
    </dgm:pt>
    <dgm:pt modelId="{0ED13CE0-B8B7-564E-A2B3-D46B0F09448A}" type="pres">
      <dgm:prSet presAssocID="{D289A9F2-4B6D-1F4D-B540-931EF9FEF3D8}" presName="ParentText" presStyleLbl="node1" presStyleIdx="1" presStyleCnt="2">
        <dgm:presLayoutVars>
          <dgm:chMax val="1"/>
          <dgm:chPref val="1"/>
          <dgm:bulletEnabled val="1"/>
        </dgm:presLayoutVars>
      </dgm:prSet>
      <dgm:spPr/>
    </dgm:pt>
  </dgm:ptLst>
  <dgm:cxnLst>
    <dgm:cxn modelId="{95251709-4D87-9249-A9B3-7F59D3E3EB1D}" type="presOf" srcId="{062CBE74-5893-8845-960D-C59EC6B9C294}" destId="{D5F1607C-4586-3042-A3D7-5B83A698ECDC}" srcOrd="0" destOrd="1" presId="urn:microsoft.com/office/officeart/2005/8/layout/StepDownProcess"/>
    <dgm:cxn modelId="{09985710-0DE3-5341-AC1C-410AF066A120}" type="presOf" srcId="{6CF6248E-79E3-8D47-8591-564A875FECD8}" destId="{C3A964F2-EAEA-E941-8D70-31FD21ED2D67}" srcOrd="0" destOrd="0" presId="urn:microsoft.com/office/officeart/2005/8/layout/StepDownProcess"/>
    <dgm:cxn modelId="{B7944C17-6E11-3140-BE16-127CD90ACD79}" type="presOf" srcId="{02E74D28-C154-DD4E-973A-95E99F2DE4B2}" destId="{D5F1607C-4586-3042-A3D7-5B83A698ECDC}" srcOrd="0" destOrd="0" presId="urn:microsoft.com/office/officeart/2005/8/layout/StepDownProcess"/>
    <dgm:cxn modelId="{1D346E2A-6D78-6E43-967B-F27F456E6092}" type="presOf" srcId="{D289A9F2-4B6D-1F4D-B540-931EF9FEF3D8}" destId="{0ED13CE0-B8B7-564E-A2B3-D46B0F09448A}" srcOrd="0" destOrd="0" presId="urn:microsoft.com/office/officeart/2005/8/layout/StepDownProcess"/>
    <dgm:cxn modelId="{15B6CB57-B7FA-0F4B-A010-B8CCDAF13774}" srcId="{65E2F737-E775-1F48-8C67-50EA1C78349A}" destId="{062CBE74-5893-8845-960D-C59EC6B9C294}" srcOrd="1" destOrd="0" parTransId="{4FC0C64A-BAA3-1245-A3DE-2EF0CA58B668}" sibTransId="{4397290C-2E6F-C148-8198-F0A70461B414}"/>
    <dgm:cxn modelId="{B858DD8D-B206-C547-8129-F95DC1D07BB0}" srcId="{65E2F737-E775-1F48-8C67-50EA1C78349A}" destId="{02E74D28-C154-DD4E-973A-95E99F2DE4B2}" srcOrd="0" destOrd="0" parTransId="{A0A5CDFB-D3B4-1347-A4FE-4BDFA865EC45}" sibTransId="{C6DF968C-C27A-834B-9625-6C46DD30BB2D}"/>
    <dgm:cxn modelId="{397BE8B5-B4BA-8B41-81D5-01A5866D25A7}" srcId="{6CF6248E-79E3-8D47-8591-564A875FECD8}" destId="{65E2F737-E775-1F48-8C67-50EA1C78349A}" srcOrd="0" destOrd="0" parTransId="{89998427-C8FF-AC40-B7CE-506B1BBE9256}" sibTransId="{48766FFE-FAD3-0D4E-92C5-319E20195588}"/>
    <dgm:cxn modelId="{5CE14DC2-A5FF-ED44-A4AA-74F5B7ABF8C0}" srcId="{6CF6248E-79E3-8D47-8591-564A875FECD8}" destId="{D289A9F2-4B6D-1F4D-B540-931EF9FEF3D8}" srcOrd="1" destOrd="0" parTransId="{D7F80515-0226-B347-BE8F-4A55CA246580}" sibTransId="{25707174-9349-7B40-8B9A-F0AFCEB927A5}"/>
    <dgm:cxn modelId="{03240AD9-77C4-CA4D-B092-778F43B52375}" type="presOf" srcId="{65E2F737-E775-1F48-8C67-50EA1C78349A}" destId="{5C3BECAE-15DB-E04B-8024-E5C458F50B30}" srcOrd="0" destOrd="0" presId="urn:microsoft.com/office/officeart/2005/8/layout/StepDownProcess"/>
    <dgm:cxn modelId="{CEDDBEED-3DE7-8043-B5C5-CC4FF0162CBA}" type="presParOf" srcId="{C3A964F2-EAEA-E941-8D70-31FD21ED2D67}" destId="{5601A332-1306-2245-BB9A-676C2610CD33}" srcOrd="0" destOrd="0" presId="urn:microsoft.com/office/officeart/2005/8/layout/StepDownProcess"/>
    <dgm:cxn modelId="{8441E024-E972-6542-9215-CF7A6075BCEA}" type="presParOf" srcId="{5601A332-1306-2245-BB9A-676C2610CD33}" destId="{1187F2D8-A05E-DE4E-B8B5-25012B062AB5}" srcOrd="0" destOrd="0" presId="urn:microsoft.com/office/officeart/2005/8/layout/StepDownProcess"/>
    <dgm:cxn modelId="{C1D8A46F-1424-F94D-A368-0F2F73A1F02F}" type="presParOf" srcId="{5601A332-1306-2245-BB9A-676C2610CD33}" destId="{5C3BECAE-15DB-E04B-8024-E5C458F50B30}" srcOrd="1" destOrd="0" presId="urn:microsoft.com/office/officeart/2005/8/layout/StepDownProcess"/>
    <dgm:cxn modelId="{7D0D0E80-0BA9-1B42-865D-6E473B3E3947}" type="presParOf" srcId="{5601A332-1306-2245-BB9A-676C2610CD33}" destId="{D5F1607C-4586-3042-A3D7-5B83A698ECDC}" srcOrd="2" destOrd="0" presId="urn:microsoft.com/office/officeart/2005/8/layout/StepDownProcess"/>
    <dgm:cxn modelId="{72CCC0EC-4D73-2D4B-BC0D-B88C61409B3E}" type="presParOf" srcId="{C3A964F2-EAEA-E941-8D70-31FD21ED2D67}" destId="{0346A948-2348-0844-8C48-6D4F1B84FA00}" srcOrd="1" destOrd="0" presId="urn:microsoft.com/office/officeart/2005/8/layout/StepDownProcess"/>
    <dgm:cxn modelId="{3FEEDA01-C010-074D-B18D-8E0110C2692D}" type="presParOf" srcId="{C3A964F2-EAEA-E941-8D70-31FD21ED2D67}" destId="{FF9BD44C-FF16-A449-95A5-36CC6D0EDE32}" srcOrd="2" destOrd="0" presId="urn:microsoft.com/office/officeart/2005/8/layout/StepDownProcess"/>
    <dgm:cxn modelId="{5D6A7213-0AF2-EB4E-B7ED-6F108C3551FB}" type="presParOf" srcId="{FF9BD44C-FF16-A449-95A5-36CC6D0EDE32}" destId="{0ED13CE0-B8B7-564E-A2B3-D46B0F09448A}" srcOrd="0" destOrd="0" presId="urn:microsoft.com/office/officeart/2005/8/layout/StepDownProcess"/>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3A88401-4FF4-8740-8D48-1980C9CD1C85}" type="doc">
      <dgm:prSet loTypeId="urn:microsoft.com/office/officeart/2005/8/layout/orgChart1" loCatId="" qsTypeId="urn:microsoft.com/office/officeart/2005/8/quickstyle/simple1" qsCatId="simple" csTypeId="urn:microsoft.com/office/officeart/2005/8/colors/accent0_1" csCatId="mainScheme" phldr="1"/>
      <dgm:spPr/>
      <dgm:t>
        <a:bodyPr/>
        <a:lstStyle/>
        <a:p>
          <a:endParaRPr lang="en-US"/>
        </a:p>
      </dgm:t>
    </dgm:pt>
    <dgm:pt modelId="{397F47A8-2F25-9446-8774-4AE6A91B2EAD}">
      <dgm:prSet phldrT="[Text]"/>
      <dgm:spPr/>
      <dgm:t>
        <a:bodyPr/>
        <a:lstStyle/>
        <a:p>
          <a:r>
            <a:rPr lang="en-US"/>
            <a:t>Peri-implant bone level</a:t>
          </a:r>
        </a:p>
      </dgm:t>
    </dgm:pt>
    <dgm:pt modelId="{5DF57992-1E77-4C4A-973E-05C0972CDB5C}" type="parTrans" cxnId="{328AE822-64C1-154D-A99E-198A8B2DF2A7}">
      <dgm:prSet/>
      <dgm:spPr/>
      <dgm:t>
        <a:bodyPr/>
        <a:lstStyle/>
        <a:p>
          <a:endParaRPr lang="en-US"/>
        </a:p>
      </dgm:t>
    </dgm:pt>
    <dgm:pt modelId="{09ECC405-999D-694E-9AC6-398B247C4590}" type="sibTrans" cxnId="{328AE822-64C1-154D-A99E-198A8B2DF2A7}">
      <dgm:prSet/>
      <dgm:spPr/>
      <dgm:t>
        <a:bodyPr/>
        <a:lstStyle/>
        <a:p>
          <a:endParaRPr lang="en-US"/>
        </a:p>
      </dgm:t>
    </dgm:pt>
    <dgm:pt modelId="{D57DF0DE-3BD2-3B48-A682-472595FAD4FD}">
      <dgm:prSet phldrT="[Text]"/>
      <dgm:spPr/>
      <dgm:t>
        <a:bodyPr/>
        <a:lstStyle/>
        <a:p>
          <a:r>
            <a:rPr lang="en-US"/>
            <a:t>T0: Immediate implant placement</a:t>
          </a:r>
        </a:p>
      </dgm:t>
    </dgm:pt>
    <dgm:pt modelId="{7E51C400-7C05-1742-A88D-CDF970C6A217}" type="parTrans" cxnId="{A47ABF45-3AA0-3D4B-BD36-CC0F3B137148}">
      <dgm:prSet/>
      <dgm:spPr/>
      <dgm:t>
        <a:bodyPr/>
        <a:lstStyle/>
        <a:p>
          <a:endParaRPr lang="en-US"/>
        </a:p>
      </dgm:t>
    </dgm:pt>
    <dgm:pt modelId="{69924695-F646-744C-AC9C-9E736DE46BD3}" type="sibTrans" cxnId="{A47ABF45-3AA0-3D4B-BD36-CC0F3B137148}">
      <dgm:prSet/>
      <dgm:spPr/>
      <dgm:t>
        <a:bodyPr/>
        <a:lstStyle/>
        <a:p>
          <a:endParaRPr lang="en-US"/>
        </a:p>
      </dgm:t>
    </dgm:pt>
    <dgm:pt modelId="{48B2751D-C40F-BB49-B312-8C53978377B2}">
      <dgm:prSet phldrT="[Text]"/>
      <dgm:spPr/>
      <dgm:t>
        <a:bodyPr/>
        <a:lstStyle/>
        <a:p>
          <a:r>
            <a:rPr lang="en-US"/>
            <a:t>T3: Delivery of Final Prosthesis </a:t>
          </a:r>
        </a:p>
      </dgm:t>
    </dgm:pt>
    <dgm:pt modelId="{7DA8DD01-4488-B04A-A15E-9A091921CD0D}" type="parTrans" cxnId="{AAD0EEC9-2815-0D47-9C64-5E973BDE9C7A}">
      <dgm:prSet/>
      <dgm:spPr/>
      <dgm:t>
        <a:bodyPr/>
        <a:lstStyle/>
        <a:p>
          <a:endParaRPr lang="en-US"/>
        </a:p>
      </dgm:t>
    </dgm:pt>
    <dgm:pt modelId="{7F55B661-FC58-5245-9E00-550FAA728F62}" type="sibTrans" cxnId="{AAD0EEC9-2815-0D47-9C64-5E973BDE9C7A}">
      <dgm:prSet/>
      <dgm:spPr/>
      <dgm:t>
        <a:bodyPr/>
        <a:lstStyle/>
        <a:p>
          <a:endParaRPr lang="en-US"/>
        </a:p>
      </dgm:t>
    </dgm:pt>
    <dgm:pt modelId="{374100BC-A77F-604F-B726-ABDE22896653}">
      <dgm:prSet phldrT="[Text]"/>
      <dgm:spPr/>
      <dgm:t>
        <a:bodyPr/>
        <a:lstStyle/>
        <a:p>
          <a:r>
            <a:rPr lang="en-US"/>
            <a:t>T4: Follow up Peri-implant bone level post delivery</a:t>
          </a:r>
        </a:p>
      </dgm:t>
    </dgm:pt>
    <dgm:pt modelId="{D8859A44-17DF-6847-8620-501A634B34C0}" type="parTrans" cxnId="{3272D708-C879-E043-980D-D7BABDBDA6DC}">
      <dgm:prSet/>
      <dgm:spPr/>
      <dgm:t>
        <a:bodyPr/>
        <a:lstStyle/>
        <a:p>
          <a:endParaRPr lang="en-US"/>
        </a:p>
      </dgm:t>
    </dgm:pt>
    <dgm:pt modelId="{87C66090-F616-1842-B813-5D4351A554F6}" type="sibTrans" cxnId="{3272D708-C879-E043-980D-D7BABDBDA6DC}">
      <dgm:prSet/>
      <dgm:spPr/>
      <dgm:t>
        <a:bodyPr/>
        <a:lstStyle/>
        <a:p>
          <a:endParaRPr lang="en-US"/>
        </a:p>
      </dgm:t>
    </dgm:pt>
    <dgm:pt modelId="{2AD0013F-C7AF-4341-9A0F-43D5B586C3A9}">
      <dgm:prSet/>
      <dgm:spPr/>
      <dgm:t>
        <a:bodyPr/>
        <a:lstStyle/>
        <a:p>
          <a:r>
            <a:rPr lang="en-US"/>
            <a:t>T1: 3 month after implant placement</a:t>
          </a:r>
        </a:p>
      </dgm:t>
    </dgm:pt>
    <dgm:pt modelId="{364C06E6-D027-5B42-9376-179FF2F30AE5}" type="parTrans" cxnId="{22AED9D4-4203-654C-9CA9-E4FBC9A033B7}">
      <dgm:prSet/>
      <dgm:spPr/>
      <dgm:t>
        <a:bodyPr/>
        <a:lstStyle/>
        <a:p>
          <a:endParaRPr lang="en-US"/>
        </a:p>
      </dgm:t>
    </dgm:pt>
    <dgm:pt modelId="{180F3B68-F47E-1B47-AB7B-6ACA4C8FEAC0}" type="sibTrans" cxnId="{22AED9D4-4203-654C-9CA9-E4FBC9A033B7}">
      <dgm:prSet/>
      <dgm:spPr/>
      <dgm:t>
        <a:bodyPr/>
        <a:lstStyle/>
        <a:p>
          <a:endParaRPr lang="en-US"/>
        </a:p>
      </dgm:t>
    </dgm:pt>
    <dgm:pt modelId="{61F1467F-8847-EA46-B90C-93AD2726E461}">
      <dgm:prSet/>
      <dgm:spPr/>
      <dgm:t>
        <a:bodyPr/>
        <a:lstStyle/>
        <a:p>
          <a:r>
            <a:rPr lang="en-US"/>
            <a:t>T2: Impression Visitt</a:t>
          </a:r>
        </a:p>
      </dgm:t>
    </dgm:pt>
    <dgm:pt modelId="{826C0714-F543-9B48-A253-6406A7760E94}" type="parTrans" cxnId="{EBB10790-6E00-0143-84E9-2B9FF63F650C}">
      <dgm:prSet/>
      <dgm:spPr/>
      <dgm:t>
        <a:bodyPr/>
        <a:lstStyle/>
        <a:p>
          <a:endParaRPr lang="en-US"/>
        </a:p>
      </dgm:t>
    </dgm:pt>
    <dgm:pt modelId="{19C5EF29-EDD6-0345-AF74-7C607688872E}" type="sibTrans" cxnId="{EBB10790-6E00-0143-84E9-2B9FF63F650C}">
      <dgm:prSet/>
      <dgm:spPr/>
      <dgm:t>
        <a:bodyPr/>
        <a:lstStyle/>
        <a:p>
          <a:endParaRPr lang="en-US"/>
        </a:p>
      </dgm:t>
    </dgm:pt>
    <dgm:pt modelId="{700C3311-0B5F-1A4C-A7B2-E0C7C7594487}" type="pres">
      <dgm:prSet presAssocID="{A3A88401-4FF4-8740-8D48-1980C9CD1C85}" presName="hierChild1" presStyleCnt="0">
        <dgm:presLayoutVars>
          <dgm:orgChart val="1"/>
          <dgm:chPref val="1"/>
          <dgm:dir/>
          <dgm:animOne val="branch"/>
          <dgm:animLvl val="lvl"/>
          <dgm:resizeHandles/>
        </dgm:presLayoutVars>
      </dgm:prSet>
      <dgm:spPr/>
    </dgm:pt>
    <dgm:pt modelId="{CE980211-D3F7-C546-A01B-66169D70A056}" type="pres">
      <dgm:prSet presAssocID="{397F47A8-2F25-9446-8774-4AE6A91B2EAD}" presName="hierRoot1" presStyleCnt="0">
        <dgm:presLayoutVars>
          <dgm:hierBranch val="init"/>
        </dgm:presLayoutVars>
      </dgm:prSet>
      <dgm:spPr/>
    </dgm:pt>
    <dgm:pt modelId="{90366B8B-658E-1F43-B4EA-F9D2086A308F}" type="pres">
      <dgm:prSet presAssocID="{397F47A8-2F25-9446-8774-4AE6A91B2EAD}" presName="rootComposite1" presStyleCnt="0"/>
      <dgm:spPr/>
    </dgm:pt>
    <dgm:pt modelId="{AA18A43D-6C8F-4243-8F74-6A55B3F2E6A2}" type="pres">
      <dgm:prSet presAssocID="{397F47A8-2F25-9446-8774-4AE6A91B2EAD}" presName="rootText1" presStyleLbl="node0" presStyleIdx="0" presStyleCnt="1">
        <dgm:presLayoutVars>
          <dgm:chPref val="3"/>
        </dgm:presLayoutVars>
      </dgm:prSet>
      <dgm:spPr/>
    </dgm:pt>
    <dgm:pt modelId="{12239DA0-B6E6-724E-9DA7-032B8FC459F7}" type="pres">
      <dgm:prSet presAssocID="{397F47A8-2F25-9446-8774-4AE6A91B2EAD}" presName="rootConnector1" presStyleLbl="node1" presStyleIdx="0" presStyleCnt="0"/>
      <dgm:spPr/>
    </dgm:pt>
    <dgm:pt modelId="{C9A283EA-7F6C-634C-B2A2-F775C0F3DA6A}" type="pres">
      <dgm:prSet presAssocID="{397F47A8-2F25-9446-8774-4AE6A91B2EAD}" presName="hierChild2" presStyleCnt="0"/>
      <dgm:spPr/>
    </dgm:pt>
    <dgm:pt modelId="{5388037F-824E-7A4E-89B1-97DF058F0FE7}" type="pres">
      <dgm:prSet presAssocID="{7E51C400-7C05-1742-A88D-CDF970C6A217}" presName="Name37" presStyleLbl="parChTrans1D2" presStyleIdx="0" presStyleCnt="5"/>
      <dgm:spPr/>
    </dgm:pt>
    <dgm:pt modelId="{82519B7F-BEEB-314F-A390-136C79C8E77E}" type="pres">
      <dgm:prSet presAssocID="{D57DF0DE-3BD2-3B48-A682-472595FAD4FD}" presName="hierRoot2" presStyleCnt="0">
        <dgm:presLayoutVars>
          <dgm:hierBranch val="init"/>
        </dgm:presLayoutVars>
      </dgm:prSet>
      <dgm:spPr/>
    </dgm:pt>
    <dgm:pt modelId="{DFC042A8-DF72-4E4C-90D0-8C105A2C96BD}" type="pres">
      <dgm:prSet presAssocID="{D57DF0DE-3BD2-3B48-A682-472595FAD4FD}" presName="rootComposite" presStyleCnt="0"/>
      <dgm:spPr/>
    </dgm:pt>
    <dgm:pt modelId="{F4814398-9036-BE4C-8ED5-99312F545D50}" type="pres">
      <dgm:prSet presAssocID="{D57DF0DE-3BD2-3B48-A682-472595FAD4FD}" presName="rootText" presStyleLbl="node2" presStyleIdx="0" presStyleCnt="5">
        <dgm:presLayoutVars>
          <dgm:chPref val="3"/>
        </dgm:presLayoutVars>
      </dgm:prSet>
      <dgm:spPr/>
    </dgm:pt>
    <dgm:pt modelId="{06184B16-4125-AB4C-A904-44798D2531C5}" type="pres">
      <dgm:prSet presAssocID="{D57DF0DE-3BD2-3B48-A682-472595FAD4FD}" presName="rootConnector" presStyleLbl="node2" presStyleIdx="0" presStyleCnt="5"/>
      <dgm:spPr/>
    </dgm:pt>
    <dgm:pt modelId="{6A97CC87-8C10-9A46-AC7D-0BE5DDF56F6A}" type="pres">
      <dgm:prSet presAssocID="{D57DF0DE-3BD2-3B48-A682-472595FAD4FD}" presName="hierChild4" presStyleCnt="0"/>
      <dgm:spPr/>
    </dgm:pt>
    <dgm:pt modelId="{4FF646AF-8267-1C47-94F5-14488443C5A4}" type="pres">
      <dgm:prSet presAssocID="{D57DF0DE-3BD2-3B48-A682-472595FAD4FD}" presName="hierChild5" presStyleCnt="0"/>
      <dgm:spPr/>
    </dgm:pt>
    <dgm:pt modelId="{E3C61A9F-2003-434E-A604-154A4942281F}" type="pres">
      <dgm:prSet presAssocID="{364C06E6-D027-5B42-9376-179FF2F30AE5}" presName="Name37" presStyleLbl="parChTrans1D2" presStyleIdx="1" presStyleCnt="5"/>
      <dgm:spPr/>
    </dgm:pt>
    <dgm:pt modelId="{564A7520-81A0-5C43-A30F-3E9E83623FD7}" type="pres">
      <dgm:prSet presAssocID="{2AD0013F-C7AF-4341-9A0F-43D5B586C3A9}" presName="hierRoot2" presStyleCnt="0">
        <dgm:presLayoutVars>
          <dgm:hierBranch val="init"/>
        </dgm:presLayoutVars>
      </dgm:prSet>
      <dgm:spPr/>
    </dgm:pt>
    <dgm:pt modelId="{0324AAF8-1FB8-4C4D-BAAD-91800D4B4050}" type="pres">
      <dgm:prSet presAssocID="{2AD0013F-C7AF-4341-9A0F-43D5B586C3A9}" presName="rootComposite" presStyleCnt="0"/>
      <dgm:spPr/>
    </dgm:pt>
    <dgm:pt modelId="{B03CC5D6-0D0A-6D4A-89DB-56B26CA7ABB5}" type="pres">
      <dgm:prSet presAssocID="{2AD0013F-C7AF-4341-9A0F-43D5B586C3A9}" presName="rootText" presStyleLbl="node2" presStyleIdx="1" presStyleCnt="5">
        <dgm:presLayoutVars>
          <dgm:chPref val="3"/>
        </dgm:presLayoutVars>
      </dgm:prSet>
      <dgm:spPr/>
    </dgm:pt>
    <dgm:pt modelId="{F5F2F625-2DEC-9943-9E78-17EA4DDD23DB}" type="pres">
      <dgm:prSet presAssocID="{2AD0013F-C7AF-4341-9A0F-43D5B586C3A9}" presName="rootConnector" presStyleLbl="node2" presStyleIdx="1" presStyleCnt="5"/>
      <dgm:spPr/>
    </dgm:pt>
    <dgm:pt modelId="{F31F389D-313D-3B49-BC38-DFA5F5083F43}" type="pres">
      <dgm:prSet presAssocID="{2AD0013F-C7AF-4341-9A0F-43D5B586C3A9}" presName="hierChild4" presStyleCnt="0"/>
      <dgm:spPr/>
    </dgm:pt>
    <dgm:pt modelId="{29F54E2B-435D-5849-B5F9-9B45D3F7BE4D}" type="pres">
      <dgm:prSet presAssocID="{2AD0013F-C7AF-4341-9A0F-43D5B586C3A9}" presName="hierChild5" presStyleCnt="0"/>
      <dgm:spPr/>
    </dgm:pt>
    <dgm:pt modelId="{89B7AC22-DC94-3B44-AA43-4727564B1CDD}" type="pres">
      <dgm:prSet presAssocID="{826C0714-F543-9B48-A253-6406A7760E94}" presName="Name37" presStyleLbl="parChTrans1D2" presStyleIdx="2" presStyleCnt="5"/>
      <dgm:spPr/>
    </dgm:pt>
    <dgm:pt modelId="{E9CB7275-87C7-F748-AC0E-534D75EC7520}" type="pres">
      <dgm:prSet presAssocID="{61F1467F-8847-EA46-B90C-93AD2726E461}" presName="hierRoot2" presStyleCnt="0">
        <dgm:presLayoutVars>
          <dgm:hierBranch val="init"/>
        </dgm:presLayoutVars>
      </dgm:prSet>
      <dgm:spPr/>
    </dgm:pt>
    <dgm:pt modelId="{B71DDF4F-459A-DA42-9A98-137FE1395217}" type="pres">
      <dgm:prSet presAssocID="{61F1467F-8847-EA46-B90C-93AD2726E461}" presName="rootComposite" presStyleCnt="0"/>
      <dgm:spPr/>
    </dgm:pt>
    <dgm:pt modelId="{E7C915D4-CC85-F24C-AD42-193BE0580AE2}" type="pres">
      <dgm:prSet presAssocID="{61F1467F-8847-EA46-B90C-93AD2726E461}" presName="rootText" presStyleLbl="node2" presStyleIdx="2" presStyleCnt="5">
        <dgm:presLayoutVars>
          <dgm:chPref val="3"/>
        </dgm:presLayoutVars>
      </dgm:prSet>
      <dgm:spPr/>
    </dgm:pt>
    <dgm:pt modelId="{926BC133-EFFE-784F-B3C7-0B693C04A8B7}" type="pres">
      <dgm:prSet presAssocID="{61F1467F-8847-EA46-B90C-93AD2726E461}" presName="rootConnector" presStyleLbl="node2" presStyleIdx="2" presStyleCnt="5"/>
      <dgm:spPr/>
    </dgm:pt>
    <dgm:pt modelId="{959017DE-0909-BA4B-89E1-DFB65B3FDA1F}" type="pres">
      <dgm:prSet presAssocID="{61F1467F-8847-EA46-B90C-93AD2726E461}" presName="hierChild4" presStyleCnt="0"/>
      <dgm:spPr/>
    </dgm:pt>
    <dgm:pt modelId="{2E32DC78-D362-EA4C-9A32-454C2301AEDA}" type="pres">
      <dgm:prSet presAssocID="{61F1467F-8847-EA46-B90C-93AD2726E461}" presName="hierChild5" presStyleCnt="0"/>
      <dgm:spPr/>
    </dgm:pt>
    <dgm:pt modelId="{1D05E75A-8FA0-C34D-8F0E-B6300ED90534}" type="pres">
      <dgm:prSet presAssocID="{7DA8DD01-4488-B04A-A15E-9A091921CD0D}" presName="Name37" presStyleLbl="parChTrans1D2" presStyleIdx="3" presStyleCnt="5"/>
      <dgm:spPr/>
    </dgm:pt>
    <dgm:pt modelId="{00143A46-6EC7-E744-88A4-EAB589ABB713}" type="pres">
      <dgm:prSet presAssocID="{48B2751D-C40F-BB49-B312-8C53978377B2}" presName="hierRoot2" presStyleCnt="0">
        <dgm:presLayoutVars>
          <dgm:hierBranch val="init"/>
        </dgm:presLayoutVars>
      </dgm:prSet>
      <dgm:spPr/>
    </dgm:pt>
    <dgm:pt modelId="{CDC4F2AE-BA80-0E46-B8BA-E02106E92086}" type="pres">
      <dgm:prSet presAssocID="{48B2751D-C40F-BB49-B312-8C53978377B2}" presName="rootComposite" presStyleCnt="0"/>
      <dgm:spPr/>
    </dgm:pt>
    <dgm:pt modelId="{892B561B-BF73-274C-AF53-F1F1F614B975}" type="pres">
      <dgm:prSet presAssocID="{48B2751D-C40F-BB49-B312-8C53978377B2}" presName="rootText" presStyleLbl="node2" presStyleIdx="3" presStyleCnt="5">
        <dgm:presLayoutVars>
          <dgm:chPref val="3"/>
        </dgm:presLayoutVars>
      </dgm:prSet>
      <dgm:spPr/>
    </dgm:pt>
    <dgm:pt modelId="{FCFDBA7B-DE3E-8647-A103-B57BF95F6F1C}" type="pres">
      <dgm:prSet presAssocID="{48B2751D-C40F-BB49-B312-8C53978377B2}" presName="rootConnector" presStyleLbl="node2" presStyleIdx="3" presStyleCnt="5"/>
      <dgm:spPr/>
    </dgm:pt>
    <dgm:pt modelId="{C7CE6335-D9B8-B549-B40E-CB2DD4F0D9D2}" type="pres">
      <dgm:prSet presAssocID="{48B2751D-C40F-BB49-B312-8C53978377B2}" presName="hierChild4" presStyleCnt="0"/>
      <dgm:spPr/>
    </dgm:pt>
    <dgm:pt modelId="{1F50304A-54C1-D64B-A784-148A45A3A2EF}" type="pres">
      <dgm:prSet presAssocID="{48B2751D-C40F-BB49-B312-8C53978377B2}" presName="hierChild5" presStyleCnt="0"/>
      <dgm:spPr/>
    </dgm:pt>
    <dgm:pt modelId="{69341A19-58B5-5C46-9A0E-F2C3FE7AD99B}" type="pres">
      <dgm:prSet presAssocID="{D8859A44-17DF-6847-8620-501A634B34C0}" presName="Name37" presStyleLbl="parChTrans1D2" presStyleIdx="4" presStyleCnt="5"/>
      <dgm:spPr/>
    </dgm:pt>
    <dgm:pt modelId="{5AFEE6CD-7368-A14B-9351-675E53A66E64}" type="pres">
      <dgm:prSet presAssocID="{374100BC-A77F-604F-B726-ABDE22896653}" presName="hierRoot2" presStyleCnt="0">
        <dgm:presLayoutVars>
          <dgm:hierBranch val="init"/>
        </dgm:presLayoutVars>
      </dgm:prSet>
      <dgm:spPr/>
    </dgm:pt>
    <dgm:pt modelId="{CA0F6346-0F08-B346-8E3F-6D033AD28118}" type="pres">
      <dgm:prSet presAssocID="{374100BC-A77F-604F-B726-ABDE22896653}" presName="rootComposite" presStyleCnt="0"/>
      <dgm:spPr/>
    </dgm:pt>
    <dgm:pt modelId="{EF314498-E038-C249-AD3A-90C431E77D35}" type="pres">
      <dgm:prSet presAssocID="{374100BC-A77F-604F-B726-ABDE22896653}" presName="rootText" presStyleLbl="node2" presStyleIdx="4" presStyleCnt="5">
        <dgm:presLayoutVars>
          <dgm:chPref val="3"/>
        </dgm:presLayoutVars>
      </dgm:prSet>
      <dgm:spPr/>
    </dgm:pt>
    <dgm:pt modelId="{B97DBD5C-AD09-6345-A8C9-AEDCF49B09FF}" type="pres">
      <dgm:prSet presAssocID="{374100BC-A77F-604F-B726-ABDE22896653}" presName="rootConnector" presStyleLbl="node2" presStyleIdx="4" presStyleCnt="5"/>
      <dgm:spPr/>
    </dgm:pt>
    <dgm:pt modelId="{AEFB2197-2CAA-AE4A-BD1E-D0CF949EF193}" type="pres">
      <dgm:prSet presAssocID="{374100BC-A77F-604F-B726-ABDE22896653}" presName="hierChild4" presStyleCnt="0"/>
      <dgm:spPr/>
    </dgm:pt>
    <dgm:pt modelId="{8E3BCA3D-02D7-7C4A-9574-42F51C232684}" type="pres">
      <dgm:prSet presAssocID="{374100BC-A77F-604F-B726-ABDE22896653}" presName="hierChild5" presStyleCnt="0"/>
      <dgm:spPr/>
    </dgm:pt>
    <dgm:pt modelId="{D708BB38-77C8-DA43-8C0B-DAB7381327A4}" type="pres">
      <dgm:prSet presAssocID="{397F47A8-2F25-9446-8774-4AE6A91B2EAD}" presName="hierChild3" presStyleCnt="0"/>
      <dgm:spPr/>
    </dgm:pt>
  </dgm:ptLst>
  <dgm:cxnLst>
    <dgm:cxn modelId="{266D0607-AA6B-8C47-AD61-8E43F528C5EF}" type="presOf" srcId="{397F47A8-2F25-9446-8774-4AE6A91B2EAD}" destId="{12239DA0-B6E6-724E-9DA7-032B8FC459F7}" srcOrd="1" destOrd="0" presId="urn:microsoft.com/office/officeart/2005/8/layout/orgChart1"/>
    <dgm:cxn modelId="{3272D708-C879-E043-980D-D7BABDBDA6DC}" srcId="{397F47A8-2F25-9446-8774-4AE6A91B2EAD}" destId="{374100BC-A77F-604F-B726-ABDE22896653}" srcOrd="4" destOrd="0" parTransId="{D8859A44-17DF-6847-8620-501A634B34C0}" sibTransId="{87C66090-F616-1842-B813-5D4351A554F6}"/>
    <dgm:cxn modelId="{754C6E13-78B4-C348-9726-C3BDA6AF70F2}" type="presOf" srcId="{D8859A44-17DF-6847-8620-501A634B34C0}" destId="{69341A19-58B5-5C46-9A0E-F2C3FE7AD99B}" srcOrd="0" destOrd="0" presId="urn:microsoft.com/office/officeart/2005/8/layout/orgChart1"/>
    <dgm:cxn modelId="{7922C41F-0EF9-0F44-98D2-5789AABD2EC4}" type="presOf" srcId="{48B2751D-C40F-BB49-B312-8C53978377B2}" destId="{892B561B-BF73-274C-AF53-F1F1F614B975}" srcOrd="0" destOrd="0" presId="urn:microsoft.com/office/officeart/2005/8/layout/orgChart1"/>
    <dgm:cxn modelId="{328AE822-64C1-154D-A99E-198A8B2DF2A7}" srcId="{A3A88401-4FF4-8740-8D48-1980C9CD1C85}" destId="{397F47A8-2F25-9446-8774-4AE6A91B2EAD}" srcOrd="0" destOrd="0" parTransId="{5DF57992-1E77-4C4A-973E-05C0972CDB5C}" sibTransId="{09ECC405-999D-694E-9AC6-398B247C4590}"/>
    <dgm:cxn modelId="{72600E2A-46EC-6A4E-85F9-B881F92663B9}" type="presOf" srcId="{826C0714-F543-9B48-A253-6406A7760E94}" destId="{89B7AC22-DC94-3B44-AA43-4727564B1CDD}" srcOrd="0" destOrd="0" presId="urn:microsoft.com/office/officeart/2005/8/layout/orgChart1"/>
    <dgm:cxn modelId="{27A1763A-56BA-9643-A16E-62D08089915C}" type="presOf" srcId="{48B2751D-C40F-BB49-B312-8C53978377B2}" destId="{FCFDBA7B-DE3E-8647-A103-B57BF95F6F1C}" srcOrd="1" destOrd="0" presId="urn:microsoft.com/office/officeart/2005/8/layout/orgChart1"/>
    <dgm:cxn modelId="{A47ABF45-3AA0-3D4B-BD36-CC0F3B137148}" srcId="{397F47A8-2F25-9446-8774-4AE6A91B2EAD}" destId="{D57DF0DE-3BD2-3B48-A682-472595FAD4FD}" srcOrd="0" destOrd="0" parTransId="{7E51C400-7C05-1742-A88D-CDF970C6A217}" sibTransId="{69924695-F646-744C-AC9C-9E736DE46BD3}"/>
    <dgm:cxn modelId="{6C313F46-2354-9242-90BE-DFFE1DB7F292}" type="presOf" srcId="{D57DF0DE-3BD2-3B48-A682-472595FAD4FD}" destId="{06184B16-4125-AB4C-A904-44798D2531C5}" srcOrd="1" destOrd="0" presId="urn:microsoft.com/office/officeart/2005/8/layout/orgChart1"/>
    <dgm:cxn modelId="{563E1650-7A4B-F242-9ACB-CD45594041C4}" type="presOf" srcId="{364C06E6-D027-5B42-9376-179FF2F30AE5}" destId="{E3C61A9F-2003-434E-A604-154A4942281F}" srcOrd="0" destOrd="0" presId="urn:microsoft.com/office/officeart/2005/8/layout/orgChart1"/>
    <dgm:cxn modelId="{802DF850-059F-1E47-B8BE-05AE8A1F1DB0}" type="presOf" srcId="{374100BC-A77F-604F-B726-ABDE22896653}" destId="{EF314498-E038-C249-AD3A-90C431E77D35}" srcOrd="0" destOrd="0" presId="urn:microsoft.com/office/officeart/2005/8/layout/orgChart1"/>
    <dgm:cxn modelId="{030B8D5E-C388-4148-B767-6342F8A5A549}" type="presOf" srcId="{374100BC-A77F-604F-B726-ABDE22896653}" destId="{B97DBD5C-AD09-6345-A8C9-AEDCF49B09FF}" srcOrd="1" destOrd="0" presId="urn:microsoft.com/office/officeart/2005/8/layout/orgChart1"/>
    <dgm:cxn modelId="{D18C9176-C426-E84A-8395-07A59287455B}" type="presOf" srcId="{A3A88401-4FF4-8740-8D48-1980C9CD1C85}" destId="{700C3311-0B5F-1A4C-A7B2-E0C7C7594487}" srcOrd="0" destOrd="0" presId="urn:microsoft.com/office/officeart/2005/8/layout/orgChart1"/>
    <dgm:cxn modelId="{EF8CB783-1909-D241-90B5-D75A24B89277}" type="presOf" srcId="{61F1467F-8847-EA46-B90C-93AD2726E461}" destId="{E7C915D4-CC85-F24C-AD42-193BE0580AE2}" srcOrd="0" destOrd="0" presId="urn:microsoft.com/office/officeart/2005/8/layout/orgChart1"/>
    <dgm:cxn modelId="{EBB10790-6E00-0143-84E9-2B9FF63F650C}" srcId="{397F47A8-2F25-9446-8774-4AE6A91B2EAD}" destId="{61F1467F-8847-EA46-B90C-93AD2726E461}" srcOrd="2" destOrd="0" parTransId="{826C0714-F543-9B48-A253-6406A7760E94}" sibTransId="{19C5EF29-EDD6-0345-AF74-7C607688872E}"/>
    <dgm:cxn modelId="{7F272F98-78C6-3343-8597-11F13A51A54D}" type="presOf" srcId="{61F1467F-8847-EA46-B90C-93AD2726E461}" destId="{926BC133-EFFE-784F-B3C7-0B693C04A8B7}" srcOrd="1" destOrd="0" presId="urn:microsoft.com/office/officeart/2005/8/layout/orgChart1"/>
    <dgm:cxn modelId="{D658D89C-FF46-8C40-998E-60B4B061C1E6}" type="presOf" srcId="{397F47A8-2F25-9446-8774-4AE6A91B2EAD}" destId="{AA18A43D-6C8F-4243-8F74-6A55B3F2E6A2}" srcOrd="0" destOrd="0" presId="urn:microsoft.com/office/officeart/2005/8/layout/orgChart1"/>
    <dgm:cxn modelId="{B72077AC-1A18-8540-A47E-DC87F238484B}" type="presOf" srcId="{7E51C400-7C05-1742-A88D-CDF970C6A217}" destId="{5388037F-824E-7A4E-89B1-97DF058F0FE7}" srcOrd="0" destOrd="0" presId="urn:microsoft.com/office/officeart/2005/8/layout/orgChart1"/>
    <dgm:cxn modelId="{689A76B4-DF9F-A24D-9B98-B296F0F17CB2}" type="presOf" srcId="{2AD0013F-C7AF-4341-9A0F-43D5B586C3A9}" destId="{F5F2F625-2DEC-9943-9E78-17EA4DDD23DB}" srcOrd="1" destOrd="0" presId="urn:microsoft.com/office/officeart/2005/8/layout/orgChart1"/>
    <dgm:cxn modelId="{AAD0EEC9-2815-0D47-9C64-5E973BDE9C7A}" srcId="{397F47A8-2F25-9446-8774-4AE6A91B2EAD}" destId="{48B2751D-C40F-BB49-B312-8C53978377B2}" srcOrd="3" destOrd="0" parTransId="{7DA8DD01-4488-B04A-A15E-9A091921CD0D}" sibTransId="{7F55B661-FC58-5245-9E00-550FAA728F62}"/>
    <dgm:cxn modelId="{22AED9D4-4203-654C-9CA9-E4FBC9A033B7}" srcId="{397F47A8-2F25-9446-8774-4AE6A91B2EAD}" destId="{2AD0013F-C7AF-4341-9A0F-43D5B586C3A9}" srcOrd="1" destOrd="0" parTransId="{364C06E6-D027-5B42-9376-179FF2F30AE5}" sibTransId="{180F3B68-F47E-1B47-AB7B-6ACA4C8FEAC0}"/>
    <dgm:cxn modelId="{F3E25ED6-2082-5E48-9760-6D21F8858698}" type="presOf" srcId="{2AD0013F-C7AF-4341-9A0F-43D5B586C3A9}" destId="{B03CC5D6-0D0A-6D4A-89DB-56B26CA7ABB5}" srcOrd="0" destOrd="0" presId="urn:microsoft.com/office/officeart/2005/8/layout/orgChart1"/>
    <dgm:cxn modelId="{9BFCD1E0-C630-5941-BE38-45D5742F13B8}" type="presOf" srcId="{7DA8DD01-4488-B04A-A15E-9A091921CD0D}" destId="{1D05E75A-8FA0-C34D-8F0E-B6300ED90534}" srcOrd="0" destOrd="0" presId="urn:microsoft.com/office/officeart/2005/8/layout/orgChart1"/>
    <dgm:cxn modelId="{B3FAE8ED-3635-8341-A092-8DC15613B5A9}" type="presOf" srcId="{D57DF0DE-3BD2-3B48-A682-472595FAD4FD}" destId="{F4814398-9036-BE4C-8ED5-99312F545D50}" srcOrd="0" destOrd="0" presId="urn:microsoft.com/office/officeart/2005/8/layout/orgChart1"/>
    <dgm:cxn modelId="{6C02825B-92F2-E446-AC93-21E9607593EA}" type="presParOf" srcId="{700C3311-0B5F-1A4C-A7B2-E0C7C7594487}" destId="{CE980211-D3F7-C546-A01B-66169D70A056}" srcOrd="0" destOrd="0" presId="urn:microsoft.com/office/officeart/2005/8/layout/orgChart1"/>
    <dgm:cxn modelId="{0CB271AB-D873-5248-80F3-5E513C0A5D5A}" type="presParOf" srcId="{CE980211-D3F7-C546-A01B-66169D70A056}" destId="{90366B8B-658E-1F43-B4EA-F9D2086A308F}" srcOrd="0" destOrd="0" presId="urn:microsoft.com/office/officeart/2005/8/layout/orgChart1"/>
    <dgm:cxn modelId="{9A4AD6D4-65E4-3648-892C-AB17573EFB8C}" type="presParOf" srcId="{90366B8B-658E-1F43-B4EA-F9D2086A308F}" destId="{AA18A43D-6C8F-4243-8F74-6A55B3F2E6A2}" srcOrd="0" destOrd="0" presId="urn:microsoft.com/office/officeart/2005/8/layout/orgChart1"/>
    <dgm:cxn modelId="{1C7C5C46-16F8-1D42-8327-E6E3B4A87814}" type="presParOf" srcId="{90366B8B-658E-1F43-B4EA-F9D2086A308F}" destId="{12239DA0-B6E6-724E-9DA7-032B8FC459F7}" srcOrd="1" destOrd="0" presId="urn:microsoft.com/office/officeart/2005/8/layout/orgChart1"/>
    <dgm:cxn modelId="{274971AE-3987-B541-B7F8-2E118F8ACC47}" type="presParOf" srcId="{CE980211-D3F7-C546-A01B-66169D70A056}" destId="{C9A283EA-7F6C-634C-B2A2-F775C0F3DA6A}" srcOrd="1" destOrd="0" presId="urn:microsoft.com/office/officeart/2005/8/layout/orgChart1"/>
    <dgm:cxn modelId="{91FC9CB5-906E-9347-A1F0-E33C8FCC4A79}" type="presParOf" srcId="{C9A283EA-7F6C-634C-B2A2-F775C0F3DA6A}" destId="{5388037F-824E-7A4E-89B1-97DF058F0FE7}" srcOrd="0" destOrd="0" presId="urn:microsoft.com/office/officeart/2005/8/layout/orgChart1"/>
    <dgm:cxn modelId="{70F42033-3A95-7C40-996B-9186EC03C329}" type="presParOf" srcId="{C9A283EA-7F6C-634C-B2A2-F775C0F3DA6A}" destId="{82519B7F-BEEB-314F-A390-136C79C8E77E}" srcOrd="1" destOrd="0" presId="urn:microsoft.com/office/officeart/2005/8/layout/orgChart1"/>
    <dgm:cxn modelId="{CF6FD492-83D3-D247-87C7-55CCD16FF8D2}" type="presParOf" srcId="{82519B7F-BEEB-314F-A390-136C79C8E77E}" destId="{DFC042A8-DF72-4E4C-90D0-8C105A2C96BD}" srcOrd="0" destOrd="0" presId="urn:microsoft.com/office/officeart/2005/8/layout/orgChart1"/>
    <dgm:cxn modelId="{08FE6830-EF4D-2043-87AD-6FB6D6DDE397}" type="presParOf" srcId="{DFC042A8-DF72-4E4C-90D0-8C105A2C96BD}" destId="{F4814398-9036-BE4C-8ED5-99312F545D50}" srcOrd="0" destOrd="0" presId="urn:microsoft.com/office/officeart/2005/8/layout/orgChart1"/>
    <dgm:cxn modelId="{81C0C2EE-83A7-A949-864B-91B9A990F70B}" type="presParOf" srcId="{DFC042A8-DF72-4E4C-90D0-8C105A2C96BD}" destId="{06184B16-4125-AB4C-A904-44798D2531C5}" srcOrd="1" destOrd="0" presId="urn:microsoft.com/office/officeart/2005/8/layout/orgChart1"/>
    <dgm:cxn modelId="{074458B4-75BE-2A4B-9A10-73A153E42E81}" type="presParOf" srcId="{82519B7F-BEEB-314F-A390-136C79C8E77E}" destId="{6A97CC87-8C10-9A46-AC7D-0BE5DDF56F6A}" srcOrd="1" destOrd="0" presId="urn:microsoft.com/office/officeart/2005/8/layout/orgChart1"/>
    <dgm:cxn modelId="{407646CC-8E30-A145-90A4-72C41D85B5EE}" type="presParOf" srcId="{82519B7F-BEEB-314F-A390-136C79C8E77E}" destId="{4FF646AF-8267-1C47-94F5-14488443C5A4}" srcOrd="2" destOrd="0" presId="urn:microsoft.com/office/officeart/2005/8/layout/orgChart1"/>
    <dgm:cxn modelId="{0FCBE3C5-F613-914B-B730-2999CC0537E5}" type="presParOf" srcId="{C9A283EA-7F6C-634C-B2A2-F775C0F3DA6A}" destId="{E3C61A9F-2003-434E-A604-154A4942281F}" srcOrd="2" destOrd="0" presId="urn:microsoft.com/office/officeart/2005/8/layout/orgChart1"/>
    <dgm:cxn modelId="{D004242F-1635-3B4B-89DA-910E2691EFF7}" type="presParOf" srcId="{C9A283EA-7F6C-634C-B2A2-F775C0F3DA6A}" destId="{564A7520-81A0-5C43-A30F-3E9E83623FD7}" srcOrd="3" destOrd="0" presId="urn:microsoft.com/office/officeart/2005/8/layout/orgChart1"/>
    <dgm:cxn modelId="{9976A1F4-4167-F34A-806E-8C13EF7AF2D6}" type="presParOf" srcId="{564A7520-81A0-5C43-A30F-3E9E83623FD7}" destId="{0324AAF8-1FB8-4C4D-BAAD-91800D4B4050}" srcOrd="0" destOrd="0" presId="urn:microsoft.com/office/officeart/2005/8/layout/orgChart1"/>
    <dgm:cxn modelId="{563E7E5D-FF9E-894C-9383-CB6D85F68AAA}" type="presParOf" srcId="{0324AAF8-1FB8-4C4D-BAAD-91800D4B4050}" destId="{B03CC5D6-0D0A-6D4A-89DB-56B26CA7ABB5}" srcOrd="0" destOrd="0" presId="urn:microsoft.com/office/officeart/2005/8/layout/orgChart1"/>
    <dgm:cxn modelId="{18BB2F40-EA1C-3E4E-91E7-4E248E0EAEC8}" type="presParOf" srcId="{0324AAF8-1FB8-4C4D-BAAD-91800D4B4050}" destId="{F5F2F625-2DEC-9943-9E78-17EA4DDD23DB}" srcOrd="1" destOrd="0" presId="urn:microsoft.com/office/officeart/2005/8/layout/orgChart1"/>
    <dgm:cxn modelId="{01A79DA4-58B2-5B41-ADE1-3FD3E38D5C01}" type="presParOf" srcId="{564A7520-81A0-5C43-A30F-3E9E83623FD7}" destId="{F31F389D-313D-3B49-BC38-DFA5F5083F43}" srcOrd="1" destOrd="0" presId="urn:microsoft.com/office/officeart/2005/8/layout/orgChart1"/>
    <dgm:cxn modelId="{78BC7968-E6F2-E84D-87A1-AEEA265F807C}" type="presParOf" srcId="{564A7520-81A0-5C43-A30F-3E9E83623FD7}" destId="{29F54E2B-435D-5849-B5F9-9B45D3F7BE4D}" srcOrd="2" destOrd="0" presId="urn:microsoft.com/office/officeart/2005/8/layout/orgChart1"/>
    <dgm:cxn modelId="{8C390993-C64A-F947-AB7E-719861086E1C}" type="presParOf" srcId="{C9A283EA-7F6C-634C-B2A2-F775C0F3DA6A}" destId="{89B7AC22-DC94-3B44-AA43-4727564B1CDD}" srcOrd="4" destOrd="0" presId="urn:microsoft.com/office/officeart/2005/8/layout/orgChart1"/>
    <dgm:cxn modelId="{C32E0E24-6F81-1448-9CD1-5E311CD69B57}" type="presParOf" srcId="{C9A283EA-7F6C-634C-B2A2-F775C0F3DA6A}" destId="{E9CB7275-87C7-F748-AC0E-534D75EC7520}" srcOrd="5" destOrd="0" presId="urn:microsoft.com/office/officeart/2005/8/layout/orgChart1"/>
    <dgm:cxn modelId="{049F41AB-9EC6-D542-A848-AE41CBAA3FAE}" type="presParOf" srcId="{E9CB7275-87C7-F748-AC0E-534D75EC7520}" destId="{B71DDF4F-459A-DA42-9A98-137FE1395217}" srcOrd="0" destOrd="0" presId="urn:microsoft.com/office/officeart/2005/8/layout/orgChart1"/>
    <dgm:cxn modelId="{BEC5F5EE-2452-2C46-A436-B86368721FCC}" type="presParOf" srcId="{B71DDF4F-459A-DA42-9A98-137FE1395217}" destId="{E7C915D4-CC85-F24C-AD42-193BE0580AE2}" srcOrd="0" destOrd="0" presId="urn:microsoft.com/office/officeart/2005/8/layout/orgChart1"/>
    <dgm:cxn modelId="{33544132-8D73-6F41-B3E2-073C53B5507B}" type="presParOf" srcId="{B71DDF4F-459A-DA42-9A98-137FE1395217}" destId="{926BC133-EFFE-784F-B3C7-0B693C04A8B7}" srcOrd="1" destOrd="0" presId="urn:microsoft.com/office/officeart/2005/8/layout/orgChart1"/>
    <dgm:cxn modelId="{E0D57244-FB4C-714F-ADC4-A9A1C5227E5E}" type="presParOf" srcId="{E9CB7275-87C7-F748-AC0E-534D75EC7520}" destId="{959017DE-0909-BA4B-89E1-DFB65B3FDA1F}" srcOrd="1" destOrd="0" presId="urn:microsoft.com/office/officeart/2005/8/layout/orgChart1"/>
    <dgm:cxn modelId="{BF91207D-100B-B549-9CA1-1D2089CF4082}" type="presParOf" srcId="{E9CB7275-87C7-F748-AC0E-534D75EC7520}" destId="{2E32DC78-D362-EA4C-9A32-454C2301AEDA}" srcOrd="2" destOrd="0" presId="urn:microsoft.com/office/officeart/2005/8/layout/orgChart1"/>
    <dgm:cxn modelId="{908D7D01-BF65-F74D-8D3A-3F716D274DE2}" type="presParOf" srcId="{C9A283EA-7F6C-634C-B2A2-F775C0F3DA6A}" destId="{1D05E75A-8FA0-C34D-8F0E-B6300ED90534}" srcOrd="6" destOrd="0" presId="urn:microsoft.com/office/officeart/2005/8/layout/orgChart1"/>
    <dgm:cxn modelId="{266CBA5F-DDA2-0E47-A7FF-B9F4CD3435CB}" type="presParOf" srcId="{C9A283EA-7F6C-634C-B2A2-F775C0F3DA6A}" destId="{00143A46-6EC7-E744-88A4-EAB589ABB713}" srcOrd="7" destOrd="0" presId="urn:microsoft.com/office/officeart/2005/8/layout/orgChart1"/>
    <dgm:cxn modelId="{285FF143-7196-D848-836E-52B74EAE38DD}" type="presParOf" srcId="{00143A46-6EC7-E744-88A4-EAB589ABB713}" destId="{CDC4F2AE-BA80-0E46-B8BA-E02106E92086}" srcOrd="0" destOrd="0" presId="urn:microsoft.com/office/officeart/2005/8/layout/orgChart1"/>
    <dgm:cxn modelId="{526202EF-1E16-2E42-86BB-87C046E32F6D}" type="presParOf" srcId="{CDC4F2AE-BA80-0E46-B8BA-E02106E92086}" destId="{892B561B-BF73-274C-AF53-F1F1F614B975}" srcOrd="0" destOrd="0" presId="urn:microsoft.com/office/officeart/2005/8/layout/orgChart1"/>
    <dgm:cxn modelId="{B6D5E972-28E7-C24F-91BE-08C695A6976C}" type="presParOf" srcId="{CDC4F2AE-BA80-0E46-B8BA-E02106E92086}" destId="{FCFDBA7B-DE3E-8647-A103-B57BF95F6F1C}" srcOrd="1" destOrd="0" presId="urn:microsoft.com/office/officeart/2005/8/layout/orgChart1"/>
    <dgm:cxn modelId="{756BB315-1AB6-F249-9598-0586FFF2B597}" type="presParOf" srcId="{00143A46-6EC7-E744-88A4-EAB589ABB713}" destId="{C7CE6335-D9B8-B549-B40E-CB2DD4F0D9D2}" srcOrd="1" destOrd="0" presId="urn:microsoft.com/office/officeart/2005/8/layout/orgChart1"/>
    <dgm:cxn modelId="{851FA929-19AD-ED4F-8E6E-D4FE59EFFDD3}" type="presParOf" srcId="{00143A46-6EC7-E744-88A4-EAB589ABB713}" destId="{1F50304A-54C1-D64B-A784-148A45A3A2EF}" srcOrd="2" destOrd="0" presId="urn:microsoft.com/office/officeart/2005/8/layout/orgChart1"/>
    <dgm:cxn modelId="{8F20CEC9-09C3-9A4B-B17E-AF16B0D355F7}" type="presParOf" srcId="{C9A283EA-7F6C-634C-B2A2-F775C0F3DA6A}" destId="{69341A19-58B5-5C46-9A0E-F2C3FE7AD99B}" srcOrd="8" destOrd="0" presId="urn:microsoft.com/office/officeart/2005/8/layout/orgChart1"/>
    <dgm:cxn modelId="{247701AC-7133-2640-881C-B9E80AA187AE}" type="presParOf" srcId="{C9A283EA-7F6C-634C-B2A2-F775C0F3DA6A}" destId="{5AFEE6CD-7368-A14B-9351-675E53A66E64}" srcOrd="9" destOrd="0" presId="urn:microsoft.com/office/officeart/2005/8/layout/orgChart1"/>
    <dgm:cxn modelId="{BC8061D0-19D1-8D43-BC9B-7B3E2E2EB1D1}" type="presParOf" srcId="{5AFEE6CD-7368-A14B-9351-675E53A66E64}" destId="{CA0F6346-0F08-B346-8E3F-6D033AD28118}" srcOrd="0" destOrd="0" presId="urn:microsoft.com/office/officeart/2005/8/layout/orgChart1"/>
    <dgm:cxn modelId="{5B3429F3-C794-AA4D-89D5-AB272AB37A34}" type="presParOf" srcId="{CA0F6346-0F08-B346-8E3F-6D033AD28118}" destId="{EF314498-E038-C249-AD3A-90C431E77D35}" srcOrd="0" destOrd="0" presId="urn:microsoft.com/office/officeart/2005/8/layout/orgChart1"/>
    <dgm:cxn modelId="{909FEAC1-9351-7C4E-8CC1-41926BE98257}" type="presParOf" srcId="{CA0F6346-0F08-B346-8E3F-6D033AD28118}" destId="{B97DBD5C-AD09-6345-A8C9-AEDCF49B09FF}" srcOrd="1" destOrd="0" presId="urn:microsoft.com/office/officeart/2005/8/layout/orgChart1"/>
    <dgm:cxn modelId="{636F3C1C-6368-184A-83EA-2BBCA9A6D9CF}" type="presParOf" srcId="{5AFEE6CD-7368-A14B-9351-675E53A66E64}" destId="{AEFB2197-2CAA-AE4A-BD1E-D0CF949EF193}" srcOrd="1" destOrd="0" presId="urn:microsoft.com/office/officeart/2005/8/layout/orgChart1"/>
    <dgm:cxn modelId="{25D28FA6-AFC5-B749-9D27-BEDE8B69D5D7}" type="presParOf" srcId="{5AFEE6CD-7368-A14B-9351-675E53A66E64}" destId="{8E3BCA3D-02D7-7C4A-9574-42F51C232684}" srcOrd="2" destOrd="0" presId="urn:microsoft.com/office/officeart/2005/8/layout/orgChart1"/>
    <dgm:cxn modelId="{26DA5602-57EA-8641-94EB-CB4BE5302598}" type="presParOf" srcId="{CE980211-D3F7-C546-A01B-66169D70A056}" destId="{D708BB38-77C8-DA43-8C0B-DAB7381327A4}" srcOrd="2" destOrd="0" presId="urn:microsoft.com/office/officeart/2005/8/layout/orgChart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87F2D8-A05E-DE4E-B8B5-25012B062AB5}">
      <dsp:nvSpPr>
        <dsp:cNvPr id="0" name=""/>
        <dsp:cNvSpPr/>
      </dsp:nvSpPr>
      <dsp:spPr>
        <a:xfrm rot="5400000">
          <a:off x="810381" y="594013"/>
          <a:ext cx="531235" cy="604792"/>
        </a:xfrm>
        <a:prstGeom prst="bentUpArrow">
          <a:avLst>
            <a:gd name="adj1" fmla="val 32840"/>
            <a:gd name="adj2" fmla="val 25000"/>
            <a:gd name="adj3" fmla="val 35780"/>
          </a:avLst>
        </a:prstGeom>
        <a:solidFill>
          <a:schemeClr val="dk1">
            <a:tint val="4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C3BECAE-15DB-E04B-8024-E5C458F50B30}">
      <dsp:nvSpPr>
        <dsp:cNvPr id="0" name=""/>
        <dsp:cNvSpPr/>
      </dsp:nvSpPr>
      <dsp:spPr>
        <a:xfrm>
          <a:off x="669636" y="5128"/>
          <a:ext cx="894287" cy="625972"/>
        </a:xfrm>
        <a:prstGeom prst="roundRect">
          <a:avLst>
            <a:gd name="adj" fmla="val 1667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kern="1200"/>
            <a:t>218 Charts</a:t>
          </a:r>
        </a:p>
      </dsp:txBody>
      <dsp:txXfrm>
        <a:off x="700199" y="35691"/>
        <a:ext cx="833161" cy="564846"/>
      </dsp:txXfrm>
    </dsp:sp>
    <dsp:sp modelId="{D5F1607C-4586-3042-A3D7-5B83A698ECDC}">
      <dsp:nvSpPr>
        <dsp:cNvPr id="0" name=""/>
        <dsp:cNvSpPr/>
      </dsp:nvSpPr>
      <dsp:spPr>
        <a:xfrm>
          <a:off x="1563924" y="64829"/>
          <a:ext cx="650419" cy="50593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4290" tIns="34290" rIns="34290" bIns="34290" numCol="1" spcCol="1270" anchor="ctr" anchorCtr="0">
          <a:noAutofit/>
        </a:bodyPr>
        <a:lstStyle/>
        <a:p>
          <a:pPr marL="57150" lvl="1" indent="-57150" algn="ctr" defTabSz="311150">
            <a:lnSpc>
              <a:spcPct val="90000"/>
            </a:lnSpc>
            <a:spcBef>
              <a:spcPct val="0"/>
            </a:spcBef>
            <a:spcAft>
              <a:spcPct val="15000"/>
            </a:spcAft>
            <a:buChar char="•"/>
          </a:pPr>
          <a:r>
            <a:rPr lang="en-US" sz="700" kern="1200"/>
            <a:t>16 implant failure</a:t>
          </a:r>
        </a:p>
        <a:p>
          <a:pPr marL="57150" lvl="1" indent="-57150" algn="ctr" defTabSz="311150">
            <a:lnSpc>
              <a:spcPct val="90000"/>
            </a:lnSpc>
            <a:spcBef>
              <a:spcPct val="0"/>
            </a:spcBef>
            <a:spcAft>
              <a:spcPct val="15000"/>
            </a:spcAft>
            <a:buChar char="•"/>
          </a:pPr>
          <a:r>
            <a:rPr lang="en-US" sz="700" kern="1200"/>
            <a:t>Exclusion Criteria</a:t>
          </a:r>
        </a:p>
      </dsp:txBody>
      <dsp:txXfrm>
        <a:off x="1563924" y="64829"/>
        <a:ext cx="650419" cy="505938"/>
      </dsp:txXfrm>
    </dsp:sp>
    <dsp:sp modelId="{0ED13CE0-B8B7-564E-A2B3-D46B0F09448A}">
      <dsp:nvSpPr>
        <dsp:cNvPr id="0" name=""/>
        <dsp:cNvSpPr/>
      </dsp:nvSpPr>
      <dsp:spPr>
        <a:xfrm>
          <a:off x="1411095" y="708302"/>
          <a:ext cx="894287" cy="625972"/>
        </a:xfrm>
        <a:prstGeom prst="roundRect">
          <a:avLst>
            <a:gd name="adj" fmla="val 1667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kern="1200"/>
            <a:t>155 Charts</a:t>
          </a:r>
        </a:p>
      </dsp:txBody>
      <dsp:txXfrm>
        <a:off x="1441658" y="738865"/>
        <a:ext cx="833161" cy="56484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341A19-58B5-5C46-9A0E-F2C3FE7AD99B}">
      <dsp:nvSpPr>
        <dsp:cNvPr id="0" name=""/>
        <dsp:cNvSpPr/>
      </dsp:nvSpPr>
      <dsp:spPr>
        <a:xfrm>
          <a:off x="3193960" y="998958"/>
          <a:ext cx="2646597" cy="229663"/>
        </a:xfrm>
        <a:custGeom>
          <a:avLst/>
          <a:gdLst/>
          <a:ahLst/>
          <a:cxnLst/>
          <a:rect l="0" t="0" r="0" b="0"/>
          <a:pathLst>
            <a:path>
              <a:moveTo>
                <a:pt x="0" y="0"/>
              </a:moveTo>
              <a:lnTo>
                <a:pt x="0" y="114831"/>
              </a:lnTo>
              <a:lnTo>
                <a:pt x="2646597" y="114831"/>
              </a:lnTo>
              <a:lnTo>
                <a:pt x="2646597" y="22966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D05E75A-8FA0-C34D-8F0E-B6300ED90534}">
      <dsp:nvSpPr>
        <dsp:cNvPr id="0" name=""/>
        <dsp:cNvSpPr/>
      </dsp:nvSpPr>
      <dsp:spPr>
        <a:xfrm>
          <a:off x="3193960" y="998958"/>
          <a:ext cx="1323298" cy="229663"/>
        </a:xfrm>
        <a:custGeom>
          <a:avLst/>
          <a:gdLst/>
          <a:ahLst/>
          <a:cxnLst/>
          <a:rect l="0" t="0" r="0" b="0"/>
          <a:pathLst>
            <a:path>
              <a:moveTo>
                <a:pt x="0" y="0"/>
              </a:moveTo>
              <a:lnTo>
                <a:pt x="0" y="114831"/>
              </a:lnTo>
              <a:lnTo>
                <a:pt x="1323298" y="114831"/>
              </a:lnTo>
              <a:lnTo>
                <a:pt x="1323298" y="22966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9B7AC22-DC94-3B44-AA43-4727564B1CDD}">
      <dsp:nvSpPr>
        <dsp:cNvPr id="0" name=""/>
        <dsp:cNvSpPr/>
      </dsp:nvSpPr>
      <dsp:spPr>
        <a:xfrm>
          <a:off x="3148240" y="998958"/>
          <a:ext cx="91440" cy="229663"/>
        </a:xfrm>
        <a:custGeom>
          <a:avLst/>
          <a:gdLst/>
          <a:ahLst/>
          <a:cxnLst/>
          <a:rect l="0" t="0" r="0" b="0"/>
          <a:pathLst>
            <a:path>
              <a:moveTo>
                <a:pt x="45720" y="0"/>
              </a:moveTo>
              <a:lnTo>
                <a:pt x="45720" y="22966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3C61A9F-2003-434E-A604-154A4942281F}">
      <dsp:nvSpPr>
        <dsp:cNvPr id="0" name=""/>
        <dsp:cNvSpPr/>
      </dsp:nvSpPr>
      <dsp:spPr>
        <a:xfrm>
          <a:off x="1870661" y="998958"/>
          <a:ext cx="1323298" cy="229663"/>
        </a:xfrm>
        <a:custGeom>
          <a:avLst/>
          <a:gdLst/>
          <a:ahLst/>
          <a:cxnLst/>
          <a:rect l="0" t="0" r="0" b="0"/>
          <a:pathLst>
            <a:path>
              <a:moveTo>
                <a:pt x="1323298" y="0"/>
              </a:moveTo>
              <a:lnTo>
                <a:pt x="1323298" y="114831"/>
              </a:lnTo>
              <a:lnTo>
                <a:pt x="0" y="114831"/>
              </a:lnTo>
              <a:lnTo>
                <a:pt x="0" y="22966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388037F-824E-7A4E-89B1-97DF058F0FE7}">
      <dsp:nvSpPr>
        <dsp:cNvPr id="0" name=""/>
        <dsp:cNvSpPr/>
      </dsp:nvSpPr>
      <dsp:spPr>
        <a:xfrm>
          <a:off x="547363" y="998958"/>
          <a:ext cx="2646597" cy="229663"/>
        </a:xfrm>
        <a:custGeom>
          <a:avLst/>
          <a:gdLst/>
          <a:ahLst/>
          <a:cxnLst/>
          <a:rect l="0" t="0" r="0" b="0"/>
          <a:pathLst>
            <a:path>
              <a:moveTo>
                <a:pt x="2646597" y="0"/>
              </a:moveTo>
              <a:lnTo>
                <a:pt x="2646597" y="114831"/>
              </a:lnTo>
              <a:lnTo>
                <a:pt x="0" y="114831"/>
              </a:lnTo>
              <a:lnTo>
                <a:pt x="0" y="22966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A18A43D-6C8F-4243-8F74-6A55B3F2E6A2}">
      <dsp:nvSpPr>
        <dsp:cNvPr id="0" name=""/>
        <dsp:cNvSpPr/>
      </dsp:nvSpPr>
      <dsp:spPr>
        <a:xfrm>
          <a:off x="2647142" y="452140"/>
          <a:ext cx="1093635" cy="5468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t>Peri-implant bone level</a:t>
          </a:r>
        </a:p>
      </dsp:txBody>
      <dsp:txXfrm>
        <a:off x="2647142" y="452140"/>
        <a:ext cx="1093635" cy="546817"/>
      </dsp:txXfrm>
    </dsp:sp>
    <dsp:sp modelId="{F4814398-9036-BE4C-8ED5-99312F545D50}">
      <dsp:nvSpPr>
        <dsp:cNvPr id="0" name=""/>
        <dsp:cNvSpPr/>
      </dsp:nvSpPr>
      <dsp:spPr>
        <a:xfrm>
          <a:off x="545" y="1228621"/>
          <a:ext cx="1093635" cy="5468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t>T0: Immediate implant placement</a:t>
          </a:r>
        </a:p>
      </dsp:txBody>
      <dsp:txXfrm>
        <a:off x="545" y="1228621"/>
        <a:ext cx="1093635" cy="546817"/>
      </dsp:txXfrm>
    </dsp:sp>
    <dsp:sp modelId="{B03CC5D6-0D0A-6D4A-89DB-56B26CA7ABB5}">
      <dsp:nvSpPr>
        <dsp:cNvPr id="0" name=""/>
        <dsp:cNvSpPr/>
      </dsp:nvSpPr>
      <dsp:spPr>
        <a:xfrm>
          <a:off x="1323844" y="1228621"/>
          <a:ext cx="1093635" cy="5468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t>T1: 3 month after implant placement</a:t>
          </a:r>
        </a:p>
      </dsp:txBody>
      <dsp:txXfrm>
        <a:off x="1323844" y="1228621"/>
        <a:ext cx="1093635" cy="546817"/>
      </dsp:txXfrm>
    </dsp:sp>
    <dsp:sp modelId="{E7C915D4-CC85-F24C-AD42-193BE0580AE2}">
      <dsp:nvSpPr>
        <dsp:cNvPr id="0" name=""/>
        <dsp:cNvSpPr/>
      </dsp:nvSpPr>
      <dsp:spPr>
        <a:xfrm>
          <a:off x="2647142" y="1228621"/>
          <a:ext cx="1093635" cy="5468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t>T2: Impression Visitt</a:t>
          </a:r>
        </a:p>
      </dsp:txBody>
      <dsp:txXfrm>
        <a:off x="2647142" y="1228621"/>
        <a:ext cx="1093635" cy="546817"/>
      </dsp:txXfrm>
    </dsp:sp>
    <dsp:sp modelId="{892B561B-BF73-274C-AF53-F1F1F614B975}">
      <dsp:nvSpPr>
        <dsp:cNvPr id="0" name=""/>
        <dsp:cNvSpPr/>
      </dsp:nvSpPr>
      <dsp:spPr>
        <a:xfrm>
          <a:off x="3970441" y="1228621"/>
          <a:ext cx="1093635" cy="5468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t>T3: Delivery of Final Prosthesis </a:t>
          </a:r>
        </a:p>
      </dsp:txBody>
      <dsp:txXfrm>
        <a:off x="3970441" y="1228621"/>
        <a:ext cx="1093635" cy="546817"/>
      </dsp:txXfrm>
    </dsp:sp>
    <dsp:sp modelId="{EF314498-E038-C249-AD3A-90C431E77D35}">
      <dsp:nvSpPr>
        <dsp:cNvPr id="0" name=""/>
        <dsp:cNvSpPr/>
      </dsp:nvSpPr>
      <dsp:spPr>
        <a:xfrm>
          <a:off x="5293740" y="1228621"/>
          <a:ext cx="1093635" cy="5468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t>T4: Follow up Peri-implant bone level post delivery</a:t>
          </a:r>
        </a:p>
      </dsp:txBody>
      <dsp:txXfrm>
        <a:off x="5293740" y="1228621"/>
        <a:ext cx="1093635" cy="546817"/>
      </dsp:txXfrm>
    </dsp:sp>
  </dsp:spTree>
</dsp:drawing>
</file>

<file path=word/diagrams/layout1.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262</TotalTime>
  <Pages>32</Pages>
  <Words>15466</Words>
  <Characters>88161</Characters>
  <Application>Microsoft Office Word</Application>
  <DocSecurity>0</DocSecurity>
  <Lines>734</Lines>
  <Paragraphs>206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Malek Mohammad, Nasser</dc:creator>
  <cp:keywords/>
  <dc:description/>
  <cp:lastModifiedBy>Malek Mohammad, Nasser</cp:lastModifiedBy>
  <cp:revision>13</cp:revision>
  <cp:lastPrinted>2025-06-11T17:58:00Z</cp:lastPrinted>
  <dcterms:created xsi:type="dcterms:W3CDTF">2025-02-05T20:47:00Z</dcterms:created>
  <dcterms:modified xsi:type="dcterms:W3CDTF">2025-06-16T03:47:00Z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zotero-version="7.0.15"&gt;&lt;session id="FuShLo0l"/&gt;&lt;style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