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38248F" w14:textId="2046DC5A" w:rsidR="00FE7D7F" w:rsidRPr="00183194" w:rsidRDefault="00FE7D7F" w:rsidP="00FE7D7F">
      <w:pPr>
        <w:jc w:val="right"/>
        <w:rPr>
          <w:rFonts w:ascii="Times New Roman" w:hAnsi="Times New Roman" w:cs="Times New Roman"/>
          <w:b/>
          <w:sz w:val="24"/>
          <w:szCs w:val="24"/>
        </w:rPr>
      </w:pPr>
      <w:r w:rsidRPr="00183194">
        <w:rPr>
          <w:rFonts w:ascii="Times New Roman" w:hAnsi="Times New Roman" w:cs="Times New Roman"/>
          <w:b/>
          <w:sz w:val="24"/>
          <w:szCs w:val="24"/>
        </w:rPr>
        <w:t xml:space="preserve">Edited </w:t>
      </w:r>
      <w:r w:rsidR="009C0C62">
        <w:rPr>
          <w:rFonts w:ascii="Times New Roman" w:hAnsi="Times New Roman" w:cs="Times New Roman"/>
          <w:b/>
          <w:sz w:val="24"/>
          <w:szCs w:val="24"/>
        </w:rPr>
        <w:t xml:space="preserve">12 </w:t>
      </w:r>
      <w:r w:rsidRPr="00183194">
        <w:rPr>
          <w:rFonts w:ascii="Times New Roman" w:hAnsi="Times New Roman" w:cs="Times New Roman"/>
          <w:b/>
          <w:sz w:val="24"/>
          <w:szCs w:val="24"/>
        </w:rPr>
        <w:t>May</w:t>
      </w:r>
      <w:r w:rsidR="001B7923">
        <w:rPr>
          <w:rFonts w:ascii="Times New Roman" w:hAnsi="Times New Roman" w:cs="Times New Roman"/>
          <w:b/>
          <w:sz w:val="24"/>
          <w:szCs w:val="24"/>
        </w:rPr>
        <w:t xml:space="preserve"> </w:t>
      </w:r>
      <w:r w:rsidRPr="00183194">
        <w:rPr>
          <w:rFonts w:ascii="Times New Roman" w:hAnsi="Times New Roman" w:cs="Times New Roman"/>
          <w:b/>
          <w:sz w:val="24"/>
          <w:szCs w:val="24"/>
        </w:rPr>
        <w:t>2021</w:t>
      </w:r>
    </w:p>
    <w:p w14:paraId="44DF581E" w14:textId="77777777" w:rsidR="00AC52B0" w:rsidRDefault="003F67FA" w:rsidP="00AC52B0">
      <w:pPr>
        <w:jc w:val="center"/>
        <w:rPr>
          <w:rFonts w:ascii="Times New Roman" w:hAnsi="Times New Roman" w:cs="Times New Roman"/>
          <w:b/>
          <w:sz w:val="28"/>
          <w:szCs w:val="28"/>
        </w:rPr>
      </w:pPr>
      <w:r>
        <w:rPr>
          <w:rFonts w:ascii="Times New Roman" w:hAnsi="Times New Roman" w:cs="Times New Roman"/>
          <w:b/>
          <w:sz w:val="28"/>
          <w:szCs w:val="28"/>
        </w:rPr>
        <w:t xml:space="preserve">Changes in </w:t>
      </w:r>
      <w:r w:rsidR="00FF7B6A" w:rsidRPr="003D2965">
        <w:rPr>
          <w:rFonts w:ascii="Times New Roman" w:hAnsi="Times New Roman" w:cs="Times New Roman"/>
          <w:b/>
          <w:sz w:val="28"/>
          <w:szCs w:val="28"/>
        </w:rPr>
        <w:t xml:space="preserve">Subjective </w:t>
      </w:r>
      <w:r w:rsidR="0053256C" w:rsidRPr="008269E4">
        <w:rPr>
          <w:rFonts w:ascii="Times New Roman" w:hAnsi="Times New Roman" w:cs="Times New Roman"/>
          <w:b/>
          <w:i/>
          <w:sz w:val="28"/>
          <w:szCs w:val="28"/>
        </w:rPr>
        <w:t xml:space="preserve">versus </w:t>
      </w:r>
      <w:r w:rsidR="0053256C">
        <w:rPr>
          <w:rFonts w:ascii="Times New Roman" w:hAnsi="Times New Roman" w:cs="Times New Roman"/>
          <w:b/>
          <w:sz w:val="28"/>
          <w:szCs w:val="28"/>
        </w:rPr>
        <w:t xml:space="preserve">Objective </w:t>
      </w:r>
      <w:r w:rsidR="00FF7B6A" w:rsidRPr="003D2965">
        <w:rPr>
          <w:rFonts w:ascii="Times New Roman" w:hAnsi="Times New Roman" w:cs="Times New Roman"/>
          <w:b/>
          <w:sz w:val="28"/>
          <w:szCs w:val="28"/>
        </w:rPr>
        <w:t>Well-Being in India</w:t>
      </w:r>
      <w:r w:rsidR="00AC52B0">
        <w:rPr>
          <w:rStyle w:val="FootnoteReference"/>
          <w:rFonts w:ascii="Times New Roman" w:hAnsi="Times New Roman" w:cs="Times New Roman"/>
          <w:b/>
          <w:sz w:val="24"/>
          <w:szCs w:val="24"/>
        </w:rPr>
        <w:footnoteReference w:id="1"/>
      </w:r>
    </w:p>
    <w:p w14:paraId="47444C64" w14:textId="77777777" w:rsidR="00D745DD" w:rsidRDefault="00D745DD" w:rsidP="00AC52B0">
      <w:pPr>
        <w:jc w:val="center"/>
        <w:rPr>
          <w:rFonts w:ascii="Times New Roman" w:hAnsi="Times New Roman" w:cs="Times New Roman"/>
          <w:b/>
          <w:sz w:val="24"/>
          <w:szCs w:val="24"/>
        </w:rPr>
      </w:pPr>
    </w:p>
    <w:p w14:paraId="22337BD6" w14:textId="77777777" w:rsidR="00FF7B6A" w:rsidRPr="008269E4" w:rsidRDefault="00FF7B6A">
      <w:pPr>
        <w:jc w:val="center"/>
        <w:rPr>
          <w:rFonts w:ascii="Times New Roman" w:hAnsi="Times New Roman" w:cs="Times New Roman"/>
        </w:rPr>
      </w:pPr>
      <w:r w:rsidRPr="008269E4">
        <w:rPr>
          <w:rFonts w:ascii="Times New Roman" w:hAnsi="Times New Roman" w:cs="Times New Roman"/>
        </w:rPr>
        <w:t xml:space="preserve">Vani S. </w:t>
      </w:r>
      <w:proofErr w:type="spellStart"/>
      <w:r w:rsidRPr="008269E4">
        <w:rPr>
          <w:rFonts w:ascii="Times New Roman" w:hAnsi="Times New Roman" w:cs="Times New Roman"/>
        </w:rPr>
        <w:t>Kulkarni</w:t>
      </w:r>
      <w:proofErr w:type="gramStart"/>
      <w:r w:rsidR="00D745DD" w:rsidRPr="008269E4">
        <w:rPr>
          <w:rFonts w:ascii="Times New Roman" w:hAnsi="Times New Roman" w:cs="Times New Roman"/>
        </w:rPr>
        <w:t>,</w:t>
      </w:r>
      <w:r w:rsidRPr="008269E4">
        <w:rPr>
          <w:rFonts w:ascii="Times New Roman" w:hAnsi="Times New Roman" w:cs="Times New Roman"/>
          <w:iCs/>
        </w:rPr>
        <w:t>University</w:t>
      </w:r>
      <w:proofErr w:type="spellEnd"/>
      <w:proofErr w:type="gramEnd"/>
      <w:r w:rsidRPr="008269E4">
        <w:rPr>
          <w:rFonts w:ascii="Times New Roman" w:hAnsi="Times New Roman" w:cs="Times New Roman"/>
          <w:iCs/>
        </w:rPr>
        <w:t xml:space="preserve"> of Pennsylvania</w:t>
      </w:r>
      <w:r w:rsidRPr="008269E4">
        <w:rPr>
          <w:rFonts w:ascii="Times New Roman" w:hAnsi="Times New Roman" w:cs="Times New Roman"/>
        </w:rPr>
        <w:t xml:space="preserve">, </w:t>
      </w:r>
      <w:hyperlink r:id="rId9" w:history="1">
        <w:r w:rsidRPr="008269E4">
          <w:rPr>
            <w:rStyle w:val="Hyperlink"/>
            <w:rFonts w:ascii="Times New Roman" w:hAnsi="Times New Roman" w:cs="Times New Roman"/>
          </w:rPr>
          <w:t>vanik@sas.upenn.edu</w:t>
        </w:r>
      </w:hyperlink>
      <w:r w:rsidRPr="008269E4">
        <w:rPr>
          <w:rFonts w:ascii="Times New Roman" w:hAnsi="Times New Roman" w:cs="Times New Roman"/>
        </w:rPr>
        <w:t>,</w:t>
      </w:r>
    </w:p>
    <w:p w14:paraId="2C227C9D" w14:textId="77777777" w:rsidR="00FF7B6A" w:rsidRPr="008269E4" w:rsidRDefault="00FF7B6A">
      <w:pPr>
        <w:jc w:val="center"/>
        <w:rPr>
          <w:rFonts w:ascii="Times New Roman" w:hAnsi="Times New Roman" w:cs="Times New Roman"/>
        </w:rPr>
      </w:pPr>
      <w:proofErr w:type="spellStart"/>
      <w:r w:rsidRPr="008269E4">
        <w:rPr>
          <w:rFonts w:ascii="Times New Roman" w:hAnsi="Times New Roman" w:cs="Times New Roman"/>
        </w:rPr>
        <w:t>Veena</w:t>
      </w:r>
      <w:proofErr w:type="spellEnd"/>
      <w:r w:rsidRPr="008269E4">
        <w:rPr>
          <w:rFonts w:ascii="Times New Roman" w:hAnsi="Times New Roman" w:cs="Times New Roman"/>
        </w:rPr>
        <w:t xml:space="preserve"> S. Kulkarni</w:t>
      </w:r>
      <w:r w:rsidR="00D745DD" w:rsidRPr="008269E4">
        <w:rPr>
          <w:rFonts w:ascii="Times New Roman" w:hAnsi="Times New Roman" w:cs="Times New Roman"/>
        </w:rPr>
        <w:t>,</w:t>
      </w:r>
      <w:r w:rsidR="006C5415">
        <w:rPr>
          <w:rFonts w:ascii="Times New Roman" w:hAnsi="Times New Roman" w:cs="Times New Roman"/>
        </w:rPr>
        <w:t xml:space="preserve"> </w:t>
      </w:r>
      <w:r w:rsidRPr="008269E4">
        <w:rPr>
          <w:rFonts w:ascii="Times New Roman" w:hAnsi="Times New Roman" w:cs="Times New Roman"/>
          <w:iCs/>
        </w:rPr>
        <w:t>Arkansas State University - Main Campus</w:t>
      </w:r>
      <w:r w:rsidRPr="008269E4">
        <w:rPr>
          <w:rFonts w:ascii="Times New Roman" w:hAnsi="Times New Roman" w:cs="Times New Roman"/>
        </w:rPr>
        <w:t xml:space="preserve">, </w:t>
      </w:r>
      <w:hyperlink r:id="rId10" w:history="1">
        <w:r w:rsidRPr="008269E4">
          <w:rPr>
            <w:rStyle w:val="Hyperlink"/>
            <w:rFonts w:ascii="Times New Roman" w:hAnsi="Times New Roman" w:cs="Times New Roman"/>
          </w:rPr>
          <w:t>vkulkarni@astate.edu</w:t>
        </w:r>
      </w:hyperlink>
      <w:r w:rsidRPr="008269E4">
        <w:rPr>
          <w:rFonts w:ascii="Times New Roman" w:hAnsi="Times New Roman" w:cs="Times New Roman"/>
        </w:rPr>
        <w:t>,</w:t>
      </w:r>
    </w:p>
    <w:p w14:paraId="42134B88" w14:textId="77777777" w:rsidR="00907521" w:rsidRPr="008269E4" w:rsidRDefault="00907521">
      <w:pPr>
        <w:jc w:val="center"/>
        <w:rPr>
          <w:rFonts w:ascii="Times New Roman" w:hAnsi="Times New Roman" w:cs="Times New Roman"/>
        </w:rPr>
      </w:pPr>
      <w:r w:rsidRPr="008269E4">
        <w:rPr>
          <w:rFonts w:ascii="Times New Roman" w:hAnsi="Times New Roman" w:cs="Times New Roman"/>
        </w:rPr>
        <w:t>Katsushi S. Imai</w:t>
      </w:r>
      <w:r w:rsidR="00D745DD" w:rsidRPr="008269E4">
        <w:rPr>
          <w:rFonts w:ascii="Times New Roman" w:hAnsi="Times New Roman" w:cs="Times New Roman"/>
        </w:rPr>
        <w:t xml:space="preserve">, </w:t>
      </w:r>
      <w:r w:rsidRPr="008269E4">
        <w:rPr>
          <w:rFonts w:ascii="Times New Roman" w:hAnsi="Times New Roman" w:cs="Times New Roman"/>
        </w:rPr>
        <w:t xml:space="preserve">University of Manchester, </w:t>
      </w:r>
      <w:hyperlink r:id="rId11" w:history="1">
        <w:r w:rsidR="005118A6" w:rsidRPr="008269E4">
          <w:rPr>
            <w:rStyle w:val="Hyperlink"/>
            <w:rFonts w:ascii="Times New Roman" w:hAnsi="Times New Roman" w:cs="Times New Roman"/>
          </w:rPr>
          <w:t>Katsushi.Imai@manchester.ac.uk</w:t>
        </w:r>
      </w:hyperlink>
    </w:p>
    <w:p w14:paraId="79457898" w14:textId="77777777" w:rsidR="00907521" w:rsidRPr="008269E4" w:rsidRDefault="00907521">
      <w:pPr>
        <w:jc w:val="center"/>
        <w:rPr>
          <w:rStyle w:val="Hyperlink"/>
          <w:rFonts w:ascii="Times New Roman" w:hAnsi="Times New Roman" w:cs="Times New Roman"/>
        </w:rPr>
      </w:pPr>
      <w:proofErr w:type="spellStart"/>
      <w:r w:rsidRPr="008269E4">
        <w:rPr>
          <w:rFonts w:ascii="Times New Roman" w:hAnsi="Times New Roman" w:cs="Times New Roman"/>
        </w:rPr>
        <w:t>Raghav</w:t>
      </w:r>
      <w:proofErr w:type="spellEnd"/>
      <w:r w:rsidR="006C5415">
        <w:rPr>
          <w:rFonts w:ascii="Times New Roman" w:hAnsi="Times New Roman" w:cs="Times New Roman"/>
        </w:rPr>
        <w:t xml:space="preserve"> </w:t>
      </w:r>
      <w:proofErr w:type="spellStart"/>
      <w:r w:rsidRPr="008269E4">
        <w:rPr>
          <w:rFonts w:ascii="Times New Roman" w:hAnsi="Times New Roman" w:cs="Times New Roman"/>
        </w:rPr>
        <w:t>Gaiha</w:t>
      </w:r>
      <w:proofErr w:type="spellEnd"/>
      <w:r w:rsidR="00D745DD" w:rsidRPr="008269E4">
        <w:rPr>
          <w:rStyle w:val="FootnoteReference"/>
          <w:rFonts w:ascii="Times New Roman" w:hAnsi="Times New Roman" w:cs="Times New Roman"/>
        </w:rPr>
        <w:footnoteReference w:id="2"/>
      </w:r>
      <w:r w:rsidR="00D745DD" w:rsidRPr="008269E4">
        <w:rPr>
          <w:rFonts w:ascii="Times New Roman" w:hAnsi="Times New Roman" w:cs="Times New Roman"/>
        </w:rPr>
        <w:t xml:space="preserve">, </w:t>
      </w:r>
      <w:r w:rsidRPr="008269E4">
        <w:rPr>
          <w:rFonts w:ascii="Times New Roman" w:hAnsi="Times New Roman" w:cs="Times New Roman"/>
          <w:iCs/>
        </w:rPr>
        <w:t xml:space="preserve">University of Pennsylvania </w:t>
      </w:r>
      <w:r w:rsidR="005118A6" w:rsidRPr="008269E4">
        <w:rPr>
          <w:rFonts w:ascii="Times New Roman" w:hAnsi="Times New Roman" w:cs="Times New Roman"/>
          <w:iCs/>
        </w:rPr>
        <w:t xml:space="preserve">and </w:t>
      </w:r>
      <w:r w:rsidRPr="008269E4">
        <w:rPr>
          <w:rFonts w:ascii="Times New Roman" w:hAnsi="Times New Roman" w:cs="Times New Roman"/>
          <w:iCs/>
        </w:rPr>
        <w:t>GDI University of Manchester</w:t>
      </w:r>
      <w:r w:rsidRPr="008269E4">
        <w:rPr>
          <w:rFonts w:ascii="Times New Roman" w:hAnsi="Times New Roman" w:cs="Times New Roman"/>
        </w:rPr>
        <w:t xml:space="preserve">, </w:t>
      </w:r>
      <w:hyperlink r:id="rId12" w:history="1">
        <w:r w:rsidR="005118A6" w:rsidRPr="008269E4">
          <w:rPr>
            <w:rStyle w:val="Hyperlink"/>
            <w:rFonts w:ascii="Times New Roman" w:hAnsi="Times New Roman" w:cs="Times New Roman"/>
          </w:rPr>
          <w:t>raghavdasgaiha@gmail.com</w:t>
        </w:r>
      </w:hyperlink>
    </w:p>
    <w:p w14:paraId="79305767" w14:textId="77777777" w:rsidR="00F069D2" w:rsidRDefault="00F069D2" w:rsidP="001326B5">
      <w:pPr>
        <w:jc w:val="center"/>
        <w:rPr>
          <w:rFonts w:ascii="Times New Roman" w:hAnsi="Times New Roman" w:cs="Times New Roman"/>
          <w:b/>
        </w:rPr>
      </w:pPr>
    </w:p>
    <w:p w14:paraId="4E95F1BE" w14:textId="77777777" w:rsidR="00FF7B6A" w:rsidRPr="008269E4" w:rsidRDefault="00907521" w:rsidP="001326B5">
      <w:pPr>
        <w:jc w:val="center"/>
        <w:rPr>
          <w:rFonts w:ascii="Times New Roman" w:hAnsi="Times New Roman" w:cs="Times New Roman"/>
          <w:b/>
        </w:rPr>
      </w:pPr>
      <w:r w:rsidRPr="008269E4">
        <w:rPr>
          <w:rFonts w:ascii="Times New Roman" w:hAnsi="Times New Roman" w:cs="Times New Roman"/>
          <w:b/>
        </w:rPr>
        <w:t>Abstract</w:t>
      </w:r>
    </w:p>
    <w:p w14:paraId="6967F271" w14:textId="0A95D970" w:rsidR="00A0304D" w:rsidRPr="00D745DD" w:rsidRDefault="00A0304D" w:rsidP="00180B95">
      <w:pPr>
        <w:ind w:left="567" w:right="567"/>
        <w:jc w:val="both"/>
        <w:rPr>
          <w:rFonts w:ascii="Times New Roman" w:hAnsi="Times New Roman" w:cs="Times New Roman"/>
        </w:rPr>
      </w:pPr>
      <w:r w:rsidRPr="00E46895">
        <w:rPr>
          <w:rFonts w:ascii="Times New Roman" w:hAnsi="Times New Roman" w:cs="Times New Roman"/>
        </w:rPr>
        <w:t xml:space="preserve">Although there is abundant literature on subjective well-being (SWB), there is </w:t>
      </w:r>
      <w:r w:rsidR="00462259" w:rsidRPr="00D745DD">
        <w:rPr>
          <w:rFonts w:ascii="Times New Roman" w:hAnsi="Times New Roman" w:cs="Times New Roman"/>
        </w:rPr>
        <w:t xml:space="preserve">virtually </w:t>
      </w:r>
      <w:r w:rsidRPr="00D745DD">
        <w:rPr>
          <w:rFonts w:ascii="Times New Roman" w:hAnsi="Times New Roman" w:cs="Times New Roman"/>
        </w:rPr>
        <w:t>none for India. Growing recognition of the validity and accuracy of measures of SWB of well-being underlies the rapid growth of literature on SWB in recent decades</w:t>
      </w:r>
      <w:r w:rsidR="00323881">
        <w:rPr>
          <w:rFonts w:ascii="Times New Roman" w:hAnsi="Times New Roman" w:cs="Times New Roman"/>
        </w:rPr>
        <w:t xml:space="preserve"> </w:t>
      </w:r>
      <w:r w:rsidR="00D54E8E" w:rsidRPr="00D745DD">
        <w:rPr>
          <w:rFonts w:ascii="Times New Roman" w:hAnsi="Times New Roman" w:cs="Times New Roman"/>
        </w:rPr>
        <w:t xml:space="preserve">but it has mainly focused </w:t>
      </w:r>
      <w:r w:rsidR="0057490F" w:rsidRPr="00D745DD">
        <w:rPr>
          <w:rFonts w:ascii="Times New Roman" w:hAnsi="Times New Roman" w:cs="Times New Roman"/>
        </w:rPr>
        <w:t xml:space="preserve">on developed countries. </w:t>
      </w:r>
      <w:r w:rsidRPr="00D745DD">
        <w:rPr>
          <w:rFonts w:ascii="Times New Roman" w:hAnsi="Times New Roman" w:cs="Times New Roman"/>
        </w:rPr>
        <w:t>Ours is</w:t>
      </w:r>
      <w:r w:rsidR="00462259" w:rsidRPr="00D745DD">
        <w:rPr>
          <w:rFonts w:ascii="Times New Roman" w:hAnsi="Times New Roman" w:cs="Times New Roman"/>
        </w:rPr>
        <w:t xml:space="preserve">, to our knowledge, </w:t>
      </w:r>
      <w:r w:rsidRPr="00D745DD">
        <w:rPr>
          <w:rFonts w:ascii="Times New Roman" w:hAnsi="Times New Roman" w:cs="Times New Roman"/>
        </w:rPr>
        <w:t xml:space="preserve">the first study of SWB at </w:t>
      </w:r>
      <w:r w:rsidR="00070B95" w:rsidRPr="00D745DD">
        <w:rPr>
          <w:rFonts w:ascii="Times New Roman" w:hAnsi="Times New Roman" w:cs="Times New Roman"/>
        </w:rPr>
        <w:t xml:space="preserve">the </w:t>
      </w:r>
      <w:r w:rsidRPr="00D745DD">
        <w:rPr>
          <w:rFonts w:ascii="Times New Roman" w:hAnsi="Times New Roman" w:cs="Times New Roman"/>
        </w:rPr>
        <w:t>all-India level</w:t>
      </w:r>
      <w:r w:rsidR="0057490F" w:rsidRPr="00D745DD">
        <w:rPr>
          <w:rFonts w:ascii="Times New Roman" w:hAnsi="Times New Roman" w:cs="Times New Roman"/>
        </w:rPr>
        <w:t>, and one of the few on developing countries</w:t>
      </w:r>
      <w:r w:rsidR="009C0C62">
        <w:rPr>
          <w:rFonts w:ascii="Times New Roman" w:hAnsi="Times New Roman" w:cs="Times New Roman"/>
        </w:rPr>
        <w:t>, with a rigorous validation of the results</w:t>
      </w:r>
      <w:r w:rsidR="0057490F" w:rsidRPr="00D745DD">
        <w:rPr>
          <w:rFonts w:ascii="Times New Roman" w:hAnsi="Times New Roman" w:cs="Times New Roman"/>
        </w:rPr>
        <w:t xml:space="preserve">. </w:t>
      </w:r>
      <w:r w:rsidR="00E7488D" w:rsidRPr="00D745DD">
        <w:rPr>
          <w:rFonts w:ascii="Times New Roman" w:hAnsi="Times New Roman" w:cs="Times New Roman"/>
        </w:rPr>
        <w:t xml:space="preserve">Applying </w:t>
      </w:r>
      <w:r w:rsidR="0056045F" w:rsidRPr="00D745DD">
        <w:rPr>
          <w:rFonts w:ascii="Times New Roman" w:hAnsi="Times New Roman" w:cs="Times New Roman"/>
        </w:rPr>
        <w:t xml:space="preserve">robust OLS and ordered </w:t>
      </w:r>
      <w:proofErr w:type="spellStart"/>
      <w:r w:rsidR="0056045F" w:rsidRPr="00D745DD">
        <w:rPr>
          <w:rFonts w:ascii="Times New Roman" w:hAnsi="Times New Roman" w:cs="Times New Roman"/>
        </w:rPr>
        <w:t>probit</w:t>
      </w:r>
      <w:proofErr w:type="spellEnd"/>
      <w:r w:rsidR="0056045F" w:rsidRPr="00D745DD">
        <w:rPr>
          <w:rFonts w:ascii="Times New Roman" w:hAnsi="Times New Roman" w:cs="Times New Roman"/>
        </w:rPr>
        <w:t xml:space="preserve"> models to </w:t>
      </w:r>
      <w:r w:rsidR="00CE773A" w:rsidRPr="00D745DD">
        <w:rPr>
          <w:rFonts w:ascii="Times New Roman" w:hAnsi="Times New Roman" w:cs="Times New Roman"/>
        </w:rPr>
        <w:t>t</w:t>
      </w:r>
      <w:r w:rsidR="00070B95" w:rsidRPr="00D745DD">
        <w:rPr>
          <w:rFonts w:ascii="Times New Roman" w:hAnsi="Times New Roman" w:cs="Times New Roman"/>
        </w:rPr>
        <w:t>he</w:t>
      </w:r>
      <w:r w:rsidR="00CE773A" w:rsidRPr="00D745DD">
        <w:rPr>
          <w:rFonts w:ascii="Times New Roman" w:hAnsi="Times New Roman" w:cs="Times New Roman"/>
        </w:rPr>
        <w:t xml:space="preserve"> India Human Development Survey</w:t>
      </w:r>
      <w:r w:rsidR="0056045F" w:rsidRPr="00D745DD">
        <w:rPr>
          <w:rFonts w:ascii="Times New Roman" w:hAnsi="Times New Roman" w:cs="Times New Roman"/>
        </w:rPr>
        <w:t xml:space="preserve"> (IHDS) panel data </w:t>
      </w:r>
      <w:r w:rsidR="004A516F" w:rsidRPr="00D745DD">
        <w:rPr>
          <w:rFonts w:ascii="Times New Roman" w:hAnsi="Times New Roman" w:cs="Times New Roman"/>
        </w:rPr>
        <w:t xml:space="preserve">in </w:t>
      </w:r>
      <w:r w:rsidR="00CE773A" w:rsidRPr="00D745DD">
        <w:rPr>
          <w:rFonts w:ascii="Times New Roman" w:hAnsi="Times New Roman" w:cs="Times New Roman"/>
        </w:rPr>
        <w:t xml:space="preserve">2005 and </w:t>
      </w:r>
      <w:proofErr w:type="gramStart"/>
      <w:r w:rsidR="00CE773A" w:rsidRPr="00D745DD">
        <w:rPr>
          <w:rFonts w:ascii="Times New Roman" w:hAnsi="Times New Roman" w:cs="Times New Roman"/>
        </w:rPr>
        <w:t>2012</w:t>
      </w:r>
      <w:r w:rsidR="004A516F" w:rsidRPr="00D745DD">
        <w:rPr>
          <w:rFonts w:ascii="Times New Roman" w:hAnsi="Times New Roman" w:cs="Times New Roman"/>
        </w:rPr>
        <w:t>,</w:t>
      </w:r>
      <w:proofErr w:type="gramEnd"/>
      <w:r w:rsidR="004A516F" w:rsidRPr="00D745DD">
        <w:rPr>
          <w:rFonts w:ascii="Times New Roman" w:hAnsi="Times New Roman" w:cs="Times New Roman"/>
        </w:rPr>
        <w:t xml:space="preserve"> </w:t>
      </w:r>
      <w:r w:rsidR="00D54E8E" w:rsidRPr="00D745DD">
        <w:rPr>
          <w:rFonts w:ascii="Times New Roman" w:hAnsi="Times New Roman" w:cs="Times New Roman"/>
        </w:rPr>
        <w:t xml:space="preserve">we </w:t>
      </w:r>
      <w:r w:rsidR="00F90917">
        <w:rPr>
          <w:rFonts w:ascii="Times New Roman" w:hAnsi="Times New Roman" w:cs="Times New Roman"/>
        </w:rPr>
        <w:t>assess</w:t>
      </w:r>
      <w:r w:rsidR="00CE773A" w:rsidRPr="00D745DD">
        <w:rPr>
          <w:rFonts w:ascii="Times New Roman" w:hAnsi="Times New Roman" w:cs="Times New Roman"/>
        </w:rPr>
        <w:t xml:space="preserve"> SWB </w:t>
      </w:r>
      <w:r w:rsidR="00CE773A" w:rsidRPr="008269E4">
        <w:rPr>
          <w:rFonts w:ascii="Times New Roman" w:hAnsi="Times New Roman" w:cs="Times New Roman"/>
          <w:i/>
        </w:rPr>
        <w:t>changes</w:t>
      </w:r>
      <w:r w:rsidR="00323881">
        <w:rPr>
          <w:rFonts w:ascii="Times New Roman" w:hAnsi="Times New Roman" w:cs="Times New Roman"/>
          <w:i/>
        </w:rPr>
        <w:t xml:space="preserve"> </w:t>
      </w:r>
      <w:r w:rsidR="0056045F" w:rsidRPr="00D745DD">
        <w:rPr>
          <w:rFonts w:ascii="Times New Roman" w:hAnsi="Times New Roman" w:cs="Times New Roman"/>
        </w:rPr>
        <w:t>in 2005-2012</w:t>
      </w:r>
      <w:r w:rsidR="00F90917">
        <w:rPr>
          <w:rFonts w:ascii="Times New Roman" w:hAnsi="Times New Roman" w:cs="Times New Roman"/>
        </w:rPr>
        <w:t>,</w:t>
      </w:r>
      <w:r w:rsidR="002D43A2">
        <w:rPr>
          <w:rFonts w:ascii="Times New Roman" w:hAnsi="Times New Roman" w:cs="Times New Roman"/>
        </w:rPr>
        <w:t xml:space="preserve"> </w:t>
      </w:r>
      <w:r w:rsidR="004A516F" w:rsidRPr="00D745DD">
        <w:rPr>
          <w:rFonts w:ascii="Times New Roman" w:hAnsi="Times New Roman" w:cs="Times New Roman"/>
        </w:rPr>
        <w:t>based on a self-reported measure of changes in economic well-being</w:t>
      </w:r>
      <w:r w:rsidR="00F90917">
        <w:rPr>
          <w:rFonts w:ascii="Times New Roman" w:hAnsi="Times New Roman" w:cs="Times New Roman"/>
        </w:rPr>
        <w:t>,</w:t>
      </w:r>
      <w:r w:rsidR="00323881">
        <w:rPr>
          <w:rFonts w:ascii="Times New Roman" w:hAnsi="Times New Roman" w:cs="Times New Roman"/>
        </w:rPr>
        <w:t xml:space="preserve"> </w:t>
      </w:r>
      <w:r w:rsidR="0057490F" w:rsidRPr="00D745DD">
        <w:rPr>
          <w:rFonts w:ascii="Times New Roman" w:hAnsi="Times New Roman" w:cs="Times New Roman"/>
        </w:rPr>
        <w:t xml:space="preserve">as a function of </w:t>
      </w:r>
      <w:r w:rsidR="0056045F" w:rsidRPr="00D745DD">
        <w:rPr>
          <w:rFonts w:ascii="Times New Roman" w:hAnsi="Times New Roman" w:cs="Times New Roman"/>
        </w:rPr>
        <w:t xml:space="preserve">household </w:t>
      </w:r>
      <w:r w:rsidR="0057490F" w:rsidRPr="00D745DD">
        <w:rPr>
          <w:rFonts w:ascii="Times New Roman" w:hAnsi="Times New Roman" w:cs="Times New Roman"/>
        </w:rPr>
        <w:t xml:space="preserve">and state </w:t>
      </w:r>
      <w:r w:rsidR="0056045F" w:rsidRPr="00D745DD">
        <w:rPr>
          <w:rFonts w:ascii="Times New Roman" w:hAnsi="Times New Roman" w:cs="Times New Roman"/>
        </w:rPr>
        <w:t>covariates in 2005</w:t>
      </w:r>
      <w:r w:rsidR="00AA7F72" w:rsidRPr="00D745DD">
        <w:rPr>
          <w:rFonts w:ascii="Times New Roman" w:hAnsi="Times New Roman" w:cs="Times New Roman"/>
        </w:rPr>
        <w:t xml:space="preserve">. This is </w:t>
      </w:r>
      <w:r w:rsidR="00E7488D" w:rsidRPr="00D745DD">
        <w:rPr>
          <w:rFonts w:ascii="Times New Roman" w:hAnsi="Times New Roman" w:cs="Times New Roman"/>
        </w:rPr>
        <w:t xml:space="preserve">in </w:t>
      </w:r>
      <w:r w:rsidR="00D54E8E" w:rsidRPr="00D745DD">
        <w:rPr>
          <w:rFonts w:ascii="Times New Roman" w:hAnsi="Times New Roman" w:cs="Times New Roman"/>
        </w:rPr>
        <w:t xml:space="preserve">sharp </w:t>
      </w:r>
      <w:r w:rsidR="00E7488D" w:rsidRPr="00D745DD">
        <w:rPr>
          <w:rFonts w:ascii="Times New Roman" w:hAnsi="Times New Roman" w:cs="Times New Roman"/>
        </w:rPr>
        <w:t>contrast with earlier studies</w:t>
      </w:r>
      <w:r w:rsidR="00393223" w:rsidRPr="00D745DD">
        <w:rPr>
          <w:rFonts w:ascii="Times New Roman" w:hAnsi="Times New Roman" w:cs="Times New Roman"/>
        </w:rPr>
        <w:t>’</w:t>
      </w:r>
      <w:r w:rsidR="00323881">
        <w:rPr>
          <w:rFonts w:ascii="Times New Roman" w:hAnsi="Times New Roman" w:cs="Times New Roman"/>
        </w:rPr>
        <w:t xml:space="preserve"> </w:t>
      </w:r>
      <w:r w:rsidR="00393223" w:rsidRPr="00D745DD">
        <w:rPr>
          <w:rFonts w:ascii="Times New Roman" w:hAnsi="Times New Roman" w:cs="Times New Roman"/>
        </w:rPr>
        <w:t xml:space="preserve">focus </w:t>
      </w:r>
      <w:r w:rsidR="0056045F" w:rsidRPr="00D745DD">
        <w:rPr>
          <w:rFonts w:ascii="Times New Roman" w:hAnsi="Times New Roman" w:cs="Times New Roman"/>
        </w:rPr>
        <w:t xml:space="preserve">on the </w:t>
      </w:r>
      <w:r w:rsidR="0056045F" w:rsidRPr="008269E4">
        <w:rPr>
          <w:rFonts w:ascii="Times New Roman" w:hAnsi="Times New Roman" w:cs="Times New Roman"/>
          <w:i/>
        </w:rPr>
        <w:t>levels</w:t>
      </w:r>
      <w:r w:rsidR="0056045F" w:rsidRPr="00E46895">
        <w:rPr>
          <w:rFonts w:ascii="Times New Roman" w:hAnsi="Times New Roman" w:cs="Times New Roman"/>
        </w:rPr>
        <w:t xml:space="preserve"> of SWB</w:t>
      </w:r>
      <w:r w:rsidR="00E7488D" w:rsidRPr="00D745DD">
        <w:rPr>
          <w:rFonts w:ascii="Times New Roman" w:hAnsi="Times New Roman" w:cs="Times New Roman"/>
        </w:rPr>
        <w:t xml:space="preserve">. </w:t>
      </w:r>
      <w:r w:rsidR="00F162BB" w:rsidRPr="00D745DD">
        <w:rPr>
          <w:rFonts w:ascii="Times New Roman" w:hAnsi="Times New Roman" w:cs="Times New Roman"/>
        </w:rPr>
        <w:t xml:space="preserve">Another point of departure </w:t>
      </w:r>
      <w:r w:rsidR="00D54E8E" w:rsidRPr="00D745DD">
        <w:rPr>
          <w:rFonts w:ascii="Times New Roman" w:hAnsi="Times New Roman" w:cs="Times New Roman"/>
        </w:rPr>
        <w:t>of our study</w:t>
      </w:r>
      <w:r w:rsidR="009C0C62">
        <w:rPr>
          <w:rFonts w:ascii="Times New Roman" w:hAnsi="Times New Roman" w:cs="Times New Roman"/>
        </w:rPr>
        <w:t xml:space="preserve"> and an innovative extension</w:t>
      </w:r>
      <w:r w:rsidR="00D54E8E" w:rsidRPr="00D745DD">
        <w:rPr>
          <w:rFonts w:ascii="Times New Roman" w:hAnsi="Times New Roman" w:cs="Times New Roman"/>
        </w:rPr>
        <w:t xml:space="preserve"> </w:t>
      </w:r>
      <w:r w:rsidR="00F162BB" w:rsidRPr="00D745DD">
        <w:rPr>
          <w:rFonts w:ascii="Times New Roman" w:hAnsi="Times New Roman" w:cs="Times New Roman"/>
        </w:rPr>
        <w:t xml:space="preserve">is to compare the </w:t>
      </w:r>
      <w:r w:rsidR="00F90917">
        <w:rPr>
          <w:rFonts w:ascii="Times New Roman" w:hAnsi="Times New Roman" w:cs="Times New Roman"/>
        </w:rPr>
        <w:t xml:space="preserve">covariates </w:t>
      </w:r>
      <w:r w:rsidR="00F162BB" w:rsidRPr="00D745DD">
        <w:rPr>
          <w:rFonts w:ascii="Times New Roman" w:hAnsi="Times New Roman" w:cs="Times New Roman"/>
        </w:rPr>
        <w:t xml:space="preserve">of SWB changes </w:t>
      </w:r>
      <w:r w:rsidR="00E7488D" w:rsidRPr="00D745DD">
        <w:rPr>
          <w:rFonts w:ascii="Times New Roman" w:hAnsi="Times New Roman" w:cs="Times New Roman"/>
        </w:rPr>
        <w:t xml:space="preserve">with </w:t>
      </w:r>
      <w:r w:rsidR="00F162BB" w:rsidRPr="00D745DD">
        <w:rPr>
          <w:rFonts w:ascii="Times New Roman" w:hAnsi="Times New Roman" w:cs="Times New Roman"/>
        </w:rPr>
        <w:t xml:space="preserve">those of objective well-being (OWB) changes, </w:t>
      </w:r>
      <w:proofErr w:type="spellStart"/>
      <w:r w:rsidR="00F162BB" w:rsidRPr="00D745DD">
        <w:rPr>
          <w:rFonts w:ascii="Times New Roman" w:hAnsi="Times New Roman" w:cs="Times New Roman"/>
        </w:rPr>
        <w:t>proxied</w:t>
      </w:r>
      <w:proofErr w:type="spellEnd"/>
      <w:r w:rsidR="00F162BB" w:rsidRPr="00D745DD">
        <w:rPr>
          <w:rFonts w:ascii="Times New Roman" w:hAnsi="Times New Roman" w:cs="Times New Roman"/>
        </w:rPr>
        <w:t xml:space="preserve"> by </w:t>
      </w:r>
      <w:r w:rsidR="00E156CF">
        <w:rPr>
          <w:rFonts w:ascii="Times New Roman" w:hAnsi="Times New Roman" w:cs="Times New Roman"/>
        </w:rPr>
        <w:t xml:space="preserve">the </w:t>
      </w:r>
      <w:r w:rsidR="00F162BB" w:rsidRPr="00D745DD">
        <w:rPr>
          <w:rFonts w:ascii="Times New Roman" w:hAnsi="Times New Roman" w:cs="Times New Roman"/>
        </w:rPr>
        <w:t xml:space="preserve">relative </w:t>
      </w:r>
      <w:r w:rsidR="00E156CF">
        <w:rPr>
          <w:rFonts w:ascii="Times New Roman" w:hAnsi="Times New Roman" w:cs="Times New Roman"/>
        </w:rPr>
        <w:t xml:space="preserve">growth </w:t>
      </w:r>
      <w:r w:rsidR="00F162BB" w:rsidRPr="00D745DD">
        <w:rPr>
          <w:rFonts w:ascii="Times New Roman" w:hAnsi="Times New Roman" w:cs="Times New Roman"/>
        </w:rPr>
        <w:t xml:space="preserve">in real per capita household consumption </w:t>
      </w:r>
      <w:r w:rsidR="009C0C62">
        <w:rPr>
          <w:rFonts w:ascii="Times New Roman" w:hAnsi="Times New Roman" w:cs="Times New Roman"/>
        </w:rPr>
        <w:t>between</w:t>
      </w:r>
      <w:r w:rsidR="009C0C62" w:rsidRPr="00D745DD">
        <w:rPr>
          <w:rFonts w:ascii="Times New Roman" w:hAnsi="Times New Roman" w:cs="Times New Roman"/>
        </w:rPr>
        <w:t xml:space="preserve"> </w:t>
      </w:r>
      <w:r w:rsidR="00F162BB" w:rsidRPr="00D745DD">
        <w:rPr>
          <w:rFonts w:ascii="Times New Roman" w:hAnsi="Times New Roman" w:cs="Times New Roman"/>
        </w:rPr>
        <w:t>2005</w:t>
      </w:r>
      <w:r w:rsidR="003478F0">
        <w:rPr>
          <w:rFonts w:ascii="Times New Roman" w:hAnsi="Times New Roman" w:cs="Times New Roman"/>
        </w:rPr>
        <w:t xml:space="preserve"> </w:t>
      </w:r>
      <w:r w:rsidR="009C0C62">
        <w:rPr>
          <w:rFonts w:ascii="Times New Roman" w:hAnsi="Times New Roman" w:cs="Times New Roman"/>
        </w:rPr>
        <w:t xml:space="preserve">and </w:t>
      </w:r>
      <w:r w:rsidR="00F162BB" w:rsidRPr="00D745DD">
        <w:rPr>
          <w:rFonts w:ascii="Times New Roman" w:hAnsi="Times New Roman" w:cs="Times New Roman"/>
        </w:rPr>
        <w:t xml:space="preserve">2012. </w:t>
      </w:r>
      <w:r w:rsidR="00180B95">
        <w:rPr>
          <w:rFonts w:ascii="Times New Roman" w:hAnsi="Times New Roman" w:cs="Times New Roman"/>
        </w:rPr>
        <w:t>H</w:t>
      </w:r>
      <w:r w:rsidR="008421AA">
        <w:rPr>
          <w:rFonts w:ascii="Times New Roman" w:hAnsi="Times New Roman" w:cs="Times New Roman"/>
        </w:rPr>
        <w:t xml:space="preserve">ouseholds with an older </w:t>
      </w:r>
      <w:r w:rsidR="00180B95">
        <w:rPr>
          <w:rFonts w:ascii="Times New Roman" w:hAnsi="Times New Roman" w:cs="Times New Roman"/>
        </w:rPr>
        <w:t xml:space="preserve">and </w:t>
      </w:r>
      <w:r w:rsidR="008421AA">
        <w:rPr>
          <w:rFonts w:ascii="Times New Roman" w:hAnsi="Times New Roman" w:cs="Times New Roman"/>
        </w:rPr>
        <w:t xml:space="preserve">educated head in a larger household, located in urban areas or affluent states in 2005 </w:t>
      </w:r>
      <w:r w:rsidR="00D745DD" w:rsidRPr="00D745DD">
        <w:rPr>
          <w:rFonts w:ascii="Times New Roman" w:hAnsi="Times New Roman" w:cs="Times New Roman"/>
        </w:rPr>
        <w:t xml:space="preserve">tend </w:t>
      </w:r>
      <w:r w:rsidR="004025FF" w:rsidRPr="00D745DD">
        <w:rPr>
          <w:rFonts w:ascii="Times New Roman" w:hAnsi="Times New Roman" w:cs="Times New Roman"/>
        </w:rPr>
        <w:t xml:space="preserve">to experience </w:t>
      </w:r>
      <w:r w:rsidR="00AA7F72" w:rsidRPr="00D745DD">
        <w:rPr>
          <w:rFonts w:ascii="Times New Roman" w:hAnsi="Times New Roman" w:cs="Times New Roman"/>
        </w:rPr>
        <w:t>further</w:t>
      </w:r>
      <w:r w:rsidR="00323881">
        <w:rPr>
          <w:rFonts w:ascii="Times New Roman" w:hAnsi="Times New Roman" w:cs="Times New Roman"/>
        </w:rPr>
        <w:t xml:space="preserve"> </w:t>
      </w:r>
      <w:r w:rsidR="004025FF" w:rsidRPr="00D745DD">
        <w:rPr>
          <w:rFonts w:ascii="Times New Roman" w:hAnsi="Times New Roman" w:cs="Times New Roman"/>
        </w:rPr>
        <w:t xml:space="preserve">improvement in both </w:t>
      </w:r>
      <w:r w:rsidR="00E816A9" w:rsidRPr="00D745DD">
        <w:rPr>
          <w:rFonts w:ascii="Times New Roman" w:hAnsi="Times New Roman" w:cs="Times New Roman"/>
        </w:rPr>
        <w:t xml:space="preserve">SWB and OWB </w:t>
      </w:r>
      <w:r w:rsidR="009C0C62">
        <w:rPr>
          <w:rFonts w:ascii="Times New Roman" w:hAnsi="Times New Roman" w:cs="Times New Roman"/>
        </w:rPr>
        <w:t>between</w:t>
      </w:r>
      <w:r w:rsidR="009C0C62" w:rsidRPr="00D745DD">
        <w:rPr>
          <w:rFonts w:ascii="Times New Roman" w:hAnsi="Times New Roman" w:cs="Times New Roman"/>
        </w:rPr>
        <w:t xml:space="preserve"> </w:t>
      </w:r>
      <w:r w:rsidR="00E816A9" w:rsidRPr="00D745DD">
        <w:rPr>
          <w:rFonts w:ascii="Times New Roman" w:hAnsi="Times New Roman" w:cs="Times New Roman"/>
        </w:rPr>
        <w:t>2005</w:t>
      </w:r>
      <w:r w:rsidR="003478F0">
        <w:rPr>
          <w:rFonts w:ascii="Times New Roman" w:hAnsi="Times New Roman" w:cs="Times New Roman"/>
        </w:rPr>
        <w:t xml:space="preserve"> </w:t>
      </w:r>
      <w:r w:rsidR="009C0C62">
        <w:rPr>
          <w:rFonts w:ascii="Times New Roman" w:hAnsi="Times New Roman" w:cs="Times New Roman"/>
        </w:rPr>
        <w:t xml:space="preserve">and </w:t>
      </w:r>
      <w:r w:rsidR="00E816A9" w:rsidRPr="00D745DD">
        <w:rPr>
          <w:rFonts w:ascii="Times New Roman" w:hAnsi="Times New Roman" w:cs="Times New Roman"/>
        </w:rPr>
        <w:t>2012</w:t>
      </w:r>
      <w:r w:rsidR="00180B95">
        <w:rPr>
          <w:rFonts w:ascii="Times New Roman" w:hAnsi="Times New Roman" w:cs="Times New Roman"/>
        </w:rPr>
        <w:t xml:space="preserve">. On the contrary, </w:t>
      </w:r>
      <w:r w:rsidR="00D745DD" w:rsidRPr="00D745DD">
        <w:rPr>
          <w:rFonts w:ascii="Times New Roman" w:hAnsi="Times New Roman" w:cs="Times New Roman"/>
        </w:rPr>
        <w:t>households</w:t>
      </w:r>
      <w:r w:rsidR="00323881">
        <w:rPr>
          <w:rFonts w:ascii="Times New Roman" w:hAnsi="Times New Roman" w:cs="Times New Roman"/>
        </w:rPr>
        <w:t xml:space="preserve"> </w:t>
      </w:r>
      <w:r w:rsidR="00B276BE" w:rsidRPr="00B276BE">
        <w:rPr>
          <w:rFonts w:ascii="Times New Roman" w:hAnsi="Times New Roman" w:cs="Times New Roman"/>
        </w:rPr>
        <w:t xml:space="preserve">with a female household head, </w:t>
      </w:r>
      <w:r w:rsidR="00180B95">
        <w:rPr>
          <w:rFonts w:ascii="Times New Roman" w:hAnsi="Times New Roman" w:cs="Times New Roman"/>
        </w:rPr>
        <w:t xml:space="preserve">with more male members in the labour market, with </w:t>
      </w:r>
      <w:r w:rsidR="003D05AC">
        <w:rPr>
          <w:rFonts w:ascii="Times New Roman" w:hAnsi="Times New Roman" w:cs="Times New Roman"/>
        </w:rPr>
        <w:t xml:space="preserve">regular </w:t>
      </w:r>
      <w:r w:rsidR="00180B95">
        <w:rPr>
          <w:rFonts w:ascii="Times New Roman" w:hAnsi="Times New Roman" w:cs="Times New Roman"/>
        </w:rPr>
        <w:t xml:space="preserve">access to mass media, without members suffering from </w:t>
      </w:r>
      <w:r w:rsidR="00180B95" w:rsidRPr="00180B95">
        <w:rPr>
          <w:rFonts w:ascii="Times New Roman" w:hAnsi="Times New Roman" w:cs="Times New Roman"/>
        </w:rPr>
        <w:t>non-communicable disease</w:t>
      </w:r>
      <w:r w:rsidR="00180B95">
        <w:rPr>
          <w:rFonts w:ascii="Times New Roman" w:hAnsi="Times New Roman" w:cs="Times New Roman"/>
        </w:rPr>
        <w:t xml:space="preserve">s or disability </w:t>
      </w:r>
      <w:r w:rsidR="00F90917">
        <w:rPr>
          <w:rFonts w:ascii="Times New Roman" w:hAnsi="Times New Roman" w:cs="Times New Roman"/>
        </w:rPr>
        <w:t>are</w:t>
      </w:r>
      <w:r w:rsidR="00D54E8E" w:rsidRPr="00D745DD">
        <w:rPr>
          <w:rFonts w:ascii="Times New Roman" w:hAnsi="Times New Roman" w:cs="Times New Roman"/>
        </w:rPr>
        <w:t xml:space="preserve"> more likely to be better off </w:t>
      </w:r>
      <w:r w:rsidR="00180B95">
        <w:rPr>
          <w:rFonts w:ascii="Times New Roman" w:hAnsi="Times New Roman" w:cs="Times New Roman"/>
        </w:rPr>
        <w:t>subjectively without experiencing corresponding improvement in OWB.</w:t>
      </w:r>
      <w:r w:rsidR="003478F0">
        <w:rPr>
          <w:rFonts w:ascii="Times New Roman" w:hAnsi="Times New Roman" w:cs="Times New Roman"/>
        </w:rPr>
        <w:t xml:space="preserve"> The policy challenges raise serious concerns.</w:t>
      </w:r>
      <w:r w:rsidR="00180B95">
        <w:rPr>
          <w:rFonts w:ascii="Times New Roman" w:hAnsi="Times New Roman" w:cs="Times New Roman"/>
        </w:rPr>
        <w:t xml:space="preserve"> </w:t>
      </w:r>
    </w:p>
    <w:p w14:paraId="53CCD2E2" w14:textId="77777777" w:rsidR="00907521" w:rsidRPr="00D745DD" w:rsidRDefault="00A0304D" w:rsidP="008269E4">
      <w:pPr>
        <w:ind w:right="567"/>
        <w:jc w:val="both"/>
        <w:rPr>
          <w:rFonts w:ascii="Times New Roman" w:hAnsi="Times New Roman" w:cs="Times New Roman"/>
        </w:rPr>
      </w:pPr>
      <w:r w:rsidRPr="00D745DD">
        <w:rPr>
          <w:rFonts w:ascii="Times New Roman" w:hAnsi="Times New Roman" w:cs="Times New Roman"/>
        </w:rPr>
        <w:t xml:space="preserve">Key Words: Subjective Well-Being, Affluence, Age, Health, Caste, Religion, India. </w:t>
      </w:r>
    </w:p>
    <w:p w14:paraId="73C30F46" w14:textId="77777777" w:rsidR="00A0304D" w:rsidRPr="00D745DD" w:rsidRDefault="00A0304D" w:rsidP="003D2965">
      <w:pPr>
        <w:ind w:left="567" w:right="567"/>
        <w:jc w:val="both"/>
        <w:rPr>
          <w:rFonts w:ascii="Times New Roman" w:hAnsi="Times New Roman" w:cs="Times New Roman"/>
          <w:lang w:val="it-IT"/>
        </w:rPr>
      </w:pPr>
      <w:r w:rsidRPr="00D745DD">
        <w:rPr>
          <w:rFonts w:ascii="Times New Roman" w:hAnsi="Times New Roman" w:cs="Times New Roman"/>
          <w:lang w:val="it-IT"/>
        </w:rPr>
        <w:t>JEL Codes: I31, I14, I38, J71, P35.</w:t>
      </w:r>
    </w:p>
    <w:p w14:paraId="1D2DF534" w14:textId="77777777" w:rsidR="00414388" w:rsidRPr="007A4441" w:rsidRDefault="00414388" w:rsidP="008269E4">
      <w:pPr>
        <w:jc w:val="center"/>
        <w:rPr>
          <w:rFonts w:ascii="Times New Roman" w:hAnsi="Times New Roman" w:cs="Times New Roman"/>
          <w:b/>
          <w:sz w:val="28"/>
          <w:szCs w:val="28"/>
          <w:lang w:val="it-IT"/>
        </w:rPr>
      </w:pPr>
    </w:p>
    <w:p w14:paraId="0724A0A3" w14:textId="0061B5C4" w:rsidR="00AC52B0" w:rsidRDefault="00766456" w:rsidP="008269E4">
      <w:pPr>
        <w:jc w:val="center"/>
        <w:rPr>
          <w:rFonts w:ascii="Times New Roman" w:hAnsi="Times New Roman" w:cs="Times New Roman"/>
          <w:b/>
          <w:sz w:val="28"/>
          <w:szCs w:val="28"/>
        </w:rPr>
      </w:pPr>
      <w:r>
        <w:rPr>
          <w:rFonts w:ascii="Times New Roman" w:hAnsi="Times New Roman" w:cs="Times New Roman"/>
          <w:b/>
          <w:sz w:val="28"/>
          <w:szCs w:val="28"/>
        </w:rPr>
        <w:t xml:space="preserve">Changes in </w:t>
      </w:r>
      <w:r w:rsidR="000A6C2E" w:rsidRPr="003D2965">
        <w:rPr>
          <w:rFonts w:ascii="Times New Roman" w:hAnsi="Times New Roman" w:cs="Times New Roman"/>
          <w:b/>
          <w:sz w:val="28"/>
          <w:szCs w:val="28"/>
        </w:rPr>
        <w:t>Subjective</w:t>
      </w:r>
      <w:r w:rsidR="00323881">
        <w:rPr>
          <w:rFonts w:ascii="Times New Roman" w:hAnsi="Times New Roman" w:cs="Times New Roman"/>
          <w:b/>
          <w:sz w:val="28"/>
          <w:szCs w:val="28"/>
        </w:rPr>
        <w:t xml:space="preserve"> </w:t>
      </w:r>
      <w:r w:rsidR="003E48F1" w:rsidRPr="008269E4">
        <w:rPr>
          <w:rFonts w:ascii="Times New Roman" w:hAnsi="Times New Roman" w:cs="Times New Roman"/>
          <w:b/>
          <w:i/>
          <w:sz w:val="28"/>
          <w:szCs w:val="28"/>
        </w:rPr>
        <w:t>versus</w:t>
      </w:r>
      <w:r w:rsidR="003E48F1">
        <w:rPr>
          <w:rFonts w:ascii="Times New Roman" w:hAnsi="Times New Roman" w:cs="Times New Roman"/>
          <w:b/>
          <w:sz w:val="28"/>
          <w:szCs w:val="28"/>
        </w:rPr>
        <w:t xml:space="preserve"> Objective </w:t>
      </w:r>
      <w:r w:rsidR="000A6C2E" w:rsidRPr="003D2965">
        <w:rPr>
          <w:rFonts w:ascii="Times New Roman" w:hAnsi="Times New Roman" w:cs="Times New Roman"/>
          <w:b/>
          <w:sz w:val="28"/>
          <w:szCs w:val="28"/>
        </w:rPr>
        <w:t xml:space="preserve">Well-Being </w:t>
      </w:r>
      <w:r w:rsidR="00637336" w:rsidRPr="003D2965">
        <w:rPr>
          <w:rFonts w:ascii="Times New Roman" w:hAnsi="Times New Roman" w:cs="Times New Roman"/>
          <w:b/>
          <w:sz w:val="28"/>
          <w:szCs w:val="28"/>
        </w:rPr>
        <w:t>in India</w:t>
      </w:r>
    </w:p>
    <w:p w14:paraId="23335167" w14:textId="77777777" w:rsidR="00C84F90" w:rsidRDefault="00C84F90" w:rsidP="008269E4">
      <w:pPr>
        <w:jc w:val="center"/>
        <w:rPr>
          <w:rFonts w:ascii="Times New Roman" w:hAnsi="Times New Roman" w:cs="Times New Roman"/>
          <w:b/>
          <w:sz w:val="28"/>
          <w:szCs w:val="28"/>
        </w:rPr>
      </w:pPr>
    </w:p>
    <w:p w14:paraId="02C69B23" w14:textId="77777777" w:rsidR="00AC52B0" w:rsidRPr="008269E4" w:rsidRDefault="00AC52B0" w:rsidP="00AC52B0">
      <w:pPr>
        <w:pStyle w:val="ListParagraph"/>
        <w:numPr>
          <w:ilvl w:val="0"/>
          <w:numId w:val="3"/>
        </w:numPr>
        <w:jc w:val="center"/>
        <w:rPr>
          <w:rFonts w:ascii="Times New Roman" w:hAnsi="Times New Roman" w:cs="Times New Roman"/>
          <w:b/>
          <w:sz w:val="24"/>
          <w:szCs w:val="24"/>
        </w:rPr>
      </w:pPr>
      <w:r w:rsidRPr="008269E4">
        <w:rPr>
          <w:rFonts w:ascii="Times New Roman" w:hAnsi="Times New Roman" w:cs="Times New Roman"/>
          <w:b/>
          <w:sz w:val="24"/>
          <w:szCs w:val="24"/>
        </w:rPr>
        <w:t>Introduction</w:t>
      </w:r>
    </w:p>
    <w:p w14:paraId="183A4278" w14:textId="77777777" w:rsidR="00BC059C" w:rsidRPr="008269E4" w:rsidRDefault="00BC059C" w:rsidP="000A6C2E">
      <w:pPr>
        <w:jc w:val="both"/>
        <w:rPr>
          <w:rFonts w:ascii="Times New Roman" w:hAnsi="Times New Roman" w:cs="Times New Roman"/>
          <w:sz w:val="24"/>
          <w:szCs w:val="24"/>
        </w:rPr>
      </w:pPr>
      <w:r w:rsidRPr="008269E4">
        <w:rPr>
          <w:rFonts w:ascii="Times New Roman" w:hAnsi="Times New Roman" w:cs="Times New Roman"/>
          <w:sz w:val="24"/>
          <w:szCs w:val="24"/>
        </w:rPr>
        <w:t xml:space="preserve">Well-being is hard to define, and harder to measure. This, however, has not deterred economists </w:t>
      </w:r>
      <w:r w:rsidR="00DA0895" w:rsidRPr="008269E4">
        <w:rPr>
          <w:rFonts w:ascii="Times New Roman" w:hAnsi="Times New Roman" w:cs="Times New Roman"/>
          <w:sz w:val="24"/>
          <w:szCs w:val="24"/>
        </w:rPr>
        <w:t xml:space="preserve">and other social scientists </w:t>
      </w:r>
      <w:r w:rsidR="00AC52B0" w:rsidRPr="008269E4">
        <w:rPr>
          <w:rFonts w:ascii="Times New Roman" w:hAnsi="Times New Roman" w:cs="Times New Roman"/>
          <w:sz w:val="24"/>
          <w:szCs w:val="24"/>
        </w:rPr>
        <w:t>as well as p</w:t>
      </w:r>
      <w:r w:rsidR="00DA0895" w:rsidRPr="008269E4">
        <w:rPr>
          <w:rFonts w:ascii="Times New Roman" w:hAnsi="Times New Roman" w:cs="Times New Roman"/>
          <w:sz w:val="24"/>
          <w:szCs w:val="24"/>
        </w:rPr>
        <w:t xml:space="preserve">ollsters </w:t>
      </w:r>
      <w:r w:rsidRPr="008269E4">
        <w:rPr>
          <w:rFonts w:ascii="Times New Roman" w:hAnsi="Times New Roman" w:cs="Times New Roman"/>
          <w:sz w:val="24"/>
          <w:szCs w:val="24"/>
        </w:rPr>
        <w:t>from assessing it.</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 xml:space="preserve">Relying on </w:t>
      </w:r>
      <w:r w:rsidR="006A0613" w:rsidRPr="008269E4">
        <w:rPr>
          <w:rFonts w:ascii="Times New Roman" w:hAnsi="Times New Roman" w:cs="Times New Roman"/>
          <w:sz w:val="24"/>
          <w:szCs w:val="24"/>
        </w:rPr>
        <w:t>subjective measures</w:t>
      </w:r>
      <w:r w:rsidRPr="008269E4">
        <w:rPr>
          <w:rFonts w:ascii="Times New Roman" w:hAnsi="Times New Roman" w:cs="Times New Roman"/>
          <w:sz w:val="24"/>
          <w:szCs w:val="24"/>
        </w:rPr>
        <w:t xml:space="preserve"> of well-being, leading scholars have made important contributions to its measurement and elaboration of its policy importance. </w:t>
      </w:r>
    </w:p>
    <w:p w14:paraId="0E14A448" w14:textId="77777777" w:rsidR="000A6C2E" w:rsidRPr="008269E4" w:rsidRDefault="000F11CD" w:rsidP="00BC059C">
      <w:pPr>
        <w:jc w:val="both"/>
        <w:rPr>
          <w:rFonts w:ascii="Times New Roman" w:hAnsi="Times New Roman" w:cs="Times New Roman"/>
          <w:sz w:val="24"/>
          <w:szCs w:val="24"/>
        </w:rPr>
      </w:pPr>
      <w:r w:rsidRPr="008269E4">
        <w:rPr>
          <w:rFonts w:ascii="Times New Roman" w:hAnsi="Times New Roman" w:cs="Times New Roman"/>
          <w:bCs/>
          <w:sz w:val="24"/>
          <w:szCs w:val="24"/>
        </w:rPr>
        <w:t>Following Steptoe et al. (201</w:t>
      </w:r>
      <w:r w:rsidR="00A94C4A" w:rsidRPr="008269E4">
        <w:rPr>
          <w:rFonts w:ascii="Times New Roman" w:hAnsi="Times New Roman" w:cs="Times New Roman"/>
          <w:bCs/>
          <w:sz w:val="24"/>
          <w:szCs w:val="24"/>
        </w:rPr>
        <w:t>5</w:t>
      </w:r>
      <w:r w:rsidRPr="008269E4">
        <w:rPr>
          <w:rFonts w:ascii="Times New Roman" w:hAnsi="Times New Roman" w:cs="Times New Roman"/>
          <w:bCs/>
          <w:sz w:val="24"/>
          <w:szCs w:val="24"/>
        </w:rPr>
        <w:t>), t</w:t>
      </w:r>
      <w:r w:rsidR="00BC059C" w:rsidRPr="008269E4">
        <w:rPr>
          <w:rFonts w:ascii="Times New Roman" w:hAnsi="Times New Roman" w:cs="Times New Roman"/>
          <w:bCs/>
          <w:sz w:val="24"/>
          <w:szCs w:val="24"/>
        </w:rPr>
        <w:t>hree aspects of subjective well</w:t>
      </w:r>
      <w:r w:rsidR="006225E6" w:rsidRPr="008269E4">
        <w:rPr>
          <w:rFonts w:ascii="Times New Roman" w:hAnsi="Times New Roman" w:cs="Times New Roman"/>
          <w:bCs/>
          <w:sz w:val="24"/>
          <w:szCs w:val="24"/>
        </w:rPr>
        <w:t>-</w:t>
      </w:r>
      <w:r w:rsidR="00BC059C" w:rsidRPr="008269E4">
        <w:rPr>
          <w:rFonts w:ascii="Times New Roman" w:hAnsi="Times New Roman" w:cs="Times New Roman"/>
          <w:bCs/>
          <w:sz w:val="24"/>
          <w:szCs w:val="24"/>
        </w:rPr>
        <w:t>being can be distinguished</w:t>
      </w:r>
      <w:r w:rsidR="006A0613" w:rsidRPr="008269E4">
        <w:rPr>
          <w:rFonts w:ascii="Times New Roman" w:hAnsi="Times New Roman" w:cs="Times New Roman"/>
          <w:bCs/>
          <w:sz w:val="24"/>
          <w:szCs w:val="24"/>
        </w:rPr>
        <w:t xml:space="preserve"> -</w:t>
      </w:r>
      <w:r w:rsidR="00BC059C" w:rsidRPr="008269E4">
        <w:rPr>
          <w:rFonts w:ascii="Times New Roman" w:hAnsi="Times New Roman" w:cs="Times New Roman"/>
          <w:bCs/>
          <w:sz w:val="24"/>
          <w:szCs w:val="24"/>
        </w:rPr>
        <w:t>evaluative well</w:t>
      </w:r>
      <w:r w:rsidR="005C0A59" w:rsidRPr="008269E4">
        <w:rPr>
          <w:rFonts w:ascii="Times New Roman" w:hAnsi="Times New Roman" w:cs="Times New Roman"/>
          <w:bCs/>
          <w:sz w:val="24"/>
          <w:szCs w:val="24"/>
        </w:rPr>
        <w:t>-</w:t>
      </w:r>
      <w:r w:rsidR="00BC059C" w:rsidRPr="008269E4">
        <w:rPr>
          <w:rFonts w:ascii="Times New Roman" w:hAnsi="Times New Roman" w:cs="Times New Roman"/>
          <w:bCs/>
          <w:sz w:val="24"/>
          <w:szCs w:val="24"/>
        </w:rPr>
        <w:t>being (or life satisfaction), hedonic well</w:t>
      </w:r>
      <w:r w:rsidR="005C0A59" w:rsidRPr="008269E4">
        <w:rPr>
          <w:rFonts w:ascii="Times New Roman" w:hAnsi="Times New Roman" w:cs="Times New Roman"/>
          <w:bCs/>
          <w:sz w:val="24"/>
          <w:szCs w:val="24"/>
        </w:rPr>
        <w:t>-</w:t>
      </w:r>
      <w:r w:rsidR="00BC059C" w:rsidRPr="008269E4">
        <w:rPr>
          <w:rFonts w:ascii="Times New Roman" w:hAnsi="Times New Roman" w:cs="Times New Roman"/>
          <w:bCs/>
          <w:sz w:val="24"/>
          <w:szCs w:val="24"/>
        </w:rPr>
        <w:t>being (feelings of happiness, sadness, anger, stress, and pain),</w:t>
      </w:r>
      <w:r w:rsidR="002D43A2">
        <w:rPr>
          <w:rFonts w:ascii="Times New Roman" w:hAnsi="Times New Roman" w:cs="Times New Roman"/>
          <w:bCs/>
          <w:sz w:val="24"/>
          <w:szCs w:val="24"/>
        </w:rPr>
        <w:t xml:space="preserve"> </w:t>
      </w:r>
      <w:r w:rsidR="00BC059C" w:rsidRPr="008269E4">
        <w:rPr>
          <w:rFonts w:ascii="Times New Roman" w:hAnsi="Times New Roman" w:cs="Times New Roman"/>
          <w:bCs/>
          <w:sz w:val="24"/>
          <w:szCs w:val="24"/>
        </w:rPr>
        <w:t>and eudemonic well</w:t>
      </w:r>
      <w:r w:rsidR="005C0A59" w:rsidRPr="008269E4">
        <w:rPr>
          <w:rFonts w:ascii="Times New Roman" w:hAnsi="Times New Roman" w:cs="Times New Roman"/>
          <w:bCs/>
          <w:sz w:val="24"/>
          <w:szCs w:val="24"/>
        </w:rPr>
        <w:t>-</w:t>
      </w:r>
      <w:r w:rsidR="00BC059C" w:rsidRPr="008269E4">
        <w:rPr>
          <w:rFonts w:ascii="Times New Roman" w:hAnsi="Times New Roman" w:cs="Times New Roman"/>
          <w:bCs/>
          <w:sz w:val="24"/>
          <w:szCs w:val="24"/>
        </w:rPr>
        <w:t>being (sense of purpose and meaning in life).</w:t>
      </w:r>
    </w:p>
    <w:p w14:paraId="48EF087E" w14:textId="77777777" w:rsidR="000F11CD" w:rsidRPr="008269E4" w:rsidRDefault="000F11CD" w:rsidP="005A18C8">
      <w:pPr>
        <w:jc w:val="both"/>
        <w:rPr>
          <w:rFonts w:ascii="Times New Roman" w:hAnsi="Times New Roman" w:cs="Times New Roman"/>
          <w:sz w:val="24"/>
          <w:szCs w:val="24"/>
        </w:rPr>
      </w:pPr>
      <w:r w:rsidRPr="008269E4">
        <w:rPr>
          <w:rFonts w:ascii="Times New Roman" w:hAnsi="Times New Roman" w:cs="Times New Roman"/>
          <w:sz w:val="24"/>
          <w:szCs w:val="24"/>
        </w:rPr>
        <w:t>Life evaluation refers to the quality or goodness of lives,</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 xml:space="preserve">overall life satisfaction, or sometimes happiness. Measurement is </w:t>
      </w:r>
      <w:r w:rsidR="005A18C8" w:rsidRPr="008269E4">
        <w:rPr>
          <w:rFonts w:ascii="Times New Roman" w:hAnsi="Times New Roman" w:cs="Times New Roman"/>
          <w:sz w:val="24"/>
          <w:szCs w:val="24"/>
        </w:rPr>
        <w:t>usually</w:t>
      </w:r>
      <w:r w:rsidRPr="008269E4">
        <w:rPr>
          <w:rFonts w:ascii="Times New Roman" w:hAnsi="Times New Roman" w:cs="Times New Roman"/>
          <w:sz w:val="24"/>
          <w:szCs w:val="24"/>
        </w:rPr>
        <w:t xml:space="preserve"> based on the </w:t>
      </w:r>
      <w:proofErr w:type="spellStart"/>
      <w:r w:rsidRPr="008269E4">
        <w:rPr>
          <w:rFonts w:ascii="Times New Roman" w:hAnsi="Times New Roman" w:cs="Times New Roman"/>
          <w:sz w:val="24"/>
          <w:szCs w:val="24"/>
        </w:rPr>
        <w:t>Cantril</w:t>
      </w:r>
      <w:proofErr w:type="spellEnd"/>
      <w:r w:rsidRPr="008269E4">
        <w:rPr>
          <w:rFonts w:ascii="Times New Roman" w:hAnsi="Times New Roman" w:cs="Times New Roman"/>
          <w:sz w:val="24"/>
          <w:szCs w:val="24"/>
        </w:rPr>
        <w:t xml:space="preserve"> ladder</w:t>
      </w:r>
      <w:r w:rsidR="003C2F53" w:rsidRPr="008269E4">
        <w:rPr>
          <w:rFonts w:ascii="Times New Roman" w:hAnsi="Times New Roman" w:cs="Times New Roman"/>
          <w:sz w:val="24"/>
          <w:szCs w:val="24"/>
        </w:rPr>
        <w:t xml:space="preserve"> (1965)</w:t>
      </w:r>
      <w:r w:rsidRPr="008269E4">
        <w:rPr>
          <w:rFonts w:ascii="Times New Roman" w:hAnsi="Times New Roman" w:cs="Times New Roman"/>
          <w:sz w:val="24"/>
          <w:szCs w:val="24"/>
        </w:rPr>
        <w:t>, wherein individuals</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are asked to place themselves on an 11-step ladder</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 xml:space="preserve">with </w:t>
      </w:r>
      <w:r w:rsidR="00597A23" w:rsidRPr="008269E4">
        <w:rPr>
          <w:rFonts w:ascii="Times New Roman" w:hAnsi="Times New Roman" w:cs="Times New Roman"/>
          <w:sz w:val="24"/>
          <w:szCs w:val="24"/>
        </w:rPr>
        <w:t xml:space="preserve">the </w:t>
      </w:r>
      <w:r w:rsidRPr="008269E4">
        <w:rPr>
          <w:rFonts w:ascii="Times New Roman" w:hAnsi="Times New Roman" w:cs="Times New Roman"/>
          <w:sz w:val="24"/>
          <w:szCs w:val="24"/>
        </w:rPr>
        <w:t>worst possible life representing the lowest rung</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 xml:space="preserve">and </w:t>
      </w:r>
      <w:r w:rsidR="00597A23" w:rsidRPr="008269E4">
        <w:rPr>
          <w:rFonts w:ascii="Times New Roman" w:hAnsi="Times New Roman" w:cs="Times New Roman"/>
          <w:sz w:val="24"/>
          <w:szCs w:val="24"/>
        </w:rPr>
        <w:t xml:space="preserve">the </w:t>
      </w:r>
      <w:r w:rsidRPr="008269E4">
        <w:rPr>
          <w:rFonts w:ascii="Times New Roman" w:hAnsi="Times New Roman" w:cs="Times New Roman"/>
          <w:sz w:val="24"/>
          <w:szCs w:val="24"/>
        </w:rPr>
        <w:t>best possible life representing the top rung.</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Hedonic well-being refers to everyday</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feelings or moods such as experienced happiness (the</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mood, not the evaluation of life), sadness, anger, and</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stress, and is measured by asking respondents to rate</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their experience of several affect adjectives such as</w:t>
      </w:r>
      <w:r w:rsidR="00323881">
        <w:rPr>
          <w:rFonts w:ascii="Times New Roman" w:hAnsi="Times New Roman" w:cs="Times New Roman"/>
          <w:sz w:val="24"/>
          <w:szCs w:val="24"/>
        </w:rPr>
        <w:t xml:space="preserve"> </w:t>
      </w:r>
      <w:r w:rsidRPr="008269E4">
        <w:rPr>
          <w:rFonts w:ascii="Times New Roman" w:hAnsi="Times New Roman" w:cs="Times New Roman"/>
          <w:sz w:val="24"/>
          <w:szCs w:val="24"/>
        </w:rPr>
        <w:t>happy, sad, and angry.</w:t>
      </w:r>
      <w:r w:rsidR="00323881">
        <w:rPr>
          <w:rFonts w:ascii="Times New Roman" w:hAnsi="Times New Roman" w:cs="Times New Roman"/>
          <w:sz w:val="24"/>
          <w:szCs w:val="24"/>
        </w:rPr>
        <w:t xml:space="preserve"> </w:t>
      </w:r>
      <w:r w:rsidR="005A18C8" w:rsidRPr="008269E4">
        <w:rPr>
          <w:rFonts w:ascii="Times New Roman" w:hAnsi="Times New Roman" w:cs="Times New Roman"/>
          <w:sz w:val="24"/>
          <w:szCs w:val="24"/>
        </w:rPr>
        <w:t>Eudemonic well-being focuses on judgments about the</w:t>
      </w:r>
      <w:r w:rsidR="00323881">
        <w:rPr>
          <w:rFonts w:ascii="Times New Roman" w:hAnsi="Times New Roman" w:cs="Times New Roman"/>
          <w:sz w:val="24"/>
          <w:szCs w:val="24"/>
        </w:rPr>
        <w:t xml:space="preserve"> </w:t>
      </w:r>
      <w:r w:rsidR="005A18C8" w:rsidRPr="008269E4">
        <w:rPr>
          <w:rFonts w:ascii="Times New Roman" w:hAnsi="Times New Roman" w:cs="Times New Roman"/>
          <w:sz w:val="24"/>
          <w:szCs w:val="24"/>
        </w:rPr>
        <w:t>meaning and purpose of one’s life; because the concept is more diverse, several questionnaires exploring</w:t>
      </w:r>
      <w:r w:rsidR="00323881">
        <w:rPr>
          <w:rFonts w:ascii="Times New Roman" w:hAnsi="Times New Roman" w:cs="Times New Roman"/>
          <w:sz w:val="24"/>
          <w:szCs w:val="24"/>
        </w:rPr>
        <w:t xml:space="preserve"> </w:t>
      </w:r>
      <w:r w:rsidR="005A18C8" w:rsidRPr="008269E4">
        <w:rPr>
          <w:rFonts w:ascii="Times New Roman" w:hAnsi="Times New Roman" w:cs="Times New Roman"/>
          <w:sz w:val="24"/>
          <w:szCs w:val="24"/>
        </w:rPr>
        <w:t>various aspects of meaning have been developed (Steptoe et al. 201</w:t>
      </w:r>
      <w:r w:rsidR="006A4BF2" w:rsidRPr="008269E4">
        <w:rPr>
          <w:rFonts w:ascii="Times New Roman" w:hAnsi="Times New Roman" w:cs="Times New Roman"/>
          <w:sz w:val="24"/>
          <w:szCs w:val="24"/>
        </w:rPr>
        <w:t>5</w:t>
      </w:r>
      <w:r w:rsidR="005A18C8" w:rsidRPr="008269E4">
        <w:rPr>
          <w:rFonts w:ascii="Times New Roman" w:hAnsi="Times New Roman" w:cs="Times New Roman"/>
          <w:sz w:val="24"/>
          <w:szCs w:val="24"/>
        </w:rPr>
        <w:t xml:space="preserve">). </w:t>
      </w:r>
    </w:p>
    <w:p w14:paraId="1525954E" w14:textId="77777777" w:rsidR="00942E9F" w:rsidRPr="008269E4" w:rsidRDefault="005A18C8" w:rsidP="00942E9F">
      <w:pPr>
        <w:jc w:val="both"/>
        <w:rPr>
          <w:rFonts w:ascii="Times New Roman" w:hAnsi="Times New Roman" w:cs="Times New Roman"/>
          <w:sz w:val="24"/>
          <w:szCs w:val="24"/>
        </w:rPr>
      </w:pPr>
      <w:r w:rsidRPr="008269E4">
        <w:rPr>
          <w:rFonts w:ascii="Times New Roman" w:hAnsi="Times New Roman" w:cs="Times New Roman"/>
          <w:sz w:val="24"/>
          <w:szCs w:val="24"/>
        </w:rPr>
        <w:t>Me</w:t>
      </w:r>
      <w:r w:rsidR="00995768" w:rsidRPr="008269E4">
        <w:rPr>
          <w:rFonts w:ascii="Times New Roman" w:hAnsi="Times New Roman" w:cs="Times New Roman"/>
          <w:sz w:val="24"/>
          <w:szCs w:val="24"/>
        </w:rPr>
        <w:t xml:space="preserve">asures of SWB (life evaluation or overall life satisfaction) have been controversial. </w:t>
      </w:r>
      <w:proofErr w:type="spellStart"/>
      <w:r w:rsidR="00995768" w:rsidRPr="008269E4">
        <w:rPr>
          <w:rFonts w:ascii="Times New Roman" w:hAnsi="Times New Roman" w:cs="Times New Roman"/>
          <w:sz w:val="24"/>
          <w:szCs w:val="24"/>
        </w:rPr>
        <w:t>Ravallion</w:t>
      </w:r>
      <w:proofErr w:type="spellEnd"/>
      <w:r w:rsidR="00995768" w:rsidRPr="008269E4">
        <w:rPr>
          <w:rFonts w:ascii="Times New Roman" w:hAnsi="Times New Roman" w:cs="Times New Roman"/>
          <w:sz w:val="24"/>
          <w:szCs w:val="24"/>
        </w:rPr>
        <w:t xml:space="preserve"> et al</w:t>
      </w:r>
      <w:r w:rsidR="00446D5A" w:rsidRPr="008269E4">
        <w:rPr>
          <w:rFonts w:ascii="Times New Roman" w:hAnsi="Times New Roman" w:cs="Times New Roman"/>
          <w:sz w:val="24"/>
          <w:szCs w:val="24"/>
        </w:rPr>
        <w:t>.</w:t>
      </w:r>
      <w:r w:rsidR="00995768" w:rsidRPr="008269E4">
        <w:rPr>
          <w:rFonts w:ascii="Times New Roman" w:hAnsi="Times New Roman" w:cs="Times New Roman"/>
          <w:sz w:val="24"/>
          <w:szCs w:val="24"/>
        </w:rPr>
        <w:t xml:space="preserve"> (2016)</w:t>
      </w:r>
      <w:r w:rsidR="001A0E61" w:rsidRPr="008269E4">
        <w:rPr>
          <w:rFonts w:ascii="Times New Roman" w:hAnsi="Times New Roman" w:cs="Times New Roman"/>
          <w:sz w:val="24"/>
          <w:szCs w:val="24"/>
        </w:rPr>
        <w:t>,</w:t>
      </w:r>
      <w:r w:rsidR="00995768" w:rsidRPr="008269E4">
        <w:rPr>
          <w:rFonts w:ascii="Times New Roman" w:hAnsi="Times New Roman" w:cs="Times New Roman"/>
          <w:sz w:val="24"/>
          <w:szCs w:val="24"/>
        </w:rPr>
        <w:t xml:space="preserve"> for example, are sceptical but not dismissive of such measures. Their scepticism rests on scale heterogeneity</w:t>
      </w:r>
      <w:r w:rsidR="00DA0895" w:rsidRPr="008269E4">
        <w:rPr>
          <w:rFonts w:ascii="Times New Roman" w:hAnsi="Times New Roman" w:cs="Times New Roman"/>
          <w:sz w:val="24"/>
          <w:szCs w:val="24"/>
        </w:rPr>
        <w:t>-</w:t>
      </w:r>
      <w:r w:rsidR="005E7E65" w:rsidRPr="008269E4">
        <w:rPr>
          <w:rFonts w:ascii="Times New Roman" w:hAnsi="Times New Roman" w:cs="Times New Roman"/>
          <w:sz w:val="24"/>
          <w:szCs w:val="24"/>
        </w:rPr>
        <w:t>the standard deviation of utility over different choice situations.</w:t>
      </w:r>
      <w:r w:rsidR="00995768" w:rsidRPr="008269E4">
        <w:rPr>
          <w:rFonts w:ascii="Times New Roman" w:hAnsi="Times New Roman" w:cs="Times New Roman"/>
          <w:sz w:val="24"/>
          <w:szCs w:val="24"/>
        </w:rPr>
        <w:t xml:space="preserve"> However, subjective measures of poverty are not just similar to those obtained from income/expenditure thresholds but sometimes unavoidable</w:t>
      </w:r>
      <w:r w:rsidR="009C1379" w:rsidRPr="008269E4">
        <w:rPr>
          <w:rStyle w:val="FootnoteReference"/>
          <w:rFonts w:ascii="Times New Roman" w:hAnsi="Times New Roman" w:cs="Times New Roman"/>
          <w:sz w:val="24"/>
          <w:szCs w:val="24"/>
        </w:rPr>
        <w:footnoteReference w:id="3"/>
      </w:r>
      <w:r w:rsidR="00995768" w:rsidRPr="008269E4">
        <w:rPr>
          <w:rFonts w:ascii="Times New Roman" w:hAnsi="Times New Roman" w:cs="Times New Roman"/>
          <w:sz w:val="24"/>
          <w:szCs w:val="24"/>
        </w:rPr>
        <w:t xml:space="preserve">. Deaton (2018), however, </w:t>
      </w:r>
      <w:r w:rsidR="00942E9F" w:rsidRPr="008269E4">
        <w:rPr>
          <w:rFonts w:ascii="Times New Roman" w:hAnsi="Times New Roman" w:cs="Times New Roman"/>
          <w:sz w:val="24"/>
          <w:szCs w:val="24"/>
        </w:rPr>
        <w:t>offers robust support</w:t>
      </w:r>
      <w:r w:rsidR="00C842DB" w:rsidRPr="008269E4">
        <w:rPr>
          <w:rFonts w:ascii="Times New Roman" w:hAnsi="Times New Roman" w:cs="Times New Roman"/>
          <w:sz w:val="24"/>
          <w:szCs w:val="24"/>
        </w:rPr>
        <w:t xml:space="preserve"> to self-reported measures of well-being,</w:t>
      </w:r>
      <w:r w:rsidR="001A0E61" w:rsidRPr="008269E4">
        <w:rPr>
          <w:rFonts w:ascii="Times New Roman" w:hAnsi="Times New Roman" w:cs="Times New Roman"/>
          <w:sz w:val="24"/>
          <w:szCs w:val="24"/>
        </w:rPr>
        <w:t xml:space="preserve"> as such measures capture aspects of welfare beyond real income, which is what economists typically use to proxy utility</w:t>
      </w:r>
      <w:r w:rsidR="00942E9F" w:rsidRPr="008269E4">
        <w:rPr>
          <w:rFonts w:ascii="Times New Roman" w:hAnsi="Times New Roman" w:cs="Times New Roman"/>
          <w:sz w:val="24"/>
          <w:szCs w:val="24"/>
        </w:rPr>
        <w:t>. He uses cross-country and</w:t>
      </w:r>
      <w:r w:rsidR="00323881">
        <w:rPr>
          <w:rFonts w:ascii="Times New Roman" w:hAnsi="Times New Roman" w:cs="Times New Roman"/>
          <w:sz w:val="24"/>
          <w:szCs w:val="24"/>
        </w:rPr>
        <w:t xml:space="preserve"> </w:t>
      </w:r>
      <w:r w:rsidR="00942E9F" w:rsidRPr="008269E4">
        <w:rPr>
          <w:rFonts w:ascii="Times New Roman" w:hAnsi="Times New Roman" w:cs="Times New Roman"/>
          <w:sz w:val="24"/>
          <w:szCs w:val="24"/>
        </w:rPr>
        <w:t>country</w:t>
      </w:r>
      <w:r w:rsidR="009F5585" w:rsidRPr="008269E4">
        <w:rPr>
          <w:rFonts w:ascii="Times New Roman" w:hAnsi="Times New Roman" w:cs="Times New Roman"/>
          <w:sz w:val="24"/>
          <w:szCs w:val="24"/>
        </w:rPr>
        <w:t>-</w:t>
      </w:r>
      <w:r w:rsidR="00942E9F" w:rsidRPr="008269E4">
        <w:rPr>
          <w:rFonts w:ascii="Times New Roman" w:hAnsi="Times New Roman" w:cs="Times New Roman"/>
          <w:sz w:val="24"/>
          <w:szCs w:val="24"/>
        </w:rPr>
        <w:t xml:space="preserve">specific comparisons to validate measures </w:t>
      </w:r>
      <w:r w:rsidR="00C842DB" w:rsidRPr="008269E4">
        <w:rPr>
          <w:rFonts w:ascii="Times New Roman" w:hAnsi="Times New Roman" w:cs="Times New Roman"/>
          <w:sz w:val="24"/>
          <w:szCs w:val="24"/>
        </w:rPr>
        <w:t xml:space="preserve">of </w:t>
      </w:r>
      <w:r w:rsidR="00942E9F" w:rsidRPr="008269E4">
        <w:rPr>
          <w:rFonts w:ascii="Times New Roman" w:hAnsi="Times New Roman" w:cs="Times New Roman"/>
          <w:sz w:val="24"/>
          <w:szCs w:val="24"/>
        </w:rPr>
        <w:t>SWB</w:t>
      </w:r>
      <w:r w:rsidR="00C842DB" w:rsidRPr="008269E4">
        <w:rPr>
          <w:rFonts w:ascii="Times New Roman" w:hAnsi="Times New Roman" w:cs="Times New Roman"/>
          <w:sz w:val="24"/>
          <w:szCs w:val="24"/>
        </w:rPr>
        <w:t>, and draws out their policy significance</w:t>
      </w:r>
      <w:r w:rsidR="00942E9F" w:rsidRPr="008269E4">
        <w:rPr>
          <w:rFonts w:ascii="Times New Roman" w:hAnsi="Times New Roman" w:cs="Times New Roman"/>
          <w:sz w:val="24"/>
          <w:szCs w:val="24"/>
        </w:rPr>
        <w:t xml:space="preserve">. </w:t>
      </w:r>
    </w:p>
    <w:p w14:paraId="5DDD8868" w14:textId="77777777" w:rsidR="00D74D67" w:rsidRPr="008269E4" w:rsidRDefault="00942E9F" w:rsidP="00D74D67">
      <w:pPr>
        <w:jc w:val="both"/>
        <w:rPr>
          <w:rFonts w:ascii="Times New Roman" w:hAnsi="Times New Roman" w:cs="Times New Roman"/>
          <w:sz w:val="24"/>
          <w:szCs w:val="24"/>
        </w:rPr>
      </w:pPr>
      <w:r w:rsidRPr="008269E4">
        <w:rPr>
          <w:rFonts w:ascii="Times New Roman" w:hAnsi="Times New Roman" w:cs="Times New Roman"/>
          <w:sz w:val="24"/>
          <w:szCs w:val="24"/>
        </w:rPr>
        <w:t xml:space="preserve">Strands of the literature show that the relationship between well-being and age is U-shaped </w:t>
      </w:r>
      <w:r w:rsidR="00597A23" w:rsidRPr="008269E4">
        <w:rPr>
          <w:rFonts w:ascii="Times New Roman" w:hAnsi="Times New Roman" w:cs="Times New Roman"/>
          <w:sz w:val="24"/>
          <w:szCs w:val="24"/>
        </w:rPr>
        <w:t>-</w:t>
      </w:r>
      <w:r w:rsidRPr="008269E4">
        <w:rPr>
          <w:rFonts w:ascii="Times New Roman" w:hAnsi="Times New Roman" w:cs="Times New Roman"/>
          <w:sz w:val="24"/>
          <w:szCs w:val="24"/>
        </w:rPr>
        <w:t xml:space="preserve"> well-being is at its lowest among the middle-aged (35-45 years), and highest in the oldest 75-plus age group. This is justified in terms of work-related </w:t>
      </w:r>
      <w:r w:rsidR="009F5585" w:rsidRPr="008269E4">
        <w:rPr>
          <w:rFonts w:ascii="Times New Roman" w:hAnsi="Times New Roman" w:cs="Times New Roman"/>
          <w:sz w:val="24"/>
          <w:szCs w:val="24"/>
        </w:rPr>
        <w:t>stress</w:t>
      </w:r>
      <w:r w:rsidRPr="008269E4">
        <w:rPr>
          <w:rFonts w:ascii="Times New Roman" w:hAnsi="Times New Roman" w:cs="Times New Roman"/>
          <w:sz w:val="24"/>
          <w:szCs w:val="24"/>
        </w:rPr>
        <w:t xml:space="preserve"> and uncertainty about the future, while at much older ages, there is freedom from work-related stress and, perhaps, a </w:t>
      </w:r>
      <w:r w:rsidRPr="008269E4">
        <w:rPr>
          <w:rFonts w:ascii="Times New Roman" w:hAnsi="Times New Roman" w:cs="Times New Roman"/>
          <w:sz w:val="24"/>
          <w:szCs w:val="24"/>
        </w:rPr>
        <w:lastRenderedPageBreak/>
        <w:t>sense of accomplishment (</w:t>
      </w:r>
      <w:proofErr w:type="spellStart"/>
      <w:r w:rsidRPr="008269E4">
        <w:rPr>
          <w:rFonts w:ascii="Times New Roman" w:hAnsi="Times New Roman" w:cs="Times New Roman"/>
          <w:sz w:val="24"/>
          <w:szCs w:val="24"/>
        </w:rPr>
        <w:t>Blanchflower</w:t>
      </w:r>
      <w:proofErr w:type="spellEnd"/>
      <w:r w:rsidRPr="008269E4">
        <w:rPr>
          <w:rFonts w:ascii="Times New Roman" w:hAnsi="Times New Roman" w:cs="Times New Roman"/>
          <w:sz w:val="24"/>
          <w:szCs w:val="24"/>
        </w:rPr>
        <w:t xml:space="preserve"> and Oswald, 2007</w:t>
      </w:r>
      <w:r w:rsidR="009C1379" w:rsidRPr="008269E4">
        <w:rPr>
          <w:rFonts w:ascii="Times New Roman" w:hAnsi="Times New Roman" w:cs="Times New Roman"/>
          <w:sz w:val="24"/>
          <w:szCs w:val="24"/>
        </w:rPr>
        <w:t>, Dolan et al. 2008, among others)</w:t>
      </w:r>
      <w:r w:rsidRPr="008269E4">
        <w:rPr>
          <w:rFonts w:ascii="Times New Roman" w:hAnsi="Times New Roman" w:cs="Times New Roman"/>
          <w:sz w:val="24"/>
          <w:szCs w:val="24"/>
        </w:rPr>
        <w:t xml:space="preserve">. Deaton (2018), however, offers </w:t>
      </w:r>
      <w:r w:rsidR="009C1379" w:rsidRPr="008269E4">
        <w:rPr>
          <w:rFonts w:ascii="Times New Roman" w:hAnsi="Times New Roman" w:cs="Times New Roman"/>
          <w:sz w:val="24"/>
          <w:szCs w:val="24"/>
        </w:rPr>
        <w:t>a more balanced appraisal. Age patterns are neither universal, nor very pronounced. Specifically, the (unconditional) U-shape appears in the English speaking countries, to a lesser extent in East and in South Asia</w:t>
      </w:r>
      <w:r w:rsidR="00E30F75" w:rsidRPr="008269E4">
        <w:rPr>
          <w:rFonts w:ascii="Times New Roman" w:hAnsi="Times New Roman" w:cs="Times New Roman"/>
          <w:sz w:val="24"/>
          <w:szCs w:val="24"/>
        </w:rPr>
        <w:t>,</w:t>
      </w:r>
      <w:r w:rsidR="009C1379" w:rsidRPr="008269E4">
        <w:rPr>
          <w:rFonts w:ascii="Times New Roman" w:hAnsi="Times New Roman" w:cs="Times New Roman"/>
          <w:sz w:val="24"/>
          <w:szCs w:val="24"/>
        </w:rPr>
        <w:t xml:space="preserve"> and in </w:t>
      </w:r>
      <w:r w:rsidR="009F5585" w:rsidRPr="008269E4">
        <w:rPr>
          <w:rFonts w:ascii="Times New Roman" w:hAnsi="Times New Roman" w:cs="Times New Roman"/>
          <w:sz w:val="24"/>
          <w:szCs w:val="24"/>
        </w:rPr>
        <w:t xml:space="preserve">(non-English speaking) </w:t>
      </w:r>
      <w:r w:rsidR="009C1379" w:rsidRPr="008269E4">
        <w:rPr>
          <w:rFonts w:ascii="Times New Roman" w:hAnsi="Times New Roman" w:cs="Times New Roman"/>
          <w:sz w:val="24"/>
          <w:szCs w:val="24"/>
        </w:rPr>
        <w:t>Europe</w:t>
      </w:r>
      <w:r w:rsidR="00446D5A" w:rsidRPr="008269E4">
        <w:rPr>
          <w:rFonts w:ascii="Times New Roman" w:hAnsi="Times New Roman" w:cs="Times New Roman"/>
          <w:sz w:val="24"/>
          <w:szCs w:val="24"/>
        </w:rPr>
        <w:t xml:space="preserve"> - </w:t>
      </w:r>
      <w:r w:rsidR="009C1379" w:rsidRPr="008269E4">
        <w:rPr>
          <w:rFonts w:ascii="Times New Roman" w:hAnsi="Times New Roman" w:cs="Times New Roman"/>
          <w:sz w:val="24"/>
          <w:szCs w:val="24"/>
        </w:rPr>
        <w:t>more for men than women</w:t>
      </w:r>
      <w:r w:rsidR="00446D5A" w:rsidRPr="008269E4">
        <w:rPr>
          <w:rFonts w:ascii="Times New Roman" w:hAnsi="Times New Roman" w:cs="Times New Roman"/>
          <w:sz w:val="24"/>
          <w:szCs w:val="24"/>
        </w:rPr>
        <w:t xml:space="preserve"> - </w:t>
      </w:r>
      <w:r w:rsidR="009C1379" w:rsidRPr="008269E4">
        <w:rPr>
          <w:rFonts w:ascii="Times New Roman" w:hAnsi="Times New Roman" w:cs="Times New Roman"/>
          <w:sz w:val="24"/>
          <w:szCs w:val="24"/>
        </w:rPr>
        <w:t xml:space="preserve">but not elsewhere. </w:t>
      </w:r>
      <w:r w:rsidR="00C9544C" w:rsidRPr="008269E4">
        <w:rPr>
          <w:rFonts w:ascii="Times New Roman" w:hAnsi="Times New Roman" w:cs="Times New Roman"/>
          <w:sz w:val="24"/>
          <w:szCs w:val="24"/>
        </w:rPr>
        <w:t>Even in the U</w:t>
      </w:r>
      <w:r w:rsidR="00D74D67" w:rsidRPr="008269E4">
        <w:rPr>
          <w:rFonts w:ascii="Times New Roman" w:hAnsi="Times New Roman" w:cs="Times New Roman"/>
          <w:sz w:val="24"/>
          <w:szCs w:val="24"/>
        </w:rPr>
        <w:t xml:space="preserve">S, using the nationally representative survey data (General Social Survey) in 1973-1994, </w:t>
      </w:r>
      <w:proofErr w:type="spellStart"/>
      <w:r w:rsidR="00D74D67" w:rsidRPr="008269E4">
        <w:rPr>
          <w:rFonts w:ascii="Times New Roman" w:hAnsi="Times New Roman" w:cs="Times New Roman"/>
          <w:sz w:val="24"/>
          <w:szCs w:val="24"/>
        </w:rPr>
        <w:t>Easterlin</w:t>
      </w:r>
      <w:proofErr w:type="spellEnd"/>
      <w:r w:rsidR="00323881">
        <w:rPr>
          <w:rFonts w:ascii="Times New Roman" w:hAnsi="Times New Roman" w:cs="Times New Roman"/>
          <w:sz w:val="24"/>
          <w:szCs w:val="24"/>
        </w:rPr>
        <w:t xml:space="preserve"> </w:t>
      </w:r>
      <w:r w:rsidR="00D74D67" w:rsidRPr="008269E4">
        <w:rPr>
          <w:rFonts w:ascii="Times New Roman" w:hAnsi="Times New Roman" w:cs="Times New Roman"/>
          <w:sz w:val="24"/>
          <w:szCs w:val="24"/>
        </w:rPr>
        <w:t xml:space="preserve">(2006) showed that the relationship between age and happiness represents an </w:t>
      </w:r>
      <w:r w:rsidR="00CB75A1" w:rsidRPr="008269E4">
        <w:rPr>
          <w:rFonts w:ascii="Times New Roman" w:hAnsi="Times New Roman" w:cs="Times New Roman"/>
          <w:sz w:val="24"/>
          <w:szCs w:val="24"/>
        </w:rPr>
        <w:t>inver</w:t>
      </w:r>
      <w:r w:rsidR="00B7569A" w:rsidRPr="008269E4">
        <w:rPr>
          <w:rFonts w:ascii="Times New Roman" w:hAnsi="Times New Roman" w:cs="Times New Roman"/>
          <w:sz w:val="24"/>
          <w:szCs w:val="24"/>
        </w:rPr>
        <w:t>ted</w:t>
      </w:r>
      <w:r w:rsidR="00323881">
        <w:rPr>
          <w:rFonts w:ascii="Times New Roman" w:hAnsi="Times New Roman" w:cs="Times New Roman"/>
          <w:sz w:val="24"/>
          <w:szCs w:val="24"/>
        </w:rPr>
        <w:t xml:space="preserve"> </w:t>
      </w:r>
      <w:r w:rsidR="00D74D67" w:rsidRPr="008269E4">
        <w:rPr>
          <w:rFonts w:ascii="Times New Roman" w:hAnsi="Times New Roman" w:cs="Times New Roman"/>
          <w:sz w:val="24"/>
          <w:szCs w:val="24"/>
        </w:rPr>
        <w:t>U-shape curve where the happiness measure is on family and health satisfaction. That is, the happiness of a birth</w:t>
      </w:r>
      <w:r w:rsidR="00323881">
        <w:rPr>
          <w:rFonts w:ascii="Times New Roman" w:hAnsi="Times New Roman" w:cs="Times New Roman"/>
          <w:sz w:val="24"/>
          <w:szCs w:val="24"/>
        </w:rPr>
        <w:t xml:space="preserve"> </w:t>
      </w:r>
      <w:r w:rsidR="00D74D67" w:rsidRPr="008269E4">
        <w:rPr>
          <w:rFonts w:ascii="Times New Roman" w:hAnsi="Times New Roman" w:cs="Times New Roman"/>
          <w:sz w:val="24"/>
          <w:szCs w:val="24"/>
        </w:rPr>
        <w:t>cohort rise</w:t>
      </w:r>
      <w:r w:rsidR="0086056E" w:rsidRPr="008269E4">
        <w:rPr>
          <w:rFonts w:ascii="Times New Roman" w:hAnsi="Times New Roman" w:cs="Times New Roman"/>
          <w:sz w:val="24"/>
          <w:szCs w:val="24"/>
        </w:rPr>
        <w:t>s</w:t>
      </w:r>
      <w:r w:rsidR="00D74D67" w:rsidRPr="008269E4">
        <w:rPr>
          <w:rFonts w:ascii="Times New Roman" w:hAnsi="Times New Roman" w:cs="Times New Roman"/>
          <w:sz w:val="24"/>
          <w:szCs w:val="24"/>
        </w:rPr>
        <w:t xml:space="preserve"> mildly from age 18 to midlife, and decline</w:t>
      </w:r>
      <w:r w:rsidR="0086056E" w:rsidRPr="008269E4">
        <w:rPr>
          <w:rFonts w:ascii="Times New Roman" w:hAnsi="Times New Roman" w:cs="Times New Roman"/>
          <w:sz w:val="24"/>
          <w:szCs w:val="24"/>
        </w:rPr>
        <w:t>s</w:t>
      </w:r>
      <w:r w:rsidR="00323881">
        <w:rPr>
          <w:rFonts w:ascii="Times New Roman" w:hAnsi="Times New Roman" w:cs="Times New Roman"/>
          <w:sz w:val="24"/>
          <w:szCs w:val="24"/>
        </w:rPr>
        <w:t xml:space="preserve"> </w:t>
      </w:r>
      <w:r w:rsidR="00D74D67" w:rsidRPr="008269E4">
        <w:rPr>
          <w:rFonts w:ascii="Times New Roman" w:hAnsi="Times New Roman" w:cs="Times New Roman"/>
          <w:sz w:val="24"/>
          <w:szCs w:val="24"/>
        </w:rPr>
        <w:t>after 50.</w:t>
      </w:r>
      <w:r w:rsidR="0086056E" w:rsidRPr="008269E4">
        <w:rPr>
          <w:rFonts w:ascii="Times New Roman" w:hAnsi="Times New Roman" w:cs="Times New Roman"/>
          <w:sz w:val="24"/>
          <w:szCs w:val="24"/>
        </w:rPr>
        <w:t xml:space="preserve"> So the age-wellbeing relationship cannot be generalised as it differs considerably depending on the study context (e.g. differences of country or regions, time, the definition of well-being, the nature of the data). </w:t>
      </w:r>
    </w:p>
    <w:p w14:paraId="16C6EB08" w14:textId="54F05189" w:rsidR="00841AB1" w:rsidRPr="008269E4" w:rsidRDefault="00E30F75" w:rsidP="009C1379">
      <w:pPr>
        <w:jc w:val="both"/>
        <w:rPr>
          <w:rFonts w:ascii="Times New Roman" w:hAnsi="Times New Roman" w:cs="Times New Roman"/>
          <w:sz w:val="24"/>
          <w:szCs w:val="24"/>
        </w:rPr>
      </w:pPr>
      <w:r w:rsidRPr="008269E4">
        <w:rPr>
          <w:rFonts w:ascii="Times New Roman" w:hAnsi="Times New Roman" w:cs="Times New Roman"/>
          <w:sz w:val="24"/>
          <w:szCs w:val="24"/>
        </w:rPr>
        <w:t xml:space="preserve">Our objective is to identify and assess the factors associated with </w:t>
      </w:r>
      <w:r w:rsidR="009B5F95" w:rsidRPr="008269E4">
        <w:rPr>
          <w:rFonts w:ascii="Times New Roman" w:hAnsi="Times New Roman" w:cs="Times New Roman"/>
          <w:i/>
          <w:sz w:val="24"/>
          <w:szCs w:val="24"/>
        </w:rPr>
        <w:t>changes</w:t>
      </w:r>
      <w:r w:rsidR="009B5F95" w:rsidRPr="008269E4">
        <w:rPr>
          <w:rFonts w:ascii="Times New Roman" w:hAnsi="Times New Roman" w:cs="Times New Roman"/>
          <w:sz w:val="24"/>
          <w:szCs w:val="24"/>
        </w:rPr>
        <w:t xml:space="preserve"> in </w:t>
      </w:r>
      <w:r w:rsidRPr="008269E4">
        <w:rPr>
          <w:rFonts w:ascii="Times New Roman" w:hAnsi="Times New Roman" w:cs="Times New Roman"/>
          <w:sz w:val="24"/>
          <w:szCs w:val="24"/>
        </w:rPr>
        <w:t>SWB in India between 200</w:t>
      </w:r>
      <w:r w:rsidR="00841AB1" w:rsidRPr="008269E4">
        <w:rPr>
          <w:rFonts w:ascii="Times New Roman" w:hAnsi="Times New Roman" w:cs="Times New Roman"/>
          <w:sz w:val="24"/>
          <w:szCs w:val="24"/>
        </w:rPr>
        <w:t>4-</w:t>
      </w:r>
      <w:r w:rsidRPr="008269E4">
        <w:rPr>
          <w:rFonts w:ascii="Times New Roman" w:hAnsi="Times New Roman" w:cs="Times New Roman"/>
          <w:sz w:val="24"/>
          <w:szCs w:val="24"/>
        </w:rPr>
        <w:t>5</w:t>
      </w:r>
      <w:r w:rsidR="00E76DF6" w:rsidRPr="008269E4">
        <w:rPr>
          <w:rFonts w:ascii="Times New Roman" w:hAnsi="Times New Roman" w:cs="Times New Roman"/>
          <w:sz w:val="24"/>
          <w:szCs w:val="24"/>
        </w:rPr>
        <w:t xml:space="preserve"> and 20</w:t>
      </w:r>
      <w:r w:rsidR="00841AB1" w:rsidRPr="008269E4">
        <w:rPr>
          <w:rFonts w:ascii="Times New Roman" w:hAnsi="Times New Roman" w:cs="Times New Roman"/>
          <w:sz w:val="24"/>
          <w:szCs w:val="24"/>
        </w:rPr>
        <w:t>11-</w:t>
      </w:r>
      <w:r w:rsidRPr="008269E4">
        <w:rPr>
          <w:rFonts w:ascii="Times New Roman" w:hAnsi="Times New Roman" w:cs="Times New Roman"/>
          <w:sz w:val="24"/>
          <w:szCs w:val="24"/>
        </w:rPr>
        <w:t>12.</w:t>
      </w:r>
      <w:r w:rsidR="005D7277">
        <w:rPr>
          <w:rFonts w:ascii="Times New Roman" w:hAnsi="Times New Roman" w:cs="Times New Roman"/>
          <w:sz w:val="24"/>
          <w:szCs w:val="24"/>
        </w:rPr>
        <w:t xml:space="preserve"> </w:t>
      </w:r>
      <w:r w:rsidR="00DE5AA4" w:rsidRPr="008269E4">
        <w:rPr>
          <w:rFonts w:ascii="Times New Roman" w:hAnsi="Times New Roman" w:cs="Times New Roman"/>
          <w:sz w:val="24"/>
          <w:szCs w:val="24"/>
        </w:rPr>
        <w:t>We carry out econometric analyses using the large panel dataset constructed by India Human Development Surveys (IHDS) 1 and 2. These surveys form a national panel household survey covering all parts of India and were organised by the University of Maryland and the National Council of Applied Economic Research.</w:t>
      </w:r>
      <w:r w:rsidR="00DE5AA4" w:rsidRPr="008269E4">
        <w:rPr>
          <w:rStyle w:val="FootnoteReference"/>
          <w:rFonts w:ascii="Times New Roman" w:hAnsi="Times New Roman" w:cs="Times New Roman"/>
          <w:sz w:val="24"/>
          <w:szCs w:val="24"/>
        </w:rPr>
        <w:footnoteReference w:id="4"/>
      </w:r>
      <w:r w:rsidR="006225E6" w:rsidRPr="008269E4">
        <w:rPr>
          <w:rFonts w:ascii="Times New Roman" w:hAnsi="Times New Roman" w:cs="Times New Roman"/>
          <w:sz w:val="24"/>
          <w:szCs w:val="24"/>
        </w:rPr>
        <w:t>It must be pointed out, however,</w:t>
      </w:r>
      <w:r w:rsidR="00323881">
        <w:rPr>
          <w:rFonts w:ascii="Times New Roman" w:hAnsi="Times New Roman" w:cs="Times New Roman"/>
          <w:sz w:val="24"/>
          <w:szCs w:val="24"/>
        </w:rPr>
        <w:t xml:space="preserve"> </w:t>
      </w:r>
      <w:r w:rsidR="006225E6" w:rsidRPr="008269E4">
        <w:rPr>
          <w:rFonts w:ascii="Times New Roman" w:hAnsi="Times New Roman" w:cs="Times New Roman"/>
          <w:sz w:val="24"/>
          <w:szCs w:val="24"/>
        </w:rPr>
        <w:t xml:space="preserve">that the measure of SWB that we use is focused on </w:t>
      </w:r>
      <w:r w:rsidR="005E7E65" w:rsidRPr="008269E4">
        <w:rPr>
          <w:rFonts w:ascii="Times New Roman" w:hAnsi="Times New Roman" w:cs="Times New Roman"/>
          <w:sz w:val="24"/>
          <w:szCs w:val="24"/>
        </w:rPr>
        <w:t xml:space="preserve">perceived </w:t>
      </w:r>
      <w:r w:rsidR="006225E6" w:rsidRPr="008269E4">
        <w:rPr>
          <w:rFonts w:ascii="Times New Roman" w:hAnsi="Times New Roman" w:cs="Times New Roman"/>
          <w:sz w:val="24"/>
          <w:szCs w:val="24"/>
        </w:rPr>
        <w:t>economic well-being</w:t>
      </w:r>
      <w:r w:rsidR="00DE5AA4" w:rsidRPr="008269E4">
        <w:rPr>
          <w:rFonts w:ascii="Times New Roman" w:hAnsi="Times New Roman" w:cs="Times New Roman"/>
          <w:sz w:val="24"/>
          <w:szCs w:val="24"/>
        </w:rPr>
        <w:t xml:space="preserve"> of the household, such as a respondent (or a household head) perceived that the household </w:t>
      </w:r>
      <w:r w:rsidR="00F90917">
        <w:rPr>
          <w:rFonts w:ascii="Times New Roman" w:hAnsi="Times New Roman" w:cs="Times New Roman"/>
          <w:sz w:val="24"/>
          <w:szCs w:val="24"/>
        </w:rPr>
        <w:t xml:space="preserve">is </w:t>
      </w:r>
      <w:r w:rsidR="00DE5AA4" w:rsidRPr="008269E4">
        <w:rPr>
          <w:rFonts w:ascii="Times New Roman" w:hAnsi="Times New Roman" w:cs="Times New Roman"/>
          <w:sz w:val="24"/>
          <w:szCs w:val="24"/>
        </w:rPr>
        <w:t xml:space="preserve">economically better-off (2), </w:t>
      </w:r>
      <w:r w:rsidR="00414388">
        <w:rPr>
          <w:rFonts w:ascii="Times New Roman" w:hAnsi="Times New Roman" w:cs="Times New Roman"/>
          <w:sz w:val="24"/>
          <w:szCs w:val="24"/>
        </w:rPr>
        <w:t xml:space="preserve">just the </w:t>
      </w:r>
      <w:r w:rsidR="00DE5AA4" w:rsidRPr="008269E4">
        <w:rPr>
          <w:rFonts w:ascii="Times New Roman" w:hAnsi="Times New Roman" w:cs="Times New Roman"/>
          <w:sz w:val="24"/>
          <w:szCs w:val="24"/>
        </w:rPr>
        <w:t xml:space="preserve">same (1) and worse-off (0) </w:t>
      </w:r>
      <w:r w:rsidR="00766456">
        <w:rPr>
          <w:rFonts w:ascii="Times New Roman" w:hAnsi="Times New Roman" w:cs="Times New Roman"/>
          <w:sz w:val="24"/>
          <w:szCs w:val="24"/>
        </w:rPr>
        <w:t>between</w:t>
      </w:r>
      <w:r w:rsidR="00DE5AA4" w:rsidRPr="008269E4">
        <w:rPr>
          <w:rFonts w:ascii="Times New Roman" w:hAnsi="Times New Roman" w:cs="Times New Roman"/>
          <w:sz w:val="24"/>
          <w:szCs w:val="24"/>
        </w:rPr>
        <w:t xml:space="preserve"> 2004-5 and 2011-12. To mitigate the endogeneity concern, </w:t>
      </w:r>
      <w:r w:rsidR="009663BE" w:rsidRPr="008269E4">
        <w:rPr>
          <w:rFonts w:ascii="Times New Roman" w:hAnsi="Times New Roman" w:cs="Times New Roman"/>
          <w:sz w:val="24"/>
          <w:szCs w:val="24"/>
        </w:rPr>
        <w:t xml:space="preserve">we estimate this discrete dependent variable by a number of explanatory </w:t>
      </w:r>
      <w:r w:rsidR="00DE5AA4" w:rsidRPr="008269E4">
        <w:rPr>
          <w:rFonts w:ascii="Times New Roman" w:hAnsi="Times New Roman" w:cs="Times New Roman"/>
          <w:sz w:val="24"/>
          <w:szCs w:val="24"/>
        </w:rPr>
        <w:t>variables at household, community and state levels in 2004-5 (e.g. demographic and other variables such as age, health, caste, religion, location, and conflicts)</w:t>
      </w:r>
      <w:r w:rsidR="00323881">
        <w:rPr>
          <w:rFonts w:ascii="Times New Roman" w:hAnsi="Times New Roman" w:cs="Times New Roman"/>
          <w:sz w:val="24"/>
          <w:szCs w:val="24"/>
        </w:rPr>
        <w:t xml:space="preserve"> </w:t>
      </w:r>
      <w:r w:rsidR="00DE5AA4" w:rsidRPr="008269E4">
        <w:rPr>
          <w:rFonts w:ascii="Times New Roman" w:hAnsi="Times New Roman" w:cs="Times New Roman"/>
          <w:sz w:val="24"/>
          <w:szCs w:val="24"/>
        </w:rPr>
        <w:t xml:space="preserve">using robust Ordinary Least Squares (OLS) and ordered </w:t>
      </w:r>
      <w:proofErr w:type="spellStart"/>
      <w:r w:rsidR="00DE5AA4" w:rsidRPr="008269E4">
        <w:rPr>
          <w:rFonts w:ascii="Times New Roman" w:hAnsi="Times New Roman" w:cs="Times New Roman"/>
          <w:sz w:val="24"/>
          <w:szCs w:val="24"/>
        </w:rPr>
        <w:t>probit</w:t>
      </w:r>
      <w:proofErr w:type="spellEnd"/>
      <w:r w:rsidR="00DE5AA4" w:rsidRPr="008269E4">
        <w:rPr>
          <w:rFonts w:ascii="Times New Roman" w:hAnsi="Times New Roman" w:cs="Times New Roman"/>
          <w:sz w:val="24"/>
          <w:szCs w:val="24"/>
        </w:rPr>
        <w:t xml:space="preserve"> models</w:t>
      </w:r>
      <w:r w:rsidR="00766456">
        <w:rPr>
          <w:rStyle w:val="FootnoteReference"/>
          <w:rFonts w:ascii="Times New Roman" w:hAnsi="Times New Roman" w:cs="Times New Roman"/>
          <w:sz w:val="24"/>
          <w:szCs w:val="24"/>
        </w:rPr>
        <w:footnoteReference w:id="5"/>
      </w:r>
      <w:r w:rsidR="00DE5AA4" w:rsidRPr="008269E4">
        <w:rPr>
          <w:rFonts w:ascii="Times New Roman" w:hAnsi="Times New Roman" w:cs="Times New Roman"/>
          <w:sz w:val="24"/>
          <w:szCs w:val="24"/>
        </w:rPr>
        <w:t xml:space="preserve">.    </w:t>
      </w:r>
    </w:p>
    <w:p w14:paraId="68333EF0" w14:textId="77777777" w:rsidR="009663BE" w:rsidRPr="008269E4" w:rsidRDefault="00446D5A" w:rsidP="009663BE">
      <w:pPr>
        <w:jc w:val="both"/>
        <w:rPr>
          <w:rFonts w:ascii="Times New Roman" w:hAnsi="Times New Roman" w:cs="Times New Roman"/>
          <w:sz w:val="24"/>
          <w:szCs w:val="24"/>
        </w:rPr>
      </w:pPr>
      <w:r w:rsidRPr="008269E4">
        <w:rPr>
          <w:rFonts w:ascii="Times New Roman" w:hAnsi="Times New Roman" w:cs="Times New Roman"/>
          <w:sz w:val="24"/>
          <w:szCs w:val="24"/>
        </w:rPr>
        <w:t xml:space="preserve">Another objective is to compare </w:t>
      </w:r>
      <w:r w:rsidR="00F90917">
        <w:rPr>
          <w:rFonts w:ascii="Times New Roman" w:hAnsi="Times New Roman" w:cs="Times New Roman"/>
          <w:sz w:val="24"/>
          <w:szCs w:val="24"/>
        </w:rPr>
        <w:t>factors associated with</w:t>
      </w:r>
      <w:r w:rsidRPr="008269E4">
        <w:rPr>
          <w:rFonts w:ascii="Times New Roman" w:hAnsi="Times New Roman" w:cs="Times New Roman"/>
          <w:sz w:val="24"/>
          <w:szCs w:val="24"/>
        </w:rPr>
        <w:t xml:space="preserve"> SWB changes with those of objective well-being (OWB). The latter is </w:t>
      </w:r>
      <w:proofErr w:type="spellStart"/>
      <w:r w:rsidRPr="008269E4">
        <w:rPr>
          <w:rFonts w:ascii="Times New Roman" w:hAnsi="Times New Roman" w:cs="Times New Roman"/>
          <w:sz w:val="24"/>
          <w:szCs w:val="24"/>
        </w:rPr>
        <w:t>proxied</w:t>
      </w:r>
      <w:proofErr w:type="spellEnd"/>
      <w:r w:rsidRPr="008269E4">
        <w:rPr>
          <w:rFonts w:ascii="Times New Roman" w:hAnsi="Times New Roman" w:cs="Times New Roman"/>
          <w:sz w:val="24"/>
          <w:szCs w:val="24"/>
        </w:rPr>
        <w:t xml:space="preserve"> by the relative </w:t>
      </w:r>
      <w:r w:rsidR="00E156CF" w:rsidRPr="008269E4">
        <w:rPr>
          <w:rFonts w:ascii="Times New Roman" w:hAnsi="Times New Roman" w:cs="Times New Roman"/>
          <w:sz w:val="24"/>
          <w:szCs w:val="24"/>
        </w:rPr>
        <w:t>growth</w:t>
      </w:r>
      <w:r w:rsidRPr="008269E4">
        <w:rPr>
          <w:rFonts w:ascii="Times New Roman" w:hAnsi="Times New Roman" w:cs="Times New Roman"/>
          <w:sz w:val="24"/>
          <w:szCs w:val="24"/>
        </w:rPr>
        <w:t xml:space="preserve"> in real per capita household consumption in 200</w:t>
      </w:r>
      <w:r w:rsidR="00DE5AA4" w:rsidRPr="008269E4">
        <w:rPr>
          <w:rFonts w:ascii="Times New Roman" w:hAnsi="Times New Roman" w:cs="Times New Roman"/>
          <w:sz w:val="24"/>
          <w:szCs w:val="24"/>
        </w:rPr>
        <w:t>4-5-2011-2</w:t>
      </w:r>
      <w:r w:rsidRPr="008269E4">
        <w:rPr>
          <w:rFonts w:ascii="Times New Roman" w:hAnsi="Times New Roman" w:cs="Times New Roman"/>
          <w:sz w:val="24"/>
          <w:szCs w:val="24"/>
        </w:rPr>
        <w:t xml:space="preserve">. We have </w:t>
      </w:r>
      <w:r w:rsidR="00DE5AA4" w:rsidRPr="008269E4">
        <w:rPr>
          <w:rFonts w:ascii="Times New Roman" w:hAnsi="Times New Roman" w:cs="Times New Roman"/>
          <w:sz w:val="24"/>
          <w:szCs w:val="24"/>
        </w:rPr>
        <w:t xml:space="preserve">classified the entire sample into three groups, better-off (2), </w:t>
      </w:r>
      <w:r w:rsidR="00A37784">
        <w:rPr>
          <w:rFonts w:ascii="Times New Roman" w:hAnsi="Times New Roman" w:cs="Times New Roman"/>
          <w:sz w:val="24"/>
          <w:szCs w:val="24"/>
        </w:rPr>
        <w:t xml:space="preserve">just the </w:t>
      </w:r>
      <w:r w:rsidR="00DE5AA4" w:rsidRPr="008269E4">
        <w:rPr>
          <w:rFonts w:ascii="Times New Roman" w:hAnsi="Times New Roman" w:cs="Times New Roman"/>
          <w:sz w:val="24"/>
          <w:szCs w:val="24"/>
        </w:rPr>
        <w:t>same (1) and worse off (0) based o</w:t>
      </w:r>
      <w:r w:rsidR="00E156CF" w:rsidRPr="008269E4">
        <w:rPr>
          <w:rFonts w:ascii="Times New Roman" w:hAnsi="Times New Roman" w:cs="Times New Roman"/>
          <w:sz w:val="24"/>
          <w:szCs w:val="24"/>
        </w:rPr>
        <w:t xml:space="preserve">n the ranking of the </w:t>
      </w:r>
      <w:r w:rsidR="00DE5AA4" w:rsidRPr="008269E4">
        <w:rPr>
          <w:rFonts w:ascii="Times New Roman" w:hAnsi="Times New Roman" w:cs="Times New Roman"/>
          <w:sz w:val="24"/>
          <w:szCs w:val="24"/>
        </w:rPr>
        <w:t>real per capita household consumption</w:t>
      </w:r>
      <w:r w:rsidR="00E156CF" w:rsidRPr="008269E4">
        <w:rPr>
          <w:rFonts w:ascii="Times New Roman" w:hAnsi="Times New Roman" w:cs="Times New Roman"/>
          <w:sz w:val="24"/>
          <w:szCs w:val="24"/>
        </w:rPr>
        <w:t xml:space="preserve"> growth, making the frequency distributions across </w:t>
      </w:r>
      <w:r w:rsidR="00A37784">
        <w:rPr>
          <w:rFonts w:ascii="Times New Roman" w:hAnsi="Times New Roman" w:cs="Times New Roman"/>
          <w:sz w:val="24"/>
          <w:szCs w:val="24"/>
        </w:rPr>
        <w:t xml:space="preserve">the </w:t>
      </w:r>
      <w:r w:rsidR="00E156CF" w:rsidRPr="008269E4">
        <w:rPr>
          <w:rFonts w:ascii="Times New Roman" w:hAnsi="Times New Roman" w:cs="Times New Roman"/>
          <w:sz w:val="24"/>
          <w:szCs w:val="24"/>
        </w:rPr>
        <w:t xml:space="preserve">three categories </w:t>
      </w:r>
      <w:r w:rsidR="00DE5AA4" w:rsidRPr="008269E4">
        <w:rPr>
          <w:rFonts w:ascii="Times New Roman" w:hAnsi="Times New Roman" w:cs="Times New Roman"/>
          <w:sz w:val="24"/>
          <w:szCs w:val="24"/>
        </w:rPr>
        <w:t>identical to</w:t>
      </w:r>
      <w:r w:rsidR="00323881">
        <w:rPr>
          <w:rFonts w:ascii="Times New Roman" w:hAnsi="Times New Roman" w:cs="Times New Roman"/>
          <w:sz w:val="24"/>
          <w:szCs w:val="24"/>
        </w:rPr>
        <w:t xml:space="preserve"> </w:t>
      </w:r>
      <w:r w:rsidR="00E156CF" w:rsidRPr="008269E4">
        <w:rPr>
          <w:rFonts w:ascii="Times New Roman" w:hAnsi="Times New Roman" w:cs="Times New Roman"/>
          <w:sz w:val="24"/>
          <w:szCs w:val="24"/>
        </w:rPr>
        <w:t xml:space="preserve">those of </w:t>
      </w:r>
      <w:r w:rsidR="009663BE" w:rsidRPr="008269E4">
        <w:rPr>
          <w:rFonts w:ascii="Times New Roman" w:hAnsi="Times New Roman" w:cs="Times New Roman"/>
          <w:sz w:val="24"/>
          <w:szCs w:val="24"/>
        </w:rPr>
        <w:t>SWB changes to make the coefficient estimates comparable</w:t>
      </w:r>
      <w:r w:rsidR="00E156CF" w:rsidRPr="008269E4">
        <w:rPr>
          <w:rFonts w:ascii="Times New Roman" w:hAnsi="Times New Roman" w:cs="Times New Roman"/>
          <w:sz w:val="24"/>
          <w:szCs w:val="24"/>
        </w:rPr>
        <w:t xml:space="preserve"> in their sign and size</w:t>
      </w:r>
      <w:r w:rsidR="009663BE" w:rsidRPr="008269E4">
        <w:rPr>
          <w:rFonts w:ascii="Times New Roman" w:hAnsi="Times New Roman" w:cs="Times New Roman"/>
          <w:sz w:val="24"/>
          <w:szCs w:val="24"/>
        </w:rPr>
        <w:t xml:space="preserve">. We aim to </w:t>
      </w:r>
      <w:r w:rsidR="00FB58DA">
        <w:rPr>
          <w:rFonts w:ascii="Times New Roman" w:hAnsi="Times New Roman" w:cs="Times New Roman"/>
          <w:sz w:val="24"/>
          <w:szCs w:val="24"/>
        </w:rPr>
        <w:t xml:space="preserve">assess </w:t>
      </w:r>
      <w:r w:rsidR="009663BE" w:rsidRPr="008269E4">
        <w:rPr>
          <w:rFonts w:ascii="Times New Roman" w:hAnsi="Times New Roman" w:cs="Times New Roman"/>
          <w:sz w:val="24"/>
          <w:szCs w:val="24"/>
        </w:rPr>
        <w:t>the factors associated with SWB changes, not with OWB changes</w:t>
      </w:r>
      <w:r w:rsidR="00FB58DA">
        <w:rPr>
          <w:rFonts w:ascii="Times New Roman" w:hAnsi="Times New Roman" w:cs="Times New Roman"/>
          <w:sz w:val="24"/>
          <w:szCs w:val="24"/>
        </w:rPr>
        <w:t>,</w:t>
      </w:r>
      <w:r w:rsidR="009663BE" w:rsidRPr="008269E4">
        <w:rPr>
          <w:rFonts w:ascii="Times New Roman" w:hAnsi="Times New Roman" w:cs="Times New Roman"/>
          <w:sz w:val="24"/>
          <w:szCs w:val="24"/>
        </w:rPr>
        <w:t xml:space="preserve"> to identify the </w:t>
      </w:r>
      <w:r w:rsidR="00FB58DA">
        <w:rPr>
          <w:rFonts w:ascii="Times New Roman" w:hAnsi="Times New Roman" w:cs="Times New Roman"/>
          <w:sz w:val="24"/>
          <w:szCs w:val="24"/>
        </w:rPr>
        <w:t>specific</w:t>
      </w:r>
      <w:r w:rsidR="00323881">
        <w:rPr>
          <w:rFonts w:ascii="Times New Roman" w:hAnsi="Times New Roman" w:cs="Times New Roman"/>
          <w:sz w:val="24"/>
          <w:szCs w:val="24"/>
        </w:rPr>
        <w:t xml:space="preserve"> </w:t>
      </w:r>
      <w:r w:rsidR="00FB58DA">
        <w:rPr>
          <w:rFonts w:ascii="Times New Roman" w:hAnsi="Times New Roman" w:cs="Times New Roman"/>
          <w:sz w:val="24"/>
          <w:szCs w:val="24"/>
        </w:rPr>
        <w:t xml:space="preserve">covariates </w:t>
      </w:r>
      <w:r w:rsidR="009663BE" w:rsidRPr="008269E4">
        <w:rPr>
          <w:rFonts w:ascii="Times New Roman" w:hAnsi="Times New Roman" w:cs="Times New Roman"/>
          <w:sz w:val="24"/>
          <w:szCs w:val="24"/>
        </w:rPr>
        <w:t xml:space="preserve">of SWB changes. To our knowledge, this is </w:t>
      </w:r>
      <w:r w:rsidR="00EA3FC0" w:rsidRPr="008269E4">
        <w:rPr>
          <w:rFonts w:ascii="Times New Roman" w:hAnsi="Times New Roman" w:cs="Times New Roman"/>
          <w:sz w:val="24"/>
          <w:szCs w:val="24"/>
        </w:rPr>
        <w:t>one of the few</w:t>
      </w:r>
      <w:r w:rsidR="00323881">
        <w:rPr>
          <w:rFonts w:ascii="Times New Roman" w:hAnsi="Times New Roman" w:cs="Times New Roman"/>
          <w:sz w:val="24"/>
          <w:szCs w:val="24"/>
        </w:rPr>
        <w:t xml:space="preserve"> </w:t>
      </w:r>
      <w:r w:rsidR="00EA3FC0" w:rsidRPr="008269E4">
        <w:rPr>
          <w:rFonts w:ascii="Times New Roman" w:hAnsi="Times New Roman" w:cs="Times New Roman"/>
          <w:sz w:val="24"/>
          <w:szCs w:val="24"/>
        </w:rPr>
        <w:t>studies</w:t>
      </w:r>
      <w:r w:rsidR="009663BE" w:rsidRPr="008269E4">
        <w:rPr>
          <w:rFonts w:ascii="Times New Roman" w:hAnsi="Times New Roman" w:cs="Times New Roman"/>
          <w:sz w:val="24"/>
          <w:szCs w:val="24"/>
        </w:rPr>
        <w:t xml:space="preserve"> to compare SWB and OWB</w:t>
      </w:r>
      <w:r w:rsidR="00EA3FC0" w:rsidRPr="008269E4">
        <w:rPr>
          <w:rFonts w:ascii="Times New Roman" w:hAnsi="Times New Roman" w:cs="Times New Roman"/>
          <w:sz w:val="24"/>
          <w:szCs w:val="24"/>
        </w:rPr>
        <w:t xml:space="preserve"> or their changes</w:t>
      </w:r>
      <w:r w:rsidR="00F35ACC" w:rsidRPr="008269E4">
        <w:rPr>
          <w:rFonts w:ascii="Times New Roman" w:hAnsi="Times New Roman" w:cs="Times New Roman"/>
          <w:sz w:val="24"/>
          <w:szCs w:val="24"/>
        </w:rPr>
        <w:t xml:space="preserve"> in terms of their </w:t>
      </w:r>
      <w:r w:rsidR="00FB58DA">
        <w:rPr>
          <w:rFonts w:ascii="Times New Roman" w:hAnsi="Times New Roman" w:cs="Times New Roman"/>
          <w:sz w:val="24"/>
          <w:szCs w:val="24"/>
        </w:rPr>
        <w:t>covariates</w:t>
      </w:r>
      <w:r w:rsidR="00F35ACC" w:rsidRPr="008269E4">
        <w:rPr>
          <w:rFonts w:ascii="Times New Roman" w:hAnsi="Times New Roman" w:cs="Times New Roman"/>
          <w:sz w:val="24"/>
          <w:szCs w:val="24"/>
        </w:rPr>
        <w:t>.</w:t>
      </w:r>
      <w:r w:rsidR="00EA3FC0" w:rsidRPr="008269E4">
        <w:rPr>
          <w:rStyle w:val="FootnoteReference"/>
          <w:rFonts w:ascii="Times New Roman" w:hAnsi="Times New Roman" w:cs="Times New Roman"/>
          <w:sz w:val="24"/>
          <w:szCs w:val="24"/>
        </w:rPr>
        <w:footnoteReference w:id="6"/>
      </w:r>
      <w:r w:rsidR="009663BE" w:rsidRPr="008269E4">
        <w:rPr>
          <w:rFonts w:ascii="Times New Roman" w:hAnsi="Times New Roman" w:cs="Times New Roman"/>
          <w:sz w:val="24"/>
          <w:szCs w:val="24"/>
        </w:rPr>
        <w:t>While aiming to contribute to the aforementioned academic literature on SWB, we will pay particular attention to policy concerns arising from our results.</w:t>
      </w:r>
    </w:p>
    <w:p w14:paraId="11025D66" w14:textId="77777777" w:rsidR="00A0304D" w:rsidRPr="008269E4" w:rsidRDefault="00A0304D">
      <w:pPr>
        <w:jc w:val="both"/>
        <w:rPr>
          <w:rFonts w:ascii="Times New Roman" w:hAnsi="Times New Roman" w:cs="Times New Roman"/>
          <w:sz w:val="24"/>
          <w:szCs w:val="24"/>
        </w:rPr>
      </w:pPr>
      <w:r w:rsidRPr="008269E4">
        <w:rPr>
          <w:rFonts w:ascii="Times New Roman" w:hAnsi="Times New Roman" w:cs="Times New Roman"/>
          <w:sz w:val="24"/>
          <w:szCs w:val="24"/>
        </w:rPr>
        <w:t>Th</w:t>
      </w:r>
      <w:r w:rsidR="00841AB1" w:rsidRPr="008269E4">
        <w:rPr>
          <w:rFonts w:ascii="Times New Roman" w:hAnsi="Times New Roman" w:cs="Times New Roman"/>
          <w:sz w:val="24"/>
          <w:szCs w:val="24"/>
        </w:rPr>
        <w:t>e rest of</w:t>
      </w:r>
      <w:r w:rsidR="00323881">
        <w:rPr>
          <w:rFonts w:ascii="Times New Roman" w:hAnsi="Times New Roman" w:cs="Times New Roman"/>
          <w:sz w:val="24"/>
          <w:szCs w:val="24"/>
        </w:rPr>
        <w:t xml:space="preserve"> </w:t>
      </w:r>
      <w:r w:rsidR="00841AB1" w:rsidRPr="008269E4">
        <w:rPr>
          <w:rFonts w:ascii="Times New Roman" w:hAnsi="Times New Roman" w:cs="Times New Roman"/>
          <w:sz w:val="24"/>
          <w:szCs w:val="24"/>
        </w:rPr>
        <w:t xml:space="preserve">the </w:t>
      </w:r>
      <w:r w:rsidR="001F3D60" w:rsidRPr="008269E4">
        <w:rPr>
          <w:rFonts w:ascii="Times New Roman" w:hAnsi="Times New Roman" w:cs="Times New Roman"/>
          <w:sz w:val="24"/>
          <w:szCs w:val="24"/>
        </w:rPr>
        <w:t xml:space="preserve">study </w:t>
      </w:r>
      <w:r w:rsidRPr="008269E4">
        <w:rPr>
          <w:rFonts w:ascii="Times New Roman" w:hAnsi="Times New Roman" w:cs="Times New Roman"/>
          <w:sz w:val="24"/>
          <w:szCs w:val="24"/>
        </w:rPr>
        <w:t>is organised as follows</w:t>
      </w:r>
      <w:r w:rsidR="00D64B0A" w:rsidRPr="008269E4">
        <w:rPr>
          <w:rFonts w:ascii="Times New Roman" w:hAnsi="Times New Roman" w:cs="Times New Roman"/>
          <w:sz w:val="24"/>
          <w:szCs w:val="24"/>
        </w:rPr>
        <w:t>.</w:t>
      </w:r>
      <w:r w:rsidRPr="008269E4">
        <w:rPr>
          <w:rFonts w:ascii="Times New Roman" w:hAnsi="Times New Roman" w:cs="Times New Roman"/>
          <w:sz w:val="24"/>
          <w:szCs w:val="24"/>
        </w:rPr>
        <w:t xml:space="preserve"> Section </w:t>
      </w:r>
      <w:r w:rsidR="005118A6" w:rsidRPr="008269E4">
        <w:rPr>
          <w:rFonts w:ascii="Times New Roman" w:hAnsi="Times New Roman" w:cs="Times New Roman"/>
          <w:sz w:val="24"/>
          <w:szCs w:val="24"/>
        </w:rPr>
        <w:t>2</w:t>
      </w:r>
      <w:r w:rsidRPr="008269E4">
        <w:rPr>
          <w:rFonts w:ascii="Times New Roman" w:hAnsi="Times New Roman" w:cs="Times New Roman"/>
          <w:sz w:val="24"/>
          <w:szCs w:val="24"/>
        </w:rPr>
        <w:t xml:space="preserve"> gives a selective review of important contributions to the rapidly growing literature on </w:t>
      </w:r>
      <w:r w:rsidR="00D64B0A" w:rsidRPr="008269E4">
        <w:rPr>
          <w:rFonts w:ascii="Times New Roman" w:hAnsi="Times New Roman" w:cs="Times New Roman"/>
          <w:sz w:val="24"/>
          <w:szCs w:val="24"/>
        </w:rPr>
        <w:t xml:space="preserve">SWB. </w:t>
      </w:r>
      <w:r w:rsidRPr="008269E4">
        <w:rPr>
          <w:rFonts w:ascii="Times New Roman" w:hAnsi="Times New Roman" w:cs="Times New Roman"/>
          <w:sz w:val="24"/>
          <w:szCs w:val="24"/>
        </w:rPr>
        <w:t xml:space="preserve">Section </w:t>
      </w:r>
      <w:r w:rsidR="005118A6" w:rsidRPr="008269E4">
        <w:rPr>
          <w:rFonts w:ascii="Times New Roman" w:hAnsi="Times New Roman" w:cs="Times New Roman"/>
          <w:sz w:val="24"/>
          <w:szCs w:val="24"/>
        </w:rPr>
        <w:t>3</w:t>
      </w:r>
      <w:r w:rsidRPr="008269E4">
        <w:rPr>
          <w:rFonts w:ascii="Times New Roman" w:hAnsi="Times New Roman" w:cs="Times New Roman"/>
          <w:sz w:val="24"/>
          <w:szCs w:val="24"/>
        </w:rPr>
        <w:t xml:space="preserve"> discusses salient features of</w:t>
      </w:r>
      <w:r w:rsidR="00D64B0A" w:rsidRPr="008269E4">
        <w:rPr>
          <w:rFonts w:ascii="Times New Roman" w:hAnsi="Times New Roman" w:cs="Times New Roman"/>
          <w:sz w:val="24"/>
          <w:szCs w:val="24"/>
        </w:rPr>
        <w:t xml:space="preserve"> </w:t>
      </w:r>
      <w:r w:rsidR="00D64B0A" w:rsidRPr="008269E4">
        <w:rPr>
          <w:rFonts w:ascii="Times New Roman" w:hAnsi="Times New Roman" w:cs="Times New Roman"/>
          <w:sz w:val="24"/>
          <w:szCs w:val="24"/>
        </w:rPr>
        <w:lastRenderedPageBreak/>
        <w:t xml:space="preserve">the data, while showing the associations between </w:t>
      </w:r>
      <w:r w:rsidR="0053256C" w:rsidRPr="008269E4">
        <w:rPr>
          <w:rFonts w:ascii="Times New Roman" w:hAnsi="Times New Roman" w:cs="Times New Roman"/>
          <w:sz w:val="24"/>
          <w:szCs w:val="24"/>
        </w:rPr>
        <w:t xml:space="preserve">the </w:t>
      </w:r>
      <w:r w:rsidR="00D64B0A" w:rsidRPr="008269E4">
        <w:rPr>
          <w:rFonts w:ascii="Times New Roman" w:hAnsi="Times New Roman" w:cs="Times New Roman"/>
          <w:sz w:val="24"/>
          <w:szCs w:val="24"/>
        </w:rPr>
        <w:t xml:space="preserve">SWB </w:t>
      </w:r>
      <w:r w:rsidR="0053256C" w:rsidRPr="008269E4">
        <w:rPr>
          <w:rFonts w:ascii="Times New Roman" w:hAnsi="Times New Roman" w:cs="Times New Roman"/>
          <w:sz w:val="24"/>
          <w:szCs w:val="24"/>
        </w:rPr>
        <w:t>change (</w:t>
      </w:r>
      <w:proofErr w:type="gramStart"/>
      <w:r w:rsidR="0053256C" w:rsidRPr="008269E4">
        <w:rPr>
          <w:rFonts w:ascii="Times New Roman" w:hAnsi="Times New Roman" w:cs="Times New Roman"/>
          <w:sz w:val="24"/>
          <w:szCs w:val="24"/>
        </w:rPr>
        <w:t>or</w:t>
      </w:r>
      <w:proofErr w:type="gramEnd"/>
      <w:r w:rsidR="0053256C" w:rsidRPr="008269E4">
        <w:rPr>
          <w:rFonts w:ascii="Times New Roman" w:hAnsi="Times New Roman" w:cs="Times New Roman"/>
          <w:sz w:val="24"/>
          <w:szCs w:val="24"/>
        </w:rPr>
        <w:t xml:space="preserve"> the OWB change) </w:t>
      </w:r>
      <w:r w:rsidR="00D64B0A" w:rsidRPr="008269E4">
        <w:rPr>
          <w:rFonts w:ascii="Times New Roman" w:hAnsi="Times New Roman" w:cs="Times New Roman"/>
          <w:sz w:val="24"/>
          <w:szCs w:val="24"/>
        </w:rPr>
        <w:t>and key covariates</w:t>
      </w:r>
      <w:r w:rsidR="001F3D60" w:rsidRPr="008269E4">
        <w:rPr>
          <w:rFonts w:ascii="Times New Roman" w:hAnsi="Times New Roman" w:cs="Times New Roman"/>
          <w:sz w:val="24"/>
          <w:szCs w:val="24"/>
        </w:rPr>
        <w:t>, based on cross-tabulations</w:t>
      </w:r>
      <w:r w:rsidR="00D64B0A" w:rsidRPr="008269E4">
        <w:rPr>
          <w:rFonts w:ascii="Times New Roman" w:hAnsi="Times New Roman" w:cs="Times New Roman"/>
          <w:sz w:val="24"/>
          <w:szCs w:val="24"/>
        </w:rPr>
        <w:t xml:space="preserve">. </w:t>
      </w:r>
      <w:r w:rsidR="001721B4" w:rsidRPr="008269E4">
        <w:rPr>
          <w:rFonts w:ascii="Times New Roman" w:hAnsi="Times New Roman" w:cs="Times New Roman"/>
          <w:sz w:val="24"/>
          <w:szCs w:val="24"/>
        </w:rPr>
        <w:t xml:space="preserve">Section </w:t>
      </w:r>
      <w:r w:rsidR="00D64B0A" w:rsidRPr="008269E4">
        <w:rPr>
          <w:rFonts w:ascii="Times New Roman" w:hAnsi="Times New Roman" w:cs="Times New Roman"/>
          <w:sz w:val="24"/>
          <w:szCs w:val="24"/>
        </w:rPr>
        <w:t>4</w:t>
      </w:r>
      <w:r w:rsidR="001721B4" w:rsidRPr="008269E4">
        <w:rPr>
          <w:rFonts w:ascii="Times New Roman" w:hAnsi="Times New Roman" w:cs="Times New Roman"/>
          <w:sz w:val="24"/>
          <w:szCs w:val="24"/>
        </w:rPr>
        <w:t xml:space="preserve"> offers brief expositions of multiple regression and ordered </w:t>
      </w:r>
      <w:proofErr w:type="spellStart"/>
      <w:r w:rsidR="001721B4" w:rsidRPr="008269E4">
        <w:rPr>
          <w:rFonts w:ascii="Times New Roman" w:hAnsi="Times New Roman" w:cs="Times New Roman"/>
          <w:sz w:val="24"/>
          <w:szCs w:val="24"/>
        </w:rPr>
        <w:t>probit</w:t>
      </w:r>
      <w:proofErr w:type="spellEnd"/>
      <w:r w:rsidR="005118A6" w:rsidRPr="008269E4">
        <w:rPr>
          <w:rFonts w:ascii="Times New Roman" w:hAnsi="Times New Roman" w:cs="Times New Roman"/>
          <w:sz w:val="24"/>
          <w:szCs w:val="24"/>
        </w:rPr>
        <w:t xml:space="preserve"> (</w:t>
      </w:r>
      <w:r w:rsidR="001721B4" w:rsidRPr="008269E4">
        <w:rPr>
          <w:rFonts w:ascii="Times New Roman" w:hAnsi="Times New Roman" w:cs="Times New Roman"/>
          <w:sz w:val="24"/>
          <w:szCs w:val="24"/>
        </w:rPr>
        <w:t>OP</w:t>
      </w:r>
      <w:r w:rsidR="005118A6" w:rsidRPr="008269E4">
        <w:rPr>
          <w:rFonts w:ascii="Times New Roman" w:hAnsi="Times New Roman" w:cs="Times New Roman"/>
          <w:sz w:val="24"/>
          <w:szCs w:val="24"/>
        </w:rPr>
        <w:t>)</w:t>
      </w:r>
      <w:r w:rsidR="001721B4" w:rsidRPr="008269E4">
        <w:rPr>
          <w:rFonts w:ascii="Times New Roman" w:hAnsi="Times New Roman" w:cs="Times New Roman"/>
          <w:sz w:val="24"/>
          <w:szCs w:val="24"/>
        </w:rPr>
        <w:t xml:space="preserve"> models</w:t>
      </w:r>
      <w:r w:rsidR="0053256C" w:rsidRPr="008269E4">
        <w:rPr>
          <w:rFonts w:ascii="Times New Roman" w:hAnsi="Times New Roman" w:cs="Times New Roman"/>
          <w:sz w:val="24"/>
          <w:szCs w:val="24"/>
        </w:rPr>
        <w:t xml:space="preserve"> for SWB and OWB changes. </w:t>
      </w:r>
      <w:r w:rsidR="001721B4" w:rsidRPr="008269E4">
        <w:rPr>
          <w:rFonts w:ascii="Times New Roman" w:hAnsi="Times New Roman" w:cs="Times New Roman"/>
          <w:sz w:val="24"/>
          <w:szCs w:val="24"/>
        </w:rPr>
        <w:t xml:space="preserve">Section </w:t>
      </w:r>
      <w:r w:rsidR="0049054F" w:rsidRPr="008269E4">
        <w:rPr>
          <w:rFonts w:ascii="Times New Roman" w:hAnsi="Times New Roman" w:cs="Times New Roman"/>
          <w:sz w:val="24"/>
          <w:szCs w:val="24"/>
        </w:rPr>
        <w:t>5</w:t>
      </w:r>
      <w:r w:rsidR="001721B4" w:rsidRPr="008269E4">
        <w:rPr>
          <w:rFonts w:ascii="Times New Roman" w:hAnsi="Times New Roman" w:cs="Times New Roman"/>
          <w:sz w:val="24"/>
          <w:szCs w:val="24"/>
        </w:rPr>
        <w:t xml:space="preserve"> is devoted to interpretation of </w:t>
      </w:r>
      <w:r w:rsidR="0049054F" w:rsidRPr="008269E4">
        <w:rPr>
          <w:rFonts w:ascii="Times New Roman" w:hAnsi="Times New Roman" w:cs="Times New Roman"/>
          <w:sz w:val="24"/>
          <w:szCs w:val="24"/>
        </w:rPr>
        <w:t xml:space="preserve">the results obtained by </w:t>
      </w:r>
      <w:r w:rsidR="001721B4" w:rsidRPr="008269E4">
        <w:rPr>
          <w:rFonts w:ascii="Times New Roman" w:hAnsi="Times New Roman" w:cs="Times New Roman"/>
          <w:sz w:val="24"/>
          <w:szCs w:val="24"/>
        </w:rPr>
        <w:t xml:space="preserve">multiple </w:t>
      </w:r>
      <w:proofErr w:type="gramStart"/>
      <w:r w:rsidR="001721B4" w:rsidRPr="008269E4">
        <w:rPr>
          <w:rFonts w:ascii="Times New Roman" w:hAnsi="Times New Roman" w:cs="Times New Roman"/>
          <w:sz w:val="24"/>
          <w:szCs w:val="24"/>
        </w:rPr>
        <w:t>regression</w:t>
      </w:r>
      <w:proofErr w:type="gramEnd"/>
      <w:r w:rsidR="001721B4" w:rsidRPr="008269E4">
        <w:rPr>
          <w:rFonts w:ascii="Times New Roman" w:hAnsi="Times New Roman" w:cs="Times New Roman"/>
          <w:sz w:val="24"/>
          <w:szCs w:val="24"/>
        </w:rPr>
        <w:t xml:space="preserve"> and OP</w:t>
      </w:r>
      <w:r w:rsidR="0049054F" w:rsidRPr="008269E4">
        <w:rPr>
          <w:rFonts w:ascii="Times New Roman" w:hAnsi="Times New Roman" w:cs="Times New Roman"/>
          <w:sz w:val="24"/>
          <w:szCs w:val="24"/>
        </w:rPr>
        <w:t>.</w:t>
      </w:r>
      <w:r w:rsidR="00323881">
        <w:rPr>
          <w:rFonts w:ascii="Times New Roman" w:hAnsi="Times New Roman" w:cs="Times New Roman"/>
          <w:sz w:val="24"/>
          <w:szCs w:val="24"/>
        </w:rPr>
        <w:t xml:space="preserve"> </w:t>
      </w:r>
      <w:r w:rsidR="0049054F" w:rsidRPr="008269E4">
        <w:rPr>
          <w:rFonts w:ascii="Times New Roman" w:hAnsi="Times New Roman" w:cs="Times New Roman"/>
          <w:sz w:val="24"/>
          <w:szCs w:val="24"/>
        </w:rPr>
        <w:t xml:space="preserve">Section 6 concludes by </w:t>
      </w:r>
      <w:r w:rsidR="001721B4" w:rsidRPr="008269E4">
        <w:rPr>
          <w:rFonts w:ascii="Times New Roman" w:hAnsi="Times New Roman" w:cs="Times New Roman"/>
          <w:sz w:val="24"/>
          <w:szCs w:val="24"/>
        </w:rPr>
        <w:t>discuss</w:t>
      </w:r>
      <w:r w:rsidR="0049054F" w:rsidRPr="008269E4">
        <w:rPr>
          <w:rFonts w:ascii="Times New Roman" w:hAnsi="Times New Roman" w:cs="Times New Roman"/>
          <w:sz w:val="24"/>
          <w:szCs w:val="24"/>
        </w:rPr>
        <w:t xml:space="preserve">ing </w:t>
      </w:r>
      <w:r w:rsidR="001721B4" w:rsidRPr="008269E4">
        <w:rPr>
          <w:rFonts w:ascii="Times New Roman" w:hAnsi="Times New Roman" w:cs="Times New Roman"/>
          <w:sz w:val="24"/>
          <w:szCs w:val="24"/>
        </w:rPr>
        <w:t xml:space="preserve">the significance of our results </w:t>
      </w:r>
      <w:r w:rsidR="00F83C11" w:rsidRPr="008269E4">
        <w:rPr>
          <w:rFonts w:ascii="Times New Roman" w:hAnsi="Times New Roman" w:cs="Times New Roman"/>
          <w:sz w:val="24"/>
          <w:szCs w:val="24"/>
        </w:rPr>
        <w:t xml:space="preserve">and the </w:t>
      </w:r>
      <w:r w:rsidR="001721B4" w:rsidRPr="008269E4">
        <w:rPr>
          <w:rFonts w:ascii="Times New Roman" w:hAnsi="Times New Roman" w:cs="Times New Roman"/>
          <w:sz w:val="24"/>
          <w:szCs w:val="24"/>
        </w:rPr>
        <w:t>policy challenges.</w:t>
      </w:r>
    </w:p>
    <w:p w14:paraId="22C5CE39" w14:textId="77777777" w:rsidR="00C83B06" w:rsidRPr="008269E4" w:rsidRDefault="005118A6" w:rsidP="00C83B06">
      <w:pPr>
        <w:jc w:val="center"/>
        <w:rPr>
          <w:rFonts w:ascii="Times New Roman" w:hAnsi="Times New Roman" w:cs="Times New Roman"/>
          <w:b/>
          <w:sz w:val="24"/>
          <w:szCs w:val="24"/>
        </w:rPr>
      </w:pPr>
      <w:r w:rsidRPr="008269E4">
        <w:rPr>
          <w:rFonts w:ascii="Times New Roman" w:hAnsi="Times New Roman" w:cs="Times New Roman"/>
          <w:b/>
          <w:sz w:val="24"/>
          <w:szCs w:val="24"/>
        </w:rPr>
        <w:t>2</w:t>
      </w:r>
      <w:r w:rsidR="004B2763" w:rsidRPr="008269E4">
        <w:rPr>
          <w:rFonts w:ascii="Times New Roman" w:hAnsi="Times New Roman" w:cs="Times New Roman"/>
          <w:b/>
          <w:sz w:val="24"/>
          <w:szCs w:val="24"/>
        </w:rPr>
        <w:t xml:space="preserve">. </w:t>
      </w:r>
      <w:r w:rsidR="00C83B06" w:rsidRPr="008269E4">
        <w:rPr>
          <w:rFonts w:ascii="Times New Roman" w:hAnsi="Times New Roman" w:cs="Times New Roman"/>
          <w:b/>
          <w:sz w:val="24"/>
          <w:szCs w:val="24"/>
        </w:rPr>
        <w:t>Literature Review</w:t>
      </w:r>
    </w:p>
    <w:p w14:paraId="19853514" w14:textId="3D148210" w:rsidR="006D5FAF" w:rsidRPr="008269E4" w:rsidRDefault="00F83C11" w:rsidP="0038748F">
      <w:pPr>
        <w:jc w:val="both"/>
        <w:rPr>
          <w:rFonts w:ascii="Times New Roman" w:hAnsi="Times New Roman" w:cs="Times New Roman"/>
          <w:sz w:val="24"/>
          <w:szCs w:val="24"/>
        </w:rPr>
      </w:pPr>
      <w:r w:rsidRPr="008269E4">
        <w:rPr>
          <w:rFonts w:ascii="Times New Roman" w:hAnsi="Times New Roman" w:cs="Times New Roman"/>
          <w:sz w:val="24"/>
          <w:szCs w:val="24"/>
        </w:rPr>
        <w:t>One</w:t>
      </w:r>
      <w:r w:rsidR="005E229C" w:rsidRPr="008269E4">
        <w:rPr>
          <w:rFonts w:ascii="Times New Roman" w:hAnsi="Times New Roman" w:cs="Times New Roman"/>
          <w:sz w:val="24"/>
          <w:szCs w:val="24"/>
        </w:rPr>
        <w:t xml:space="preserve"> important </w:t>
      </w:r>
      <w:r w:rsidRPr="008269E4">
        <w:rPr>
          <w:rFonts w:ascii="Times New Roman" w:hAnsi="Times New Roman" w:cs="Times New Roman"/>
          <w:sz w:val="24"/>
          <w:szCs w:val="24"/>
        </w:rPr>
        <w:t xml:space="preserve">empirical </w:t>
      </w:r>
      <w:r w:rsidR="005E229C" w:rsidRPr="008269E4">
        <w:rPr>
          <w:rFonts w:ascii="Times New Roman" w:hAnsi="Times New Roman" w:cs="Times New Roman"/>
          <w:sz w:val="24"/>
          <w:szCs w:val="24"/>
        </w:rPr>
        <w:t xml:space="preserve">issue is </w:t>
      </w:r>
      <w:r w:rsidRPr="008269E4">
        <w:rPr>
          <w:rFonts w:ascii="Times New Roman" w:hAnsi="Times New Roman" w:cs="Times New Roman"/>
          <w:sz w:val="24"/>
          <w:szCs w:val="24"/>
        </w:rPr>
        <w:t xml:space="preserve">whether the </w:t>
      </w:r>
      <w:r w:rsidR="005E229C" w:rsidRPr="008269E4">
        <w:rPr>
          <w:rFonts w:ascii="Times New Roman" w:hAnsi="Times New Roman" w:cs="Times New Roman"/>
          <w:sz w:val="24"/>
          <w:szCs w:val="24"/>
        </w:rPr>
        <w:t>measures of subjective well-being</w:t>
      </w:r>
      <w:r w:rsidRPr="008269E4">
        <w:rPr>
          <w:rFonts w:ascii="Times New Roman" w:hAnsi="Times New Roman" w:cs="Times New Roman"/>
          <w:sz w:val="24"/>
          <w:szCs w:val="24"/>
        </w:rPr>
        <w:t xml:space="preserve"> (SWB) are reliable (e.g., </w:t>
      </w:r>
      <w:proofErr w:type="spellStart"/>
      <w:r w:rsidR="005E229C" w:rsidRPr="008269E4">
        <w:rPr>
          <w:rFonts w:ascii="Times New Roman" w:hAnsi="Times New Roman" w:cs="Times New Roman"/>
          <w:sz w:val="24"/>
          <w:szCs w:val="24"/>
        </w:rPr>
        <w:t>Kahneman</w:t>
      </w:r>
      <w:proofErr w:type="spellEnd"/>
      <w:r w:rsidR="005E229C" w:rsidRPr="008269E4">
        <w:rPr>
          <w:rFonts w:ascii="Times New Roman" w:hAnsi="Times New Roman" w:cs="Times New Roman"/>
          <w:sz w:val="24"/>
          <w:szCs w:val="24"/>
        </w:rPr>
        <w:t xml:space="preserve"> and Krueger</w:t>
      </w:r>
      <w:r w:rsidRPr="008269E4">
        <w:rPr>
          <w:rFonts w:ascii="Times New Roman" w:hAnsi="Times New Roman" w:cs="Times New Roman"/>
          <w:sz w:val="24"/>
          <w:szCs w:val="24"/>
        </w:rPr>
        <w:t>,</w:t>
      </w:r>
      <w:r w:rsidR="005E229C" w:rsidRPr="008269E4">
        <w:rPr>
          <w:rFonts w:ascii="Times New Roman" w:hAnsi="Times New Roman" w:cs="Times New Roman"/>
          <w:sz w:val="24"/>
          <w:szCs w:val="24"/>
        </w:rPr>
        <w:t xml:space="preserve"> 2006</w:t>
      </w:r>
      <w:r w:rsidRPr="008269E4">
        <w:rPr>
          <w:rFonts w:ascii="Times New Roman" w:hAnsi="Times New Roman" w:cs="Times New Roman"/>
          <w:sz w:val="24"/>
          <w:szCs w:val="24"/>
        </w:rPr>
        <w:t>;</w:t>
      </w:r>
      <w:r w:rsidR="00323881">
        <w:rPr>
          <w:rFonts w:ascii="Times New Roman" w:hAnsi="Times New Roman" w:cs="Times New Roman"/>
          <w:sz w:val="24"/>
          <w:szCs w:val="24"/>
        </w:rPr>
        <w:t xml:space="preserve"> </w:t>
      </w:r>
      <w:proofErr w:type="spellStart"/>
      <w:r w:rsidR="005E229C" w:rsidRPr="008269E4">
        <w:rPr>
          <w:rFonts w:ascii="Times New Roman" w:hAnsi="Times New Roman" w:cs="Times New Roman"/>
          <w:sz w:val="24"/>
          <w:szCs w:val="24"/>
        </w:rPr>
        <w:t>Kahneman</w:t>
      </w:r>
      <w:proofErr w:type="spellEnd"/>
      <w:r w:rsidR="005E229C" w:rsidRPr="008269E4">
        <w:rPr>
          <w:rFonts w:ascii="Times New Roman" w:hAnsi="Times New Roman" w:cs="Times New Roman"/>
          <w:sz w:val="24"/>
          <w:szCs w:val="24"/>
        </w:rPr>
        <w:t xml:space="preserve"> and Deaton</w:t>
      </w:r>
      <w:r w:rsidRPr="008269E4">
        <w:rPr>
          <w:rFonts w:ascii="Times New Roman" w:hAnsi="Times New Roman" w:cs="Times New Roman"/>
          <w:sz w:val="24"/>
          <w:szCs w:val="24"/>
        </w:rPr>
        <w:t>,</w:t>
      </w:r>
      <w:r w:rsidR="005E229C" w:rsidRPr="008269E4">
        <w:rPr>
          <w:rFonts w:ascii="Times New Roman" w:hAnsi="Times New Roman" w:cs="Times New Roman"/>
          <w:sz w:val="24"/>
          <w:szCs w:val="24"/>
        </w:rPr>
        <w:t xml:space="preserve"> 2010</w:t>
      </w:r>
      <w:r w:rsidRPr="008269E4">
        <w:rPr>
          <w:rFonts w:ascii="Times New Roman" w:hAnsi="Times New Roman" w:cs="Times New Roman"/>
          <w:sz w:val="24"/>
          <w:szCs w:val="24"/>
        </w:rPr>
        <w:t>;</w:t>
      </w:r>
      <w:r w:rsidR="00323881">
        <w:rPr>
          <w:rFonts w:ascii="Times New Roman" w:hAnsi="Times New Roman" w:cs="Times New Roman"/>
          <w:sz w:val="24"/>
          <w:szCs w:val="24"/>
        </w:rPr>
        <w:t xml:space="preserve"> </w:t>
      </w:r>
      <w:proofErr w:type="spellStart"/>
      <w:r w:rsidR="005E229C" w:rsidRPr="008269E4">
        <w:rPr>
          <w:rFonts w:ascii="Times New Roman" w:hAnsi="Times New Roman" w:cs="Times New Roman"/>
          <w:sz w:val="24"/>
          <w:szCs w:val="24"/>
        </w:rPr>
        <w:t>Diener</w:t>
      </w:r>
      <w:proofErr w:type="spellEnd"/>
      <w:r w:rsidR="005E229C" w:rsidRPr="008269E4">
        <w:rPr>
          <w:rFonts w:ascii="Times New Roman" w:hAnsi="Times New Roman" w:cs="Times New Roman"/>
          <w:sz w:val="24"/>
          <w:szCs w:val="24"/>
        </w:rPr>
        <w:t xml:space="preserve"> et al.</w:t>
      </w:r>
      <w:r w:rsidRPr="008269E4">
        <w:rPr>
          <w:rFonts w:ascii="Times New Roman" w:hAnsi="Times New Roman" w:cs="Times New Roman"/>
          <w:sz w:val="24"/>
          <w:szCs w:val="24"/>
        </w:rPr>
        <w:t>,</w:t>
      </w:r>
      <w:r w:rsidR="005E229C" w:rsidRPr="008269E4">
        <w:rPr>
          <w:rFonts w:ascii="Times New Roman" w:hAnsi="Times New Roman" w:cs="Times New Roman"/>
          <w:sz w:val="24"/>
          <w:szCs w:val="24"/>
        </w:rPr>
        <w:t xml:space="preserve"> 2013</w:t>
      </w:r>
      <w:r w:rsidRPr="008269E4">
        <w:rPr>
          <w:rFonts w:ascii="Times New Roman" w:hAnsi="Times New Roman" w:cs="Times New Roman"/>
          <w:sz w:val="24"/>
          <w:szCs w:val="24"/>
        </w:rPr>
        <w:t>;</w:t>
      </w:r>
      <w:r w:rsidR="00C6194F">
        <w:rPr>
          <w:rFonts w:ascii="Times New Roman" w:hAnsi="Times New Roman" w:cs="Times New Roman"/>
          <w:sz w:val="24"/>
          <w:szCs w:val="24"/>
        </w:rPr>
        <w:t xml:space="preserve"> </w:t>
      </w:r>
      <w:proofErr w:type="spellStart"/>
      <w:r w:rsidR="005E229C" w:rsidRPr="008269E4">
        <w:rPr>
          <w:rFonts w:ascii="Times New Roman" w:hAnsi="Times New Roman" w:cs="Times New Roman"/>
          <w:sz w:val="24"/>
          <w:szCs w:val="24"/>
        </w:rPr>
        <w:t>Akay</w:t>
      </w:r>
      <w:proofErr w:type="spellEnd"/>
      <w:r w:rsidR="005E229C" w:rsidRPr="008269E4">
        <w:rPr>
          <w:rFonts w:ascii="Times New Roman" w:hAnsi="Times New Roman" w:cs="Times New Roman"/>
          <w:sz w:val="24"/>
          <w:szCs w:val="24"/>
        </w:rPr>
        <w:t xml:space="preserve"> et al.</w:t>
      </w:r>
      <w:r w:rsidRPr="008269E4">
        <w:rPr>
          <w:rFonts w:ascii="Times New Roman" w:hAnsi="Times New Roman" w:cs="Times New Roman"/>
          <w:sz w:val="24"/>
          <w:szCs w:val="24"/>
        </w:rPr>
        <w:t xml:space="preserve">, </w:t>
      </w:r>
      <w:r w:rsidR="005E229C" w:rsidRPr="008269E4">
        <w:rPr>
          <w:rFonts w:ascii="Times New Roman" w:hAnsi="Times New Roman" w:cs="Times New Roman"/>
          <w:sz w:val="24"/>
          <w:szCs w:val="24"/>
        </w:rPr>
        <w:t>2017,</w:t>
      </w:r>
      <w:r w:rsidR="00E76DF6" w:rsidRPr="008269E4">
        <w:rPr>
          <w:rFonts w:ascii="Times New Roman" w:hAnsi="Times New Roman" w:cs="Times New Roman"/>
          <w:sz w:val="24"/>
          <w:szCs w:val="24"/>
        </w:rPr>
        <w:t xml:space="preserve"> and Deaton</w:t>
      </w:r>
      <w:r w:rsidRPr="008269E4">
        <w:rPr>
          <w:rFonts w:ascii="Times New Roman" w:hAnsi="Times New Roman" w:cs="Times New Roman"/>
          <w:sz w:val="24"/>
          <w:szCs w:val="24"/>
        </w:rPr>
        <w:t xml:space="preserve">, </w:t>
      </w:r>
      <w:r w:rsidR="008D03A1" w:rsidRPr="008269E4">
        <w:rPr>
          <w:rFonts w:ascii="Times New Roman" w:hAnsi="Times New Roman" w:cs="Times New Roman"/>
          <w:sz w:val="24"/>
          <w:szCs w:val="24"/>
        </w:rPr>
        <w:t xml:space="preserve">2011, </w:t>
      </w:r>
      <w:r w:rsidR="00E76DF6" w:rsidRPr="008269E4">
        <w:rPr>
          <w:rFonts w:ascii="Times New Roman" w:hAnsi="Times New Roman" w:cs="Times New Roman"/>
          <w:sz w:val="24"/>
          <w:szCs w:val="24"/>
        </w:rPr>
        <w:t>2018)</w:t>
      </w:r>
      <w:r w:rsidR="005E229C" w:rsidRPr="008269E4">
        <w:rPr>
          <w:rFonts w:ascii="Times New Roman" w:hAnsi="Times New Roman" w:cs="Times New Roman"/>
          <w:sz w:val="24"/>
          <w:szCs w:val="24"/>
        </w:rPr>
        <w:t>.</w:t>
      </w:r>
    </w:p>
    <w:p w14:paraId="265207F9" w14:textId="77777777" w:rsidR="006552EA" w:rsidRPr="008269E4" w:rsidRDefault="005E229C" w:rsidP="0038748F">
      <w:pPr>
        <w:jc w:val="both"/>
        <w:rPr>
          <w:rFonts w:ascii="Times New Roman" w:hAnsi="Times New Roman" w:cs="Times New Roman"/>
          <w:bCs/>
          <w:iCs/>
          <w:sz w:val="24"/>
          <w:szCs w:val="24"/>
        </w:rPr>
      </w:pPr>
      <w:proofErr w:type="spellStart"/>
      <w:r w:rsidRPr="008269E4">
        <w:rPr>
          <w:rFonts w:ascii="Times New Roman" w:hAnsi="Times New Roman" w:cs="Times New Roman"/>
          <w:bCs/>
          <w:iCs/>
          <w:sz w:val="24"/>
          <w:szCs w:val="24"/>
        </w:rPr>
        <w:t>Kahneman</w:t>
      </w:r>
      <w:proofErr w:type="spellEnd"/>
      <w:r w:rsidRPr="008269E4">
        <w:rPr>
          <w:rFonts w:ascii="Times New Roman" w:hAnsi="Times New Roman" w:cs="Times New Roman"/>
          <w:bCs/>
          <w:iCs/>
          <w:sz w:val="24"/>
          <w:szCs w:val="24"/>
        </w:rPr>
        <w:t xml:space="preserve"> and Krueger (2006) </w:t>
      </w:r>
      <w:r w:rsidR="006D5FAF" w:rsidRPr="008269E4">
        <w:rPr>
          <w:rFonts w:ascii="Times New Roman" w:hAnsi="Times New Roman" w:cs="Times New Roman"/>
          <w:bCs/>
          <w:iCs/>
          <w:sz w:val="24"/>
          <w:szCs w:val="24"/>
        </w:rPr>
        <w:t xml:space="preserve">review the literature on SWB, including their own studies, and </w:t>
      </w:r>
      <w:r w:rsidRPr="008269E4">
        <w:rPr>
          <w:rFonts w:ascii="Times New Roman" w:hAnsi="Times New Roman" w:cs="Times New Roman"/>
          <w:bCs/>
          <w:iCs/>
          <w:sz w:val="24"/>
          <w:szCs w:val="24"/>
        </w:rPr>
        <w:t xml:space="preserve">argue that </w:t>
      </w:r>
      <w:r w:rsidR="00862267" w:rsidRPr="008269E4">
        <w:rPr>
          <w:rFonts w:ascii="Times New Roman" w:hAnsi="Times New Roman" w:cs="Times New Roman"/>
          <w:bCs/>
          <w:iCs/>
          <w:sz w:val="24"/>
          <w:szCs w:val="24"/>
        </w:rPr>
        <w:t xml:space="preserve">the income level is not necessarily associated with better SWB and that </w:t>
      </w:r>
      <w:r w:rsidRPr="008269E4">
        <w:rPr>
          <w:rFonts w:ascii="Times New Roman" w:hAnsi="Times New Roman" w:cs="Times New Roman"/>
          <w:bCs/>
          <w:iCs/>
          <w:sz w:val="24"/>
          <w:szCs w:val="24"/>
        </w:rPr>
        <w:t xml:space="preserve">one way </w:t>
      </w:r>
      <w:r w:rsidR="00862267" w:rsidRPr="008269E4">
        <w:rPr>
          <w:rFonts w:ascii="Times New Roman" w:hAnsi="Times New Roman" w:cs="Times New Roman"/>
          <w:bCs/>
          <w:iCs/>
          <w:sz w:val="24"/>
          <w:szCs w:val="24"/>
        </w:rPr>
        <w:t>of</w:t>
      </w:r>
      <w:r w:rsidRPr="008269E4">
        <w:rPr>
          <w:rFonts w:ascii="Times New Roman" w:hAnsi="Times New Roman" w:cs="Times New Roman"/>
          <w:bCs/>
          <w:iCs/>
          <w:sz w:val="24"/>
          <w:szCs w:val="24"/>
        </w:rPr>
        <w:t xml:space="preserve"> partially assess</w:t>
      </w:r>
      <w:r w:rsidR="00862267" w:rsidRPr="008269E4">
        <w:rPr>
          <w:rFonts w:ascii="Times New Roman" w:hAnsi="Times New Roman" w:cs="Times New Roman"/>
          <w:bCs/>
          <w:iCs/>
          <w:sz w:val="24"/>
          <w:szCs w:val="24"/>
        </w:rPr>
        <w:t>ing</w:t>
      </w:r>
      <w:r w:rsidRPr="008269E4">
        <w:rPr>
          <w:rFonts w:ascii="Times New Roman" w:hAnsi="Times New Roman" w:cs="Times New Roman"/>
          <w:bCs/>
          <w:iCs/>
          <w:sz w:val="24"/>
          <w:szCs w:val="24"/>
        </w:rPr>
        <w:t xml:space="preserve"> the validity of SWB measures is to examine their correlation with various individual traits. </w:t>
      </w:r>
      <w:r w:rsidR="00AE5B2B" w:rsidRPr="008269E4">
        <w:rPr>
          <w:rFonts w:ascii="Times New Roman" w:hAnsi="Times New Roman" w:cs="Times New Roman"/>
          <w:bCs/>
          <w:iCs/>
          <w:sz w:val="24"/>
          <w:szCs w:val="24"/>
        </w:rPr>
        <w:t xml:space="preserve">Drawing upon empirical studies </w:t>
      </w:r>
      <w:r w:rsidR="005C665D" w:rsidRPr="008269E4">
        <w:rPr>
          <w:rFonts w:ascii="Times New Roman" w:hAnsi="Times New Roman" w:cs="Times New Roman"/>
          <w:bCs/>
          <w:iCs/>
          <w:sz w:val="24"/>
          <w:szCs w:val="24"/>
        </w:rPr>
        <w:t xml:space="preserve">of </w:t>
      </w:r>
      <w:r w:rsidR="00AE5B2B" w:rsidRPr="008269E4">
        <w:rPr>
          <w:rFonts w:ascii="Times New Roman" w:hAnsi="Times New Roman" w:cs="Times New Roman"/>
          <w:bCs/>
          <w:iCs/>
          <w:sz w:val="24"/>
          <w:szCs w:val="24"/>
        </w:rPr>
        <w:t xml:space="preserve">SWB, the authors argue </w:t>
      </w:r>
      <w:r w:rsidR="006552EA" w:rsidRPr="008269E4">
        <w:rPr>
          <w:rFonts w:ascii="Times New Roman" w:hAnsi="Times New Roman" w:cs="Times New Roman"/>
          <w:bCs/>
          <w:iCs/>
          <w:sz w:val="24"/>
          <w:szCs w:val="24"/>
        </w:rPr>
        <w:t xml:space="preserve">that </w:t>
      </w:r>
      <w:r w:rsidR="00862267" w:rsidRPr="008269E4">
        <w:rPr>
          <w:rFonts w:ascii="Times New Roman" w:hAnsi="Times New Roman" w:cs="Times New Roman"/>
          <w:bCs/>
          <w:iCs/>
          <w:sz w:val="24"/>
          <w:szCs w:val="24"/>
        </w:rPr>
        <w:t>(</w:t>
      </w:r>
      <w:proofErr w:type="spellStart"/>
      <w:r w:rsidR="00862267" w:rsidRPr="008269E4">
        <w:rPr>
          <w:rFonts w:ascii="Times New Roman" w:hAnsi="Times New Roman" w:cs="Times New Roman"/>
          <w:bCs/>
          <w:iCs/>
          <w:sz w:val="24"/>
          <w:szCs w:val="24"/>
        </w:rPr>
        <w:t>i</w:t>
      </w:r>
      <w:proofErr w:type="spellEnd"/>
      <w:r w:rsidR="00862267" w:rsidRPr="008269E4">
        <w:rPr>
          <w:rFonts w:ascii="Times New Roman" w:hAnsi="Times New Roman" w:cs="Times New Roman"/>
          <w:bCs/>
          <w:iCs/>
          <w:sz w:val="24"/>
          <w:szCs w:val="24"/>
        </w:rPr>
        <w:t xml:space="preserve">) </w:t>
      </w:r>
      <w:r w:rsidR="00F83C11" w:rsidRPr="008269E4">
        <w:rPr>
          <w:rFonts w:ascii="Times New Roman" w:hAnsi="Times New Roman" w:cs="Times New Roman"/>
          <w:bCs/>
          <w:iCs/>
          <w:sz w:val="24"/>
          <w:szCs w:val="24"/>
        </w:rPr>
        <w:t>r</w:t>
      </w:r>
      <w:r w:rsidRPr="008269E4">
        <w:rPr>
          <w:rFonts w:ascii="Times New Roman" w:hAnsi="Times New Roman" w:cs="Times New Roman"/>
          <w:bCs/>
          <w:iCs/>
          <w:sz w:val="24"/>
          <w:szCs w:val="24"/>
        </w:rPr>
        <w:t xml:space="preserve">ecent positive changes in circumstances, as well as demographic variables including </w:t>
      </w:r>
      <w:r w:rsidR="00A37784">
        <w:rPr>
          <w:rFonts w:ascii="Times New Roman" w:hAnsi="Times New Roman" w:cs="Times New Roman"/>
          <w:bCs/>
          <w:iCs/>
          <w:sz w:val="24"/>
          <w:szCs w:val="24"/>
        </w:rPr>
        <w:t>schooling</w:t>
      </w:r>
      <w:r w:rsidR="00323881">
        <w:rPr>
          <w:rFonts w:ascii="Times New Roman" w:hAnsi="Times New Roman" w:cs="Times New Roman"/>
          <w:bCs/>
          <w:iCs/>
          <w:sz w:val="24"/>
          <w:szCs w:val="24"/>
        </w:rPr>
        <w:t xml:space="preserve"> </w:t>
      </w:r>
      <w:r w:rsidRPr="008269E4">
        <w:rPr>
          <w:rFonts w:ascii="Times New Roman" w:hAnsi="Times New Roman" w:cs="Times New Roman"/>
          <w:bCs/>
          <w:iCs/>
          <w:sz w:val="24"/>
          <w:szCs w:val="24"/>
        </w:rPr>
        <w:t xml:space="preserve">and </w:t>
      </w:r>
      <w:r w:rsidR="009415D5" w:rsidRPr="008269E4">
        <w:rPr>
          <w:rFonts w:ascii="Times New Roman" w:hAnsi="Times New Roman" w:cs="Times New Roman"/>
          <w:bCs/>
          <w:iCs/>
          <w:sz w:val="24"/>
          <w:szCs w:val="24"/>
        </w:rPr>
        <w:t>health</w:t>
      </w:r>
      <w:r w:rsidRPr="008269E4">
        <w:rPr>
          <w:rFonts w:ascii="Times New Roman" w:hAnsi="Times New Roman" w:cs="Times New Roman"/>
          <w:bCs/>
          <w:iCs/>
          <w:sz w:val="24"/>
          <w:szCs w:val="24"/>
        </w:rPr>
        <w:t xml:space="preserve">, are </w:t>
      </w:r>
      <w:r w:rsidR="00F83C11" w:rsidRPr="008269E4">
        <w:rPr>
          <w:rFonts w:ascii="Times New Roman" w:hAnsi="Times New Roman" w:cs="Times New Roman"/>
          <w:bCs/>
          <w:iCs/>
          <w:sz w:val="24"/>
          <w:szCs w:val="24"/>
        </w:rPr>
        <w:t xml:space="preserve">likely to be </w:t>
      </w:r>
      <w:r w:rsidRPr="008269E4">
        <w:rPr>
          <w:rFonts w:ascii="Times New Roman" w:hAnsi="Times New Roman" w:cs="Times New Roman"/>
          <w:bCs/>
          <w:iCs/>
          <w:sz w:val="24"/>
          <w:szCs w:val="24"/>
        </w:rPr>
        <w:t>positively correlated with happiness or satisfaction</w:t>
      </w:r>
      <w:r w:rsidR="00862267" w:rsidRPr="008269E4">
        <w:rPr>
          <w:rFonts w:ascii="Times New Roman" w:hAnsi="Times New Roman" w:cs="Times New Roman"/>
          <w:bCs/>
          <w:iCs/>
          <w:sz w:val="24"/>
          <w:szCs w:val="24"/>
        </w:rPr>
        <w:t>;(ii) v</w:t>
      </w:r>
      <w:r w:rsidRPr="008269E4">
        <w:rPr>
          <w:rFonts w:ascii="Times New Roman" w:hAnsi="Times New Roman" w:cs="Times New Roman"/>
          <w:bCs/>
          <w:iCs/>
          <w:sz w:val="24"/>
          <w:szCs w:val="24"/>
        </w:rPr>
        <w:t xml:space="preserve">ariables that are associated with low life satisfaction and happiness include: </w:t>
      </w:r>
      <w:r w:rsidRPr="008269E4">
        <w:rPr>
          <w:rFonts w:ascii="Times New Roman" w:hAnsi="Times New Roman" w:cs="Times New Roman"/>
          <w:bCs/>
          <w:i/>
          <w:iCs/>
          <w:sz w:val="24"/>
          <w:szCs w:val="24"/>
        </w:rPr>
        <w:t xml:space="preserve">recent </w:t>
      </w:r>
      <w:r w:rsidRPr="008269E4">
        <w:rPr>
          <w:rFonts w:ascii="Times New Roman" w:hAnsi="Times New Roman" w:cs="Times New Roman"/>
          <w:bCs/>
          <w:iCs/>
          <w:sz w:val="24"/>
          <w:szCs w:val="24"/>
        </w:rPr>
        <w:t xml:space="preserve">negative changes of circumstances; chronic pain; and unemployment, especially if only the individual </w:t>
      </w:r>
      <w:r w:rsidR="00F83C11" w:rsidRPr="008269E4">
        <w:rPr>
          <w:rFonts w:ascii="Times New Roman" w:hAnsi="Times New Roman" w:cs="Times New Roman"/>
          <w:bCs/>
          <w:iCs/>
          <w:sz w:val="24"/>
          <w:szCs w:val="24"/>
        </w:rPr>
        <w:t xml:space="preserve">concerned </w:t>
      </w:r>
      <w:r w:rsidRPr="008269E4">
        <w:rPr>
          <w:rFonts w:ascii="Times New Roman" w:hAnsi="Times New Roman" w:cs="Times New Roman"/>
          <w:bCs/>
          <w:iCs/>
          <w:sz w:val="24"/>
          <w:szCs w:val="24"/>
        </w:rPr>
        <w:t>was laid off</w:t>
      </w:r>
      <w:r w:rsidR="00862267" w:rsidRPr="008269E4">
        <w:rPr>
          <w:rFonts w:ascii="Times New Roman" w:hAnsi="Times New Roman" w:cs="Times New Roman"/>
          <w:bCs/>
          <w:iCs/>
          <w:sz w:val="24"/>
          <w:szCs w:val="24"/>
        </w:rPr>
        <w:t>; (iii)g</w:t>
      </w:r>
      <w:r w:rsidRPr="008269E4">
        <w:rPr>
          <w:rFonts w:ascii="Times New Roman" w:hAnsi="Times New Roman" w:cs="Times New Roman"/>
          <w:bCs/>
          <w:iCs/>
          <w:sz w:val="24"/>
          <w:szCs w:val="24"/>
        </w:rPr>
        <w:t>ender is uncorrelated with life satisfaction and happiness</w:t>
      </w:r>
      <w:r w:rsidR="006552EA" w:rsidRPr="008269E4">
        <w:rPr>
          <w:rFonts w:ascii="Times New Roman" w:hAnsi="Times New Roman" w:cs="Times New Roman"/>
          <w:bCs/>
          <w:iCs/>
          <w:sz w:val="24"/>
          <w:szCs w:val="24"/>
        </w:rPr>
        <w:t>; (iv) t</w:t>
      </w:r>
      <w:r w:rsidRPr="008269E4">
        <w:rPr>
          <w:rFonts w:ascii="Times New Roman" w:hAnsi="Times New Roman" w:cs="Times New Roman"/>
          <w:bCs/>
          <w:iCs/>
          <w:sz w:val="24"/>
          <w:szCs w:val="24"/>
        </w:rPr>
        <w:t xml:space="preserve">he effects of age are complex—the lowest life satisfaction is apparently experienced by those who have teenagers at home, and reported satisfaction improves thereafter. </w:t>
      </w:r>
      <w:r w:rsidR="005C665D" w:rsidRPr="008269E4">
        <w:rPr>
          <w:rFonts w:ascii="Times New Roman" w:hAnsi="Times New Roman" w:cs="Times New Roman"/>
          <w:bCs/>
          <w:iCs/>
          <w:sz w:val="24"/>
          <w:szCs w:val="24"/>
        </w:rPr>
        <w:t>They</w:t>
      </w:r>
      <w:r w:rsidR="00323881">
        <w:rPr>
          <w:rFonts w:ascii="Times New Roman" w:hAnsi="Times New Roman" w:cs="Times New Roman"/>
          <w:bCs/>
          <w:iCs/>
          <w:sz w:val="24"/>
          <w:szCs w:val="24"/>
        </w:rPr>
        <w:t xml:space="preserve"> </w:t>
      </w:r>
      <w:r w:rsidRPr="008269E4">
        <w:rPr>
          <w:rFonts w:ascii="Times New Roman" w:hAnsi="Times New Roman" w:cs="Times New Roman"/>
          <w:bCs/>
          <w:iCs/>
          <w:sz w:val="24"/>
          <w:szCs w:val="24"/>
        </w:rPr>
        <w:t xml:space="preserve">resolve the puzzle of the relatively small and short-lived effect of changes in most life circumstances on reported life satisfaction by invoking evidence on adaptability. </w:t>
      </w:r>
      <w:r w:rsidR="006552EA" w:rsidRPr="008269E4">
        <w:rPr>
          <w:rFonts w:ascii="Times New Roman" w:hAnsi="Times New Roman" w:cs="Times New Roman"/>
          <w:bCs/>
          <w:iCs/>
          <w:sz w:val="24"/>
          <w:szCs w:val="24"/>
        </w:rPr>
        <w:t>They conclude that d</w:t>
      </w:r>
      <w:r w:rsidRPr="008269E4">
        <w:rPr>
          <w:rFonts w:ascii="Times New Roman" w:hAnsi="Times New Roman" w:cs="Times New Roman"/>
          <w:bCs/>
          <w:iCs/>
          <w:sz w:val="24"/>
          <w:szCs w:val="24"/>
        </w:rPr>
        <w:t xml:space="preserve">espite their limitations, subjective measures of well-being enable welfare analysis in a more direct way that could be a </w:t>
      </w:r>
      <w:r w:rsidR="00A35321" w:rsidRPr="008269E4">
        <w:rPr>
          <w:rFonts w:ascii="Times New Roman" w:hAnsi="Times New Roman" w:cs="Times New Roman"/>
          <w:bCs/>
          <w:iCs/>
          <w:sz w:val="24"/>
          <w:szCs w:val="24"/>
        </w:rPr>
        <w:t xml:space="preserve">preferred alternative </w:t>
      </w:r>
      <w:r w:rsidRPr="008269E4">
        <w:rPr>
          <w:rFonts w:ascii="Times New Roman" w:hAnsi="Times New Roman" w:cs="Times New Roman"/>
          <w:bCs/>
          <w:iCs/>
          <w:sz w:val="24"/>
          <w:szCs w:val="24"/>
        </w:rPr>
        <w:t>to traditional welfare analysis.</w:t>
      </w:r>
    </w:p>
    <w:p w14:paraId="3408AEC7" w14:textId="77777777" w:rsidR="0038748F" w:rsidRPr="008269E4" w:rsidRDefault="0038748F" w:rsidP="0038748F">
      <w:pPr>
        <w:jc w:val="both"/>
        <w:rPr>
          <w:rFonts w:ascii="Times New Roman" w:hAnsi="Times New Roman" w:cs="Times New Roman"/>
          <w:bCs/>
          <w:iCs/>
          <w:sz w:val="24"/>
          <w:szCs w:val="24"/>
        </w:rPr>
      </w:pPr>
      <w:r w:rsidRPr="008269E4">
        <w:rPr>
          <w:rFonts w:ascii="Times New Roman" w:hAnsi="Times New Roman" w:cs="Times New Roman"/>
          <w:bCs/>
          <w:iCs/>
          <w:sz w:val="24"/>
          <w:szCs w:val="24"/>
        </w:rPr>
        <w:t xml:space="preserve">Another important study by </w:t>
      </w:r>
      <w:proofErr w:type="spellStart"/>
      <w:r w:rsidRPr="008269E4">
        <w:rPr>
          <w:rFonts w:ascii="Times New Roman" w:hAnsi="Times New Roman" w:cs="Times New Roman"/>
          <w:bCs/>
          <w:iCs/>
          <w:sz w:val="24"/>
          <w:szCs w:val="24"/>
        </w:rPr>
        <w:t>Diener</w:t>
      </w:r>
      <w:proofErr w:type="spellEnd"/>
      <w:r w:rsidRPr="008269E4">
        <w:rPr>
          <w:rFonts w:ascii="Times New Roman" w:hAnsi="Times New Roman" w:cs="Times New Roman"/>
          <w:bCs/>
          <w:iCs/>
          <w:sz w:val="24"/>
          <w:szCs w:val="24"/>
        </w:rPr>
        <w:t xml:space="preserve"> et al. </w:t>
      </w:r>
      <w:r w:rsidR="00B00C58" w:rsidRPr="008269E4">
        <w:rPr>
          <w:rFonts w:ascii="Times New Roman" w:hAnsi="Times New Roman" w:cs="Times New Roman"/>
          <w:bCs/>
          <w:iCs/>
          <w:sz w:val="24"/>
          <w:szCs w:val="24"/>
        </w:rPr>
        <w:t>(</w:t>
      </w:r>
      <w:r w:rsidRPr="008269E4">
        <w:rPr>
          <w:rFonts w:ascii="Times New Roman" w:hAnsi="Times New Roman" w:cs="Times New Roman"/>
          <w:bCs/>
          <w:iCs/>
          <w:sz w:val="24"/>
          <w:szCs w:val="24"/>
        </w:rPr>
        <w:t>2013)</w:t>
      </w:r>
      <w:r w:rsidR="00B00C58" w:rsidRPr="008269E4">
        <w:rPr>
          <w:rFonts w:ascii="Times New Roman" w:hAnsi="Times New Roman" w:cs="Times New Roman"/>
          <w:bCs/>
          <w:iCs/>
          <w:sz w:val="24"/>
          <w:szCs w:val="24"/>
        </w:rPr>
        <w:t xml:space="preserve"> scrutinises the life satisfaction scales in the global context </w:t>
      </w:r>
      <w:r w:rsidR="008C2262" w:rsidRPr="008269E4">
        <w:rPr>
          <w:rFonts w:ascii="Times New Roman" w:hAnsi="Times New Roman" w:cs="Times New Roman"/>
          <w:bCs/>
          <w:iCs/>
          <w:sz w:val="24"/>
          <w:szCs w:val="24"/>
        </w:rPr>
        <w:t xml:space="preserve">based on their </w:t>
      </w:r>
      <w:r w:rsidR="006D5FAF" w:rsidRPr="008269E4">
        <w:rPr>
          <w:rFonts w:ascii="Times New Roman" w:hAnsi="Times New Roman" w:cs="Times New Roman"/>
          <w:bCs/>
          <w:iCs/>
          <w:sz w:val="24"/>
          <w:szCs w:val="24"/>
        </w:rPr>
        <w:t>critical</w:t>
      </w:r>
      <w:r w:rsidR="008C2262" w:rsidRPr="008269E4">
        <w:rPr>
          <w:rFonts w:ascii="Times New Roman" w:hAnsi="Times New Roman" w:cs="Times New Roman"/>
          <w:bCs/>
          <w:iCs/>
          <w:sz w:val="24"/>
          <w:szCs w:val="24"/>
        </w:rPr>
        <w:t xml:space="preserve"> review of relevant studies </w:t>
      </w:r>
      <w:r w:rsidR="00B00C58" w:rsidRPr="008269E4">
        <w:rPr>
          <w:rFonts w:ascii="Times New Roman" w:hAnsi="Times New Roman" w:cs="Times New Roman"/>
          <w:bCs/>
          <w:iCs/>
          <w:sz w:val="24"/>
          <w:szCs w:val="24"/>
        </w:rPr>
        <w:t xml:space="preserve">and </w:t>
      </w:r>
      <w:r w:rsidRPr="008269E4">
        <w:rPr>
          <w:rFonts w:ascii="Times New Roman" w:hAnsi="Times New Roman" w:cs="Times New Roman"/>
          <w:bCs/>
          <w:iCs/>
          <w:sz w:val="24"/>
          <w:szCs w:val="24"/>
        </w:rPr>
        <w:t xml:space="preserve">verifies the reliability of the scales used and validity of judgments made in SWB measures. </w:t>
      </w:r>
      <w:r w:rsidR="00FB58DA">
        <w:rPr>
          <w:rFonts w:ascii="Times New Roman" w:hAnsi="Times New Roman" w:cs="Times New Roman"/>
          <w:bCs/>
          <w:iCs/>
          <w:sz w:val="24"/>
          <w:szCs w:val="24"/>
        </w:rPr>
        <w:t>T</w:t>
      </w:r>
      <w:r w:rsidRPr="008269E4">
        <w:rPr>
          <w:rFonts w:ascii="Times New Roman" w:hAnsi="Times New Roman" w:cs="Times New Roman"/>
          <w:bCs/>
          <w:iCs/>
          <w:sz w:val="24"/>
          <w:szCs w:val="24"/>
        </w:rPr>
        <w:t>he stability of life satisfaction scores across time and situations suggests that consistent psychological processes are involved and similar information is used when people report their scores</w:t>
      </w:r>
      <w:r w:rsidR="00B00C58" w:rsidRPr="008269E4">
        <w:rPr>
          <w:rFonts w:ascii="Times New Roman" w:hAnsi="Times New Roman" w:cs="Times New Roman"/>
          <w:bCs/>
          <w:iCs/>
          <w:sz w:val="24"/>
          <w:szCs w:val="24"/>
        </w:rPr>
        <w:t>, while</w:t>
      </w:r>
      <w:r w:rsidR="00323881">
        <w:rPr>
          <w:rFonts w:ascii="Times New Roman" w:hAnsi="Times New Roman" w:cs="Times New Roman"/>
          <w:bCs/>
          <w:iCs/>
          <w:sz w:val="24"/>
          <w:szCs w:val="24"/>
        </w:rPr>
        <w:t xml:space="preserve"> </w:t>
      </w:r>
      <w:r w:rsidR="00B00C58" w:rsidRPr="008269E4">
        <w:rPr>
          <w:rFonts w:ascii="Times New Roman" w:hAnsi="Times New Roman" w:cs="Times New Roman"/>
          <w:bCs/>
          <w:iCs/>
          <w:sz w:val="24"/>
          <w:szCs w:val="24"/>
        </w:rPr>
        <w:t>s</w:t>
      </w:r>
      <w:r w:rsidRPr="008269E4">
        <w:rPr>
          <w:rFonts w:ascii="Times New Roman" w:hAnsi="Times New Roman" w:cs="Times New Roman"/>
          <w:bCs/>
          <w:iCs/>
          <w:sz w:val="24"/>
          <w:szCs w:val="24"/>
        </w:rPr>
        <w:t>ingle-item scales are less stable than multi-item life satisfaction scales.</w:t>
      </w:r>
      <w:r w:rsidR="00323881">
        <w:rPr>
          <w:rFonts w:ascii="Times New Roman" w:hAnsi="Times New Roman" w:cs="Times New Roman"/>
          <w:bCs/>
          <w:iCs/>
          <w:sz w:val="24"/>
          <w:szCs w:val="24"/>
        </w:rPr>
        <w:t xml:space="preserve"> </w:t>
      </w:r>
      <w:r w:rsidRPr="008269E4">
        <w:rPr>
          <w:rFonts w:ascii="Times New Roman" w:hAnsi="Times New Roman" w:cs="Times New Roman"/>
          <w:bCs/>
          <w:iCs/>
          <w:sz w:val="24"/>
          <w:szCs w:val="24"/>
        </w:rPr>
        <w:t>Societal-level mean life satisfaction also shows robust consistency. In the Gall</w:t>
      </w:r>
      <w:r w:rsidR="00151B89" w:rsidRPr="008269E4">
        <w:rPr>
          <w:rFonts w:ascii="Times New Roman" w:hAnsi="Times New Roman" w:cs="Times New Roman"/>
          <w:bCs/>
          <w:iCs/>
          <w:sz w:val="24"/>
          <w:szCs w:val="24"/>
        </w:rPr>
        <w:t>u</w:t>
      </w:r>
      <w:r w:rsidRPr="008269E4">
        <w:rPr>
          <w:rFonts w:ascii="Times New Roman" w:hAnsi="Times New Roman" w:cs="Times New Roman"/>
          <w:bCs/>
          <w:iCs/>
          <w:sz w:val="24"/>
          <w:szCs w:val="24"/>
        </w:rPr>
        <w:t xml:space="preserve">p World Poll, </w:t>
      </w:r>
      <w:r w:rsidR="00151B89" w:rsidRPr="008269E4">
        <w:rPr>
          <w:rFonts w:ascii="Times New Roman" w:hAnsi="Times New Roman" w:cs="Times New Roman"/>
          <w:bCs/>
          <w:iCs/>
          <w:sz w:val="24"/>
          <w:szCs w:val="24"/>
        </w:rPr>
        <w:t xml:space="preserve">for example, </w:t>
      </w:r>
      <w:r w:rsidRPr="008269E4">
        <w:rPr>
          <w:rFonts w:ascii="Times New Roman" w:hAnsi="Times New Roman" w:cs="Times New Roman"/>
          <w:bCs/>
          <w:iCs/>
          <w:sz w:val="24"/>
          <w:szCs w:val="24"/>
        </w:rPr>
        <w:t>in which there was an identical life evaluation question in the identical item-order collected over years, there is a .93 correlation across waves of the data for 1-year intervals (N = 336 nation-wave pairs), and a .91 correlation across a 4-year interval (N = 74 nations)</w:t>
      </w:r>
      <w:r w:rsidR="00B00C58" w:rsidRPr="008269E4">
        <w:rPr>
          <w:rFonts w:ascii="Times New Roman" w:hAnsi="Times New Roman" w:cs="Times New Roman"/>
          <w:bCs/>
          <w:iCs/>
          <w:sz w:val="24"/>
          <w:szCs w:val="24"/>
        </w:rPr>
        <w:t>.</w:t>
      </w:r>
      <w:r w:rsidR="003018B3" w:rsidRPr="008269E4">
        <w:rPr>
          <w:rFonts w:ascii="Times New Roman" w:hAnsi="Times New Roman" w:cs="Times New Roman"/>
          <w:bCs/>
          <w:iCs/>
          <w:sz w:val="24"/>
          <w:szCs w:val="24"/>
        </w:rPr>
        <w:t xml:space="preserve">To summarise the authors’ findings, reliability and validly </w:t>
      </w:r>
      <w:r w:rsidR="005C665D" w:rsidRPr="008269E4">
        <w:rPr>
          <w:rFonts w:ascii="Times New Roman" w:hAnsi="Times New Roman" w:cs="Times New Roman"/>
          <w:bCs/>
          <w:iCs/>
          <w:sz w:val="24"/>
          <w:szCs w:val="24"/>
        </w:rPr>
        <w:t xml:space="preserve">of </w:t>
      </w:r>
      <w:r w:rsidRPr="008269E4">
        <w:rPr>
          <w:rFonts w:ascii="Times New Roman" w:hAnsi="Times New Roman" w:cs="Times New Roman"/>
          <w:bCs/>
          <w:iCs/>
          <w:sz w:val="24"/>
          <w:szCs w:val="24"/>
        </w:rPr>
        <w:t>life satisfaction scales reflect authentic differences in the ways people evaluate their lives, and the scores move in expected ways to changes in people’s circumstances.</w:t>
      </w:r>
    </w:p>
    <w:p w14:paraId="4C25E188" w14:textId="77777777" w:rsidR="00C83B06" w:rsidRPr="008269E4" w:rsidRDefault="00C83B06" w:rsidP="00C83B06">
      <w:pPr>
        <w:jc w:val="both"/>
        <w:rPr>
          <w:rFonts w:ascii="Times New Roman" w:hAnsi="Times New Roman" w:cs="Times New Roman"/>
          <w:sz w:val="24"/>
          <w:szCs w:val="24"/>
        </w:rPr>
      </w:pPr>
      <w:r w:rsidRPr="008269E4">
        <w:rPr>
          <w:rFonts w:ascii="Times New Roman" w:hAnsi="Times New Roman" w:cs="Times New Roman"/>
          <w:sz w:val="24"/>
          <w:szCs w:val="24"/>
        </w:rPr>
        <w:t xml:space="preserve">Among those who have emphatically endorsed </w:t>
      </w:r>
      <w:r w:rsidR="00B351CF" w:rsidRPr="008269E4">
        <w:rPr>
          <w:rFonts w:ascii="Times New Roman" w:hAnsi="Times New Roman" w:cs="Times New Roman"/>
          <w:sz w:val="24"/>
          <w:szCs w:val="24"/>
        </w:rPr>
        <w:t xml:space="preserve">SWB </w:t>
      </w:r>
      <w:r w:rsidRPr="008269E4">
        <w:rPr>
          <w:rFonts w:ascii="Times New Roman" w:hAnsi="Times New Roman" w:cs="Times New Roman"/>
          <w:sz w:val="24"/>
          <w:szCs w:val="24"/>
        </w:rPr>
        <w:t xml:space="preserve">measures is Deaton (2018). He argues that SWB measures do not need to be related to behaviour. </w:t>
      </w:r>
      <w:r w:rsidR="00CA3179" w:rsidRPr="008269E4">
        <w:rPr>
          <w:rFonts w:ascii="Times New Roman" w:hAnsi="Times New Roman" w:cs="Times New Roman"/>
          <w:sz w:val="24"/>
          <w:szCs w:val="24"/>
        </w:rPr>
        <w:t>‘</w:t>
      </w:r>
      <w:r w:rsidR="00C842DB" w:rsidRPr="008269E4">
        <w:rPr>
          <w:rFonts w:ascii="Times New Roman" w:hAnsi="Times New Roman" w:cs="Times New Roman"/>
          <w:sz w:val="24"/>
          <w:szCs w:val="24"/>
        </w:rPr>
        <w:t xml:space="preserve">If decision utility differs from welfare utility, and if people sometimes behave against their best interests, the direct </w:t>
      </w:r>
      <w:r w:rsidR="00C842DB" w:rsidRPr="008269E4">
        <w:rPr>
          <w:rFonts w:ascii="Times New Roman" w:hAnsi="Times New Roman" w:cs="Times New Roman"/>
          <w:sz w:val="24"/>
          <w:szCs w:val="24"/>
        </w:rPr>
        <w:lastRenderedPageBreak/>
        <w:t xml:space="preserve">measurement of well-being might still give an accurate measure, and might even enable people to do better, either through </w:t>
      </w:r>
      <w:r w:rsidR="00CA3179" w:rsidRPr="008269E4">
        <w:rPr>
          <w:rFonts w:ascii="Times New Roman" w:hAnsi="Times New Roman" w:cs="Times New Roman"/>
          <w:sz w:val="24"/>
          <w:szCs w:val="24"/>
        </w:rPr>
        <w:t>paternalistic</w:t>
      </w:r>
      <w:r w:rsidR="00C842DB" w:rsidRPr="008269E4">
        <w:rPr>
          <w:rFonts w:ascii="Times New Roman" w:hAnsi="Times New Roman" w:cs="Times New Roman"/>
          <w:sz w:val="24"/>
          <w:szCs w:val="24"/>
        </w:rPr>
        <w:t xml:space="preserve"> government policies, or incentives, but more simply by providing information on the circumstances and choices that promote well-being</w:t>
      </w:r>
      <w:r w:rsidR="00CA3179" w:rsidRPr="008269E4">
        <w:rPr>
          <w:rFonts w:ascii="Times New Roman" w:hAnsi="Times New Roman" w:cs="Times New Roman"/>
          <w:sz w:val="24"/>
          <w:szCs w:val="24"/>
        </w:rPr>
        <w:t>…’(ibid., 2018, p. 18)</w:t>
      </w:r>
      <w:r w:rsidR="00C842DB" w:rsidRPr="008269E4">
        <w:rPr>
          <w:rFonts w:ascii="Times New Roman" w:hAnsi="Times New Roman" w:cs="Times New Roman"/>
          <w:sz w:val="24"/>
          <w:szCs w:val="24"/>
        </w:rPr>
        <w:t xml:space="preserve">. </w:t>
      </w:r>
      <w:r w:rsidR="00CA3179" w:rsidRPr="008269E4">
        <w:rPr>
          <w:rFonts w:ascii="Times New Roman" w:hAnsi="Times New Roman" w:cs="Times New Roman"/>
          <w:sz w:val="24"/>
          <w:szCs w:val="24"/>
        </w:rPr>
        <w:t>Deaton</w:t>
      </w:r>
      <w:r w:rsidRPr="008269E4">
        <w:rPr>
          <w:rFonts w:ascii="Times New Roman" w:hAnsi="Times New Roman" w:cs="Times New Roman"/>
          <w:sz w:val="24"/>
          <w:szCs w:val="24"/>
        </w:rPr>
        <w:t xml:space="preserve"> elaborates that direct measures may also capture aspects of welfare beyond real income, which is what economists typically use to proxy utility. Health is a case in point; education, civil liberties, civic participation, respect, dignity, and freedom are others.</w:t>
      </w:r>
      <w:r w:rsidR="0013344D" w:rsidRPr="008269E4">
        <w:rPr>
          <w:rFonts w:ascii="Times New Roman" w:hAnsi="Times New Roman" w:cs="Times New Roman"/>
          <w:sz w:val="24"/>
          <w:szCs w:val="24"/>
        </w:rPr>
        <w:t xml:space="preserve"> Our study focusing on SWB and OWB changes is in line with Deaton’s. </w:t>
      </w:r>
    </w:p>
    <w:p w14:paraId="644A050E" w14:textId="77777777" w:rsidR="00845216" w:rsidRPr="008269E4" w:rsidRDefault="00C83B06" w:rsidP="00C83B06">
      <w:pPr>
        <w:jc w:val="both"/>
        <w:rPr>
          <w:rFonts w:ascii="Times New Roman" w:hAnsi="Times New Roman" w:cs="Times New Roman"/>
          <w:sz w:val="24"/>
          <w:szCs w:val="24"/>
        </w:rPr>
      </w:pPr>
      <w:r w:rsidRPr="008269E4">
        <w:rPr>
          <w:rFonts w:ascii="Times New Roman" w:hAnsi="Times New Roman" w:cs="Times New Roman"/>
          <w:sz w:val="24"/>
          <w:szCs w:val="24"/>
        </w:rPr>
        <w:t>Deaton (2018)</w:t>
      </w:r>
      <w:r w:rsidR="004E6A88" w:rsidRPr="008269E4">
        <w:rPr>
          <w:rFonts w:ascii="Times New Roman" w:hAnsi="Times New Roman" w:cs="Times New Roman"/>
          <w:sz w:val="24"/>
          <w:szCs w:val="24"/>
        </w:rPr>
        <w:t xml:space="preserve">, based on </w:t>
      </w:r>
      <w:r w:rsidR="00AB23B5" w:rsidRPr="008269E4">
        <w:rPr>
          <w:rFonts w:ascii="Times New Roman" w:hAnsi="Times New Roman" w:cs="Times New Roman"/>
          <w:sz w:val="24"/>
          <w:szCs w:val="24"/>
        </w:rPr>
        <w:t xml:space="preserve">the Gallup World Poll, </w:t>
      </w:r>
      <w:r w:rsidRPr="008269E4">
        <w:rPr>
          <w:rFonts w:ascii="Times New Roman" w:hAnsi="Times New Roman" w:cs="Times New Roman"/>
          <w:sz w:val="24"/>
          <w:szCs w:val="24"/>
        </w:rPr>
        <w:t xml:space="preserve"> uses an evaluative measure of well</w:t>
      </w:r>
      <w:r w:rsidR="003C2F53" w:rsidRPr="008269E4">
        <w:rPr>
          <w:rFonts w:ascii="Times New Roman" w:hAnsi="Times New Roman" w:cs="Times New Roman"/>
          <w:sz w:val="24"/>
          <w:szCs w:val="24"/>
        </w:rPr>
        <w:t>-</w:t>
      </w:r>
      <w:r w:rsidRPr="008269E4">
        <w:rPr>
          <w:rFonts w:ascii="Times New Roman" w:hAnsi="Times New Roman" w:cs="Times New Roman"/>
          <w:sz w:val="24"/>
          <w:szCs w:val="24"/>
        </w:rPr>
        <w:t xml:space="preserve">being that asks people to report, on an eleven-point scale, from 0 to 10, how their life is going. The question is originally due to </w:t>
      </w:r>
      <w:proofErr w:type="spellStart"/>
      <w:r w:rsidRPr="008269E4">
        <w:rPr>
          <w:rFonts w:ascii="Times New Roman" w:hAnsi="Times New Roman" w:cs="Times New Roman"/>
          <w:sz w:val="24"/>
          <w:szCs w:val="24"/>
        </w:rPr>
        <w:t>Cantril</w:t>
      </w:r>
      <w:proofErr w:type="spellEnd"/>
      <w:r w:rsidRPr="008269E4">
        <w:rPr>
          <w:rFonts w:ascii="Times New Roman" w:hAnsi="Times New Roman" w:cs="Times New Roman"/>
          <w:sz w:val="24"/>
          <w:szCs w:val="24"/>
        </w:rPr>
        <w:t xml:space="preserve"> (1965), and is asked in exactly the same way of all individuals sampled by Gallup in their World Poll. The question is “Please imagine a ladder, with steps numbered from 0 at the bottom to 10 at the top. The top of the ladder represents the best possible life for you and the bottom of the ladder represents the worst possible life for you. On which step of the ladder would you say you personally stand at this time?”</w:t>
      </w:r>
      <w:proofErr w:type="gramStart"/>
      <w:r w:rsidR="00845216" w:rsidRPr="008269E4">
        <w:rPr>
          <w:rFonts w:ascii="Times New Roman" w:hAnsi="Times New Roman" w:cs="Times New Roman"/>
          <w:sz w:val="24"/>
          <w:szCs w:val="24"/>
        </w:rPr>
        <w:t>(Deaton, 2018, p. 19).</w:t>
      </w:r>
      <w:proofErr w:type="gramEnd"/>
    </w:p>
    <w:p w14:paraId="06B0E473" w14:textId="77777777" w:rsidR="00C83B06" w:rsidRPr="008269E4" w:rsidRDefault="00B7357E" w:rsidP="00C83B06">
      <w:pPr>
        <w:jc w:val="both"/>
        <w:rPr>
          <w:rFonts w:ascii="Times New Roman" w:hAnsi="Times New Roman" w:cs="Times New Roman"/>
          <w:sz w:val="24"/>
          <w:szCs w:val="24"/>
        </w:rPr>
      </w:pPr>
      <w:r w:rsidRPr="008269E4">
        <w:rPr>
          <w:rFonts w:ascii="Times New Roman" w:hAnsi="Times New Roman" w:cs="Times New Roman"/>
          <w:sz w:val="24"/>
          <w:szCs w:val="24"/>
        </w:rPr>
        <w:t xml:space="preserve">His </w:t>
      </w:r>
      <w:r w:rsidR="00C83B06" w:rsidRPr="008269E4">
        <w:rPr>
          <w:rFonts w:ascii="Times New Roman" w:hAnsi="Times New Roman" w:cs="Times New Roman"/>
          <w:sz w:val="24"/>
          <w:szCs w:val="24"/>
        </w:rPr>
        <w:t xml:space="preserve">main findings are: average ladder values vary greatly around the world, from around 4 in Africa, to between 7 and 8 for the rich countries of Europe and the English-speaking world; </w:t>
      </w:r>
      <w:r w:rsidR="003C2F53" w:rsidRPr="008269E4">
        <w:rPr>
          <w:rFonts w:ascii="Times New Roman" w:hAnsi="Times New Roman" w:cs="Times New Roman"/>
          <w:sz w:val="24"/>
          <w:szCs w:val="24"/>
        </w:rPr>
        <w:t>d</w:t>
      </w:r>
      <w:r w:rsidR="00C83B06" w:rsidRPr="008269E4">
        <w:rPr>
          <w:rFonts w:ascii="Times New Roman" w:hAnsi="Times New Roman" w:cs="Times New Roman"/>
          <w:sz w:val="24"/>
          <w:szCs w:val="24"/>
        </w:rPr>
        <w:t>ifferences between men and women within regions are smaller than differences between regions; women tend to evaluate their lives somewhat more highly than men, except in Africa, and sometimes among those over 60; age patterns are apparent, but neither universal, nor very pronounced, at least compared with those associated with international differences in incomes; the (unconditional) U-shape appears in the English speaking countries (U.K., U.S., Canada, Ireland, New Zealand and Australia), to a lesser extent in East and in South Asia and perhaps in Latin America and the Caribbean</w:t>
      </w:r>
      <w:r w:rsidR="00C314A5" w:rsidRPr="008269E4">
        <w:rPr>
          <w:rFonts w:ascii="Times New Roman" w:hAnsi="Times New Roman" w:cs="Times New Roman"/>
          <w:sz w:val="24"/>
          <w:szCs w:val="24"/>
        </w:rPr>
        <w:t xml:space="preserve"> - </w:t>
      </w:r>
      <w:r w:rsidR="00C83B06" w:rsidRPr="008269E4">
        <w:rPr>
          <w:rFonts w:ascii="Times New Roman" w:hAnsi="Times New Roman" w:cs="Times New Roman"/>
          <w:sz w:val="24"/>
          <w:szCs w:val="24"/>
        </w:rPr>
        <w:t>though only in the last age group</w:t>
      </w:r>
      <w:r w:rsidR="00D55CD3" w:rsidRPr="008269E4">
        <w:rPr>
          <w:rFonts w:ascii="Times New Roman" w:hAnsi="Times New Roman" w:cs="Times New Roman"/>
          <w:sz w:val="24"/>
          <w:szCs w:val="24"/>
        </w:rPr>
        <w:t xml:space="preserve"> (65-74)</w:t>
      </w:r>
      <w:r w:rsidR="00C83B06" w:rsidRPr="008269E4">
        <w:rPr>
          <w:rFonts w:ascii="Times New Roman" w:hAnsi="Times New Roman" w:cs="Times New Roman"/>
          <w:sz w:val="24"/>
          <w:szCs w:val="24"/>
        </w:rPr>
        <w:t>, and in Europe—more for men than women—but not elsewhere. In the two poorest regions, Africa and South Asia, life evaluation is low throughout life and, in Africa, it falls with age.</w:t>
      </w:r>
      <w:r w:rsidR="003C2F53" w:rsidRPr="008269E4">
        <w:rPr>
          <w:rFonts w:ascii="Times New Roman" w:hAnsi="Times New Roman" w:cs="Times New Roman"/>
          <w:sz w:val="24"/>
          <w:szCs w:val="24"/>
        </w:rPr>
        <w:t xml:space="preserve"> However, he is puzzled by the U-shape of well-being, where it exists, </w:t>
      </w:r>
      <w:r w:rsidR="007227A7" w:rsidRPr="008269E4">
        <w:rPr>
          <w:rFonts w:ascii="Times New Roman" w:hAnsi="Times New Roman" w:cs="Times New Roman"/>
          <w:sz w:val="24"/>
          <w:szCs w:val="24"/>
        </w:rPr>
        <w:t>since</w:t>
      </w:r>
      <w:r w:rsidR="00C83B06" w:rsidRPr="008269E4">
        <w:rPr>
          <w:rFonts w:ascii="Times New Roman" w:hAnsi="Times New Roman" w:cs="Times New Roman"/>
          <w:sz w:val="24"/>
          <w:szCs w:val="24"/>
        </w:rPr>
        <w:t xml:space="preserve"> SWB rises after middle-age, when people are losing their spouses, and when both morbidity and mortality are rising. In contrast, other components of psychological well</w:t>
      </w:r>
      <w:r w:rsidR="003C2F53" w:rsidRPr="008269E4">
        <w:rPr>
          <w:rFonts w:ascii="Times New Roman" w:hAnsi="Times New Roman" w:cs="Times New Roman"/>
          <w:sz w:val="24"/>
          <w:szCs w:val="24"/>
        </w:rPr>
        <w:t>-</w:t>
      </w:r>
      <w:r w:rsidR="00C83B06" w:rsidRPr="008269E4">
        <w:rPr>
          <w:rFonts w:ascii="Times New Roman" w:hAnsi="Times New Roman" w:cs="Times New Roman"/>
          <w:sz w:val="24"/>
          <w:szCs w:val="24"/>
        </w:rPr>
        <w:t>being may improve with age, less stress, and the negative side</w:t>
      </w:r>
      <w:r w:rsidR="00845216" w:rsidRPr="008269E4">
        <w:rPr>
          <w:rFonts w:ascii="Times New Roman" w:hAnsi="Times New Roman" w:cs="Times New Roman"/>
          <w:sz w:val="24"/>
          <w:szCs w:val="24"/>
        </w:rPr>
        <w:t>-</w:t>
      </w:r>
      <w:r w:rsidR="00C83B06" w:rsidRPr="008269E4">
        <w:rPr>
          <w:rFonts w:ascii="Times New Roman" w:hAnsi="Times New Roman" w:cs="Times New Roman"/>
          <w:sz w:val="24"/>
          <w:szCs w:val="24"/>
        </w:rPr>
        <w:t>effects (e</w:t>
      </w:r>
      <w:r w:rsidR="00893F7F" w:rsidRPr="008269E4">
        <w:rPr>
          <w:rFonts w:ascii="Times New Roman" w:hAnsi="Times New Roman" w:cs="Times New Roman"/>
          <w:sz w:val="24"/>
          <w:szCs w:val="24"/>
        </w:rPr>
        <w:t>.</w:t>
      </w:r>
      <w:r w:rsidR="00C83B06" w:rsidRPr="008269E4">
        <w:rPr>
          <w:rFonts w:ascii="Times New Roman" w:hAnsi="Times New Roman" w:cs="Times New Roman"/>
          <w:sz w:val="24"/>
          <w:szCs w:val="24"/>
        </w:rPr>
        <w:t>g</w:t>
      </w:r>
      <w:r w:rsidR="00893F7F" w:rsidRPr="008269E4">
        <w:rPr>
          <w:rFonts w:ascii="Times New Roman" w:hAnsi="Times New Roman" w:cs="Times New Roman"/>
          <w:sz w:val="24"/>
          <w:szCs w:val="24"/>
        </w:rPr>
        <w:t>.</w:t>
      </w:r>
      <w:r w:rsidR="00C83B06" w:rsidRPr="008269E4">
        <w:rPr>
          <w:rFonts w:ascii="Times New Roman" w:hAnsi="Times New Roman" w:cs="Times New Roman"/>
          <w:sz w:val="24"/>
          <w:szCs w:val="24"/>
        </w:rPr>
        <w:t>, physical pain) of work diminish with retirement.</w:t>
      </w:r>
    </w:p>
    <w:p w14:paraId="4B38B4A4" w14:textId="77777777" w:rsidR="00C83B06" w:rsidRPr="008269E4" w:rsidRDefault="00C83B06"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t xml:space="preserve">In </w:t>
      </w:r>
      <w:r w:rsidR="006F2594" w:rsidRPr="008269E4">
        <w:rPr>
          <w:rFonts w:ascii="Times New Roman" w:hAnsi="Times New Roman" w:cs="Times New Roman"/>
          <w:bCs/>
          <w:sz w:val="24"/>
          <w:szCs w:val="24"/>
        </w:rPr>
        <w:t>a highly cited</w:t>
      </w:r>
      <w:r w:rsidRPr="008269E4">
        <w:rPr>
          <w:rFonts w:ascii="Times New Roman" w:hAnsi="Times New Roman" w:cs="Times New Roman"/>
          <w:bCs/>
          <w:sz w:val="24"/>
          <w:szCs w:val="24"/>
        </w:rPr>
        <w:t xml:space="preserve"> study, </w:t>
      </w:r>
      <w:proofErr w:type="spellStart"/>
      <w:r w:rsidRPr="008269E4">
        <w:rPr>
          <w:rFonts w:ascii="Times New Roman" w:hAnsi="Times New Roman" w:cs="Times New Roman"/>
          <w:bCs/>
          <w:sz w:val="24"/>
          <w:szCs w:val="24"/>
        </w:rPr>
        <w:t>Blanchflower</w:t>
      </w:r>
      <w:proofErr w:type="spellEnd"/>
      <w:r w:rsidRPr="008269E4">
        <w:rPr>
          <w:rFonts w:ascii="Times New Roman" w:hAnsi="Times New Roman" w:cs="Times New Roman"/>
          <w:bCs/>
          <w:sz w:val="24"/>
          <w:szCs w:val="24"/>
        </w:rPr>
        <w:t xml:space="preserve"> and Oswald (2007) analyse data on 500,000 Americans and Europeans. It draws two main conclusions. First, psychological well-being depends in a curvilinear way upon age. Second, there are important differences in the reported happiness levels of different birth-cohorts. The results draw upon regression</w:t>
      </w:r>
      <w:r w:rsidR="00AE5B2B" w:rsidRPr="008269E4">
        <w:rPr>
          <w:rFonts w:ascii="Times New Roman" w:hAnsi="Times New Roman" w:cs="Times New Roman"/>
          <w:bCs/>
          <w:sz w:val="24"/>
          <w:szCs w:val="24"/>
        </w:rPr>
        <w:t>s</w:t>
      </w:r>
      <w:r w:rsidRPr="008269E4">
        <w:rPr>
          <w:rFonts w:ascii="Times New Roman" w:hAnsi="Times New Roman" w:cs="Times New Roman"/>
          <w:bCs/>
          <w:sz w:val="24"/>
          <w:szCs w:val="24"/>
        </w:rPr>
        <w:t xml:space="preserve"> and use datasets </w:t>
      </w:r>
      <w:r w:rsidR="00AE5B2B" w:rsidRPr="008269E4">
        <w:rPr>
          <w:rFonts w:ascii="Times New Roman" w:hAnsi="Times New Roman" w:cs="Times New Roman"/>
          <w:bCs/>
          <w:sz w:val="24"/>
          <w:szCs w:val="24"/>
        </w:rPr>
        <w:t xml:space="preserve">covering the period </w:t>
      </w:r>
      <w:r w:rsidRPr="008269E4">
        <w:rPr>
          <w:rFonts w:ascii="Times New Roman" w:hAnsi="Times New Roman" w:cs="Times New Roman"/>
          <w:bCs/>
          <w:sz w:val="24"/>
          <w:szCs w:val="24"/>
        </w:rPr>
        <w:t xml:space="preserve">long enough to distinguish age effects from cohort effects. The </w:t>
      </w:r>
      <w:r w:rsidR="00AE5B2B" w:rsidRPr="008269E4">
        <w:rPr>
          <w:rFonts w:ascii="Times New Roman" w:hAnsi="Times New Roman" w:cs="Times New Roman"/>
          <w:bCs/>
          <w:sz w:val="24"/>
          <w:szCs w:val="24"/>
        </w:rPr>
        <w:t xml:space="preserve">authors </w:t>
      </w:r>
      <w:r w:rsidRPr="008269E4">
        <w:rPr>
          <w:rFonts w:ascii="Times New Roman" w:hAnsi="Times New Roman" w:cs="Times New Roman"/>
          <w:bCs/>
          <w:sz w:val="24"/>
          <w:szCs w:val="24"/>
        </w:rPr>
        <w:t xml:space="preserve">suggest that reported well-being is U-shaped in age and that the convex structure of the curve is similar across different parts of the Western world. A limitation is that the analysis does not track the same individuals over time. </w:t>
      </w:r>
    </w:p>
    <w:p w14:paraId="5976DF81" w14:textId="5B368165" w:rsidR="005F1C5F" w:rsidRPr="008269E4" w:rsidRDefault="00C83B06" w:rsidP="005F1C5F">
      <w:pPr>
        <w:jc w:val="both"/>
        <w:rPr>
          <w:rFonts w:ascii="Times New Roman" w:hAnsi="Times New Roman" w:cs="Times New Roman"/>
          <w:bCs/>
          <w:sz w:val="24"/>
          <w:szCs w:val="24"/>
        </w:rPr>
      </w:pPr>
      <w:r w:rsidRPr="008269E4">
        <w:rPr>
          <w:rFonts w:ascii="Times New Roman" w:hAnsi="Times New Roman" w:cs="Times New Roman"/>
          <w:bCs/>
          <w:sz w:val="24"/>
          <w:szCs w:val="24"/>
        </w:rPr>
        <w:t xml:space="preserve">In an admirably clear and comprehensive review of factors associated with SWB, </w:t>
      </w:r>
      <w:r w:rsidR="00ED1CE1" w:rsidRPr="008269E4">
        <w:rPr>
          <w:rFonts w:ascii="Times New Roman" w:hAnsi="Times New Roman" w:cs="Times New Roman"/>
          <w:bCs/>
          <w:sz w:val="24"/>
          <w:szCs w:val="24"/>
        </w:rPr>
        <w:t xml:space="preserve">Dolan et al. (2008) draw </w:t>
      </w:r>
      <w:r w:rsidRPr="008269E4">
        <w:rPr>
          <w:rFonts w:ascii="Times New Roman" w:hAnsi="Times New Roman" w:cs="Times New Roman"/>
          <w:bCs/>
          <w:sz w:val="24"/>
          <w:szCs w:val="24"/>
        </w:rPr>
        <w:t xml:space="preserve">attention to ambiguities, inconsistencies and causality in the interpretation of the </w:t>
      </w:r>
      <w:r w:rsidRPr="008269E4">
        <w:rPr>
          <w:rFonts w:ascii="Times New Roman" w:hAnsi="Times New Roman" w:cs="Times New Roman"/>
          <w:bCs/>
          <w:sz w:val="24"/>
          <w:szCs w:val="24"/>
        </w:rPr>
        <w:lastRenderedPageBreak/>
        <w:t xml:space="preserve">results. </w:t>
      </w:r>
      <w:r w:rsidR="003F6231" w:rsidRPr="008269E4">
        <w:rPr>
          <w:rFonts w:ascii="Times New Roman" w:hAnsi="Times New Roman" w:cs="Times New Roman"/>
          <w:bCs/>
          <w:sz w:val="24"/>
          <w:szCs w:val="24"/>
        </w:rPr>
        <w:t>T</w:t>
      </w:r>
      <w:r w:rsidRPr="008269E4">
        <w:rPr>
          <w:rFonts w:ascii="Times New Roman" w:hAnsi="Times New Roman" w:cs="Times New Roman"/>
          <w:bCs/>
          <w:sz w:val="24"/>
          <w:szCs w:val="24"/>
        </w:rPr>
        <w:t xml:space="preserve">he results generally show positive but diminishing returns to income. Some of this positive association is likely to be due to reverse causation, as indicated by </w:t>
      </w:r>
      <w:r w:rsidR="005F712E" w:rsidRPr="008269E4">
        <w:rPr>
          <w:rFonts w:ascii="Times New Roman" w:hAnsi="Times New Roman" w:cs="Times New Roman"/>
          <w:bCs/>
          <w:sz w:val="24"/>
          <w:szCs w:val="24"/>
        </w:rPr>
        <w:t xml:space="preserve">the </w:t>
      </w:r>
      <w:r w:rsidRPr="008269E4">
        <w:rPr>
          <w:rFonts w:ascii="Times New Roman" w:hAnsi="Times New Roman" w:cs="Times New Roman"/>
          <w:bCs/>
          <w:sz w:val="24"/>
          <w:szCs w:val="24"/>
        </w:rPr>
        <w:t>studies which show higher well-being leading to higher future incomes</w:t>
      </w:r>
      <w:r w:rsidR="00367824">
        <w:rPr>
          <w:rFonts w:ascii="Times New Roman" w:hAnsi="Times New Roman" w:cs="Times New Roman"/>
          <w:bCs/>
          <w:sz w:val="24"/>
          <w:szCs w:val="24"/>
        </w:rPr>
        <w:t xml:space="preserve"> </w:t>
      </w:r>
      <w:r w:rsidR="005F1C5F" w:rsidRPr="008269E4">
        <w:rPr>
          <w:rFonts w:ascii="Times New Roman" w:hAnsi="Times New Roman" w:cs="Times New Roman"/>
          <w:bCs/>
          <w:sz w:val="24"/>
          <w:szCs w:val="24"/>
        </w:rPr>
        <w:t xml:space="preserve">(Clark, </w:t>
      </w:r>
      <w:proofErr w:type="spellStart"/>
      <w:r w:rsidR="005F1C5F" w:rsidRPr="008269E4">
        <w:rPr>
          <w:rFonts w:ascii="Times New Roman" w:hAnsi="Times New Roman" w:cs="Times New Roman"/>
          <w:bCs/>
          <w:sz w:val="24"/>
          <w:szCs w:val="24"/>
        </w:rPr>
        <w:t>Frijters</w:t>
      </w:r>
      <w:proofErr w:type="spellEnd"/>
      <w:r w:rsidR="005F1C5F" w:rsidRPr="008269E4">
        <w:rPr>
          <w:rFonts w:ascii="Times New Roman" w:hAnsi="Times New Roman" w:cs="Times New Roman"/>
          <w:bCs/>
          <w:sz w:val="24"/>
          <w:szCs w:val="24"/>
        </w:rPr>
        <w:t>, and Shields</w:t>
      </w:r>
      <w:r w:rsidR="00FD4489" w:rsidRPr="008269E4">
        <w:rPr>
          <w:rFonts w:ascii="Times New Roman" w:hAnsi="Times New Roman" w:cs="Times New Roman"/>
          <w:bCs/>
          <w:sz w:val="24"/>
          <w:szCs w:val="24"/>
        </w:rPr>
        <w:t>,</w:t>
      </w:r>
      <w:r w:rsidR="005F1C5F" w:rsidRPr="008269E4">
        <w:rPr>
          <w:rFonts w:ascii="Times New Roman" w:hAnsi="Times New Roman" w:cs="Times New Roman"/>
          <w:bCs/>
          <w:sz w:val="24"/>
          <w:szCs w:val="24"/>
        </w:rPr>
        <w:t xml:space="preserve"> 200</w:t>
      </w:r>
      <w:r w:rsidR="008F3F03" w:rsidRPr="008269E4">
        <w:rPr>
          <w:rFonts w:ascii="Times New Roman" w:hAnsi="Times New Roman" w:cs="Times New Roman"/>
          <w:bCs/>
          <w:sz w:val="24"/>
          <w:szCs w:val="24"/>
        </w:rPr>
        <w:t>8</w:t>
      </w:r>
      <w:r w:rsidR="005F1C5F" w:rsidRPr="008269E4">
        <w:rPr>
          <w:rFonts w:ascii="Times New Roman" w:hAnsi="Times New Roman" w:cs="Times New Roman"/>
          <w:bCs/>
          <w:sz w:val="24"/>
          <w:szCs w:val="24"/>
        </w:rPr>
        <w:t xml:space="preserve">). </w:t>
      </w:r>
    </w:p>
    <w:p w14:paraId="40692F3B" w14:textId="77777777" w:rsidR="00635DAE" w:rsidRPr="008269E4" w:rsidRDefault="00C83B06" w:rsidP="00635DAE">
      <w:pPr>
        <w:jc w:val="both"/>
        <w:rPr>
          <w:rFonts w:ascii="Times New Roman" w:hAnsi="Times New Roman" w:cs="Times New Roman"/>
          <w:bCs/>
          <w:sz w:val="24"/>
          <w:szCs w:val="24"/>
        </w:rPr>
      </w:pPr>
      <w:r w:rsidRPr="008269E4">
        <w:rPr>
          <w:rFonts w:ascii="Times New Roman" w:hAnsi="Times New Roman" w:cs="Times New Roman"/>
          <w:bCs/>
          <w:sz w:val="24"/>
          <w:szCs w:val="24"/>
        </w:rPr>
        <w:t>Studies that have included relative income (defined in a range of different ways with a range of different reference groups) suggest well-being is strongly affected by relativities. So, if additional income rises by similar amount in a person’s reference group, it is unlikely to be associated with gains in SWB</w:t>
      </w:r>
      <w:r w:rsidR="00323881">
        <w:rPr>
          <w:rFonts w:ascii="Times New Roman" w:hAnsi="Times New Roman" w:cs="Times New Roman"/>
          <w:bCs/>
          <w:sz w:val="24"/>
          <w:szCs w:val="24"/>
        </w:rPr>
        <w:t xml:space="preserve"> </w:t>
      </w:r>
      <w:r w:rsidR="00676239" w:rsidRPr="008269E4">
        <w:rPr>
          <w:rFonts w:ascii="Times New Roman" w:hAnsi="Times New Roman" w:cs="Times New Roman"/>
          <w:bCs/>
          <w:sz w:val="24"/>
          <w:szCs w:val="24"/>
        </w:rPr>
        <w:t>(Dorn</w:t>
      </w:r>
      <w:r w:rsidR="00B7357E" w:rsidRPr="008269E4">
        <w:rPr>
          <w:rFonts w:ascii="Times New Roman" w:hAnsi="Times New Roman" w:cs="Times New Roman"/>
          <w:bCs/>
          <w:sz w:val="24"/>
          <w:szCs w:val="24"/>
        </w:rPr>
        <w:t xml:space="preserve"> et al.</w:t>
      </w:r>
      <w:r w:rsidR="00676239" w:rsidRPr="008269E4">
        <w:rPr>
          <w:rFonts w:ascii="Times New Roman" w:hAnsi="Times New Roman" w:cs="Times New Roman"/>
          <w:bCs/>
          <w:sz w:val="24"/>
          <w:szCs w:val="24"/>
        </w:rPr>
        <w:t xml:space="preserve"> 2007)</w:t>
      </w:r>
      <w:r w:rsidR="00635DAE" w:rsidRPr="008269E4">
        <w:rPr>
          <w:rStyle w:val="FootnoteReference"/>
          <w:rFonts w:ascii="Times New Roman" w:hAnsi="Times New Roman" w:cs="Times New Roman"/>
          <w:bCs/>
          <w:sz w:val="24"/>
          <w:szCs w:val="24"/>
        </w:rPr>
        <w:footnoteReference w:id="7"/>
      </w:r>
      <w:r w:rsidR="005F1C5F" w:rsidRPr="008269E4">
        <w:rPr>
          <w:rFonts w:ascii="Times New Roman" w:hAnsi="Times New Roman" w:cs="Times New Roman"/>
          <w:bCs/>
          <w:sz w:val="24"/>
          <w:szCs w:val="24"/>
        </w:rPr>
        <w:t>.</w:t>
      </w:r>
      <w:r w:rsidR="00635DAE" w:rsidRPr="008269E4">
        <w:rPr>
          <w:rFonts w:ascii="Times New Roman" w:hAnsi="Times New Roman" w:cs="Times New Roman"/>
          <w:bCs/>
          <w:sz w:val="24"/>
          <w:szCs w:val="24"/>
        </w:rPr>
        <w:t>Indeed, much evidence indicates that rank in the income distribution influences life satisfaction.</w:t>
      </w:r>
      <w:r w:rsidR="0013344D" w:rsidRPr="008269E4">
        <w:rPr>
          <w:rFonts w:ascii="Times New Roman" w:hAnsi="Times New Roman" w:cs="Times New Roman"/>
          <w:bCs/>
          <w:sz w:val="24"/>
          <w:szCs w:val="24"/>
        </w:rPr>
        <w:t xml:space="preserve"> However, no studies have so far compared the </w:t>
      </w:r>
      <w:r w:rsidR="0094609D">
        <w:rPr>
          <w:rFonts w:ascii="Times New Roman" w:hAnsi="Times New Roman" w:cs="Times New Roman"/>
          <w:bCs/>
          <w:sz w:val="24"/>
          <w:szCs w:val="24"/>
        </w:rPr>
        <w:t xml:space="preserve">covariates </w:t>
      </w:r>
      <w:r w:rsidR="0013344D" w:rsidRPr="008269E4">
        <w:rPr>
          <w:rFonts w:ascii="Times New Roman" w:hAnsi="Times New Roman" w:cs="Times New Roman"/>
          <w:bCs/>
          <w:sz w:val="24"/>
          <w:szCs w:val="24"/>
        </w:rPr>
        <w:t xml:space="preserve">of SWB and those of the ranks defined by economic measures, that is, OWB. </w:t>
      </w:r>
    </w:p>
    <w:p w14:paraId="1E45BC55" w14:textId="77777777" w:rsidR="00C83B06" w:rsidRPr="008269E4" w:rsidRDefault="00BA0D28"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t>Earlier s</w:t>
      </w:r>
      <w:r w:rsidR="00C83B06" w:rsidRPr="008269E4">
        <w:rPr>
          <w:rFonts w:ascii="Times New Roman" w:hAnsi="Times New Roman" w:cs="Times New Roman"/>
          <w:bCs/>
          <w:sz w:val="24"/>
          <w:szCs w:val="24"/>
        </w:rPr>
        <w:t xml:space="preserve">tudies consistently find a negative relationship between SWB </w:t>
      </w:r>
      <w:r w:rsidR="009E5A6F" w:rsidRPr="008269E4">
        <w:rPr>
          <w:rFonts w:ascii="Times New Roman" w:hAnsi="Times New Roman" w:cs="Times New Roman"/>
          <w:bCs/>
          <w:sz w:val="24"/>
          <w:szCs w:val="24"/>
        </w:rPr>
        <w:t xml:space="preserve">and age </w:t>
      </w:r>
      <w:r w:rsidR="00C83B06" w:rsidRPr="008269E4">
        <w:rPr>
          <w:rFonts w:ascii="Times New Roman" w:hAnsi="Times New Roman" w:cs="Times New Roman"/>
          <w:bCs/>
          <w:sz w:val="24"/>
          <w:szCs w:val="24"/>
        </w:rPr>
        <w:t>and a positive relationship between age squared and SWB</w:t>
      </w:r>
      <w:r w:rsidR="00D40937" w:rsidRPr="008269E4">
        <w:rPr>
          <w:rFonts w:ascii="Times New Roman" w:hAnsi="Times New Roman" w:cs="Times New Roman"/>
          <w:bCs/>
          <w:sz w:val="24"/>
          <w:szCs w:val="24"/>
        </w:rPr>
        <w:t xml:space="preserve">, which is consistent with </w:t>
      </w:r>
      <w:r w:rsidR="00C83B06" w:rsidRPr="008269E4">
        <w:rPr>
          <w:rFonts w:ascii="Times New Roman" w:hAnsi="Times New Roman" w:cs="Times New Roman"/>
          <w:bCs/>
          <w:sz w:val="24"/>
          <w:szCs w:val="24"/>
        </w:rPr>
        <w:t xml:space="preserve">a U-shaped curve </w:t>
      </w:r>
      <w:r w:rsidR="00D40937" w:rsidRPr="008269E4">
        <w:rPr>
          <w:rFonts w:ascii="Times New Roman" w:hAnsi="Times New Roman" w:cs="Times New Roman"/>
          <w:bCs/>
          <w:sz w:val="24"/>
          <w:szCs w:val="24"/>
        </w:rPr>
        <w:t xml:space="preserve">in the SWB-age domain. For example, </w:t>
      </w:r>
      <w:proofErr w:type="spellStart"/>
      <w:r w:rsidR="00D40937" w:rsidRPr="008269E4">
        <w:rPr>
          <w:rFonts w:ascii="Times New Roman" w:hAnsi="Times New Roman" w:cs="Times New Roman"/>
          <w:bCs/>
          <w:sz w:val="24"/>
          <w:szCs w:val="24"/>
        </w:rPr>
        <w:t>Blanchflower</w:t>
      </w:r>
      <w:proofErr w:type="spellEnd"/>
      <w:r w:rsidR="00D40937" w:rsidRPr="008269E4">
        <w:rPr>
          <w:rFonts w:ascii="Times New Roman" w:hAnsi="Times New Roman" w:cs="Times New Roman"/>
          <w:bCs/>
          <w:sz w:val="24"/>
          <w:szCs w:val="24"/>
        </w:rPr>
        <w:t xml:space="preserve"> and Oswald</w:t>
      </w:r>
      <w:r w:rsidR="00323881">
        <w:rPr>
          <w:rFonts w:ascii="Times New Roman" w:hAnsi="Times New Roman" w:cs="Times New Roman"/>
          <w:bCs/>
          <w:sz w:val="24"/>
          <w:szCs w:val="24"/>
        </w:rPr>
        <w:t xml:space="preserve"> </w:t>
      </w:r>
      <w:r w:rsidR="00D40937" w:rsidRPr="008269E4">
        <w:rPr>
          <w:rFonts w:ascii="Times New Roman" w:hAnsi="Times New Roman" w:cs="Times New Roman"/>
          <w:bCs/>
          <w:sz w:val="24"/>
          <w:szCs w:val="24"/>
        </w:rPr>
        <w:t>(</w:t>
      </w:r>
      <w:r w:rsidR="00B7357E" w:rsidRPr="008269E4">
        <w:rPr>
          <w:rFonts w:ascii="Times New Roman" w:hAnsi="Times New Roman" w:cs="Times New Roman"/>
          <w:bCs/>
          <w:sz w:val="24"/>
          <w:szCs w:val="24"/>
        </w:rPr>
        <w:t>2007</w:t>
      </w:r>
      <w:r w:rsidR="00D40937" w:rsidRPr="008269E4">
        <w:rPr>
          <w:rFonts w:ascii="Times New Roman" w:hAnsi="Times New Roman" w:cs="Times New Roman"/>
          <w:bCs/>
          <w:sz w:val="24"/>
          <w:szCs w:val="24"/>
        </w:rPr>
        <w:t xml:space="preserve">) show that </w:t>
      </w:r>
      <w:r w:rsidR="00C83B06" w:rsidRPr="008269E4">
        <w:rPr>
          <w:rFonts w:ascii="Times New Roman" w:hAnsi="Times New Roman" w:cs="Times New Roman"/>
          <w:bCs/>
          <w:sz w:val="24"/>
          <w:szCs w:val="24"/>
        </w:rPr>
        <w:t xml:space="preserve">well-being </w:t>
      </w:r>
      <w:r w:rsidR="00D40937" w:rsidRPr="008269E4">
        <w:rPr>
          <w:rFonts w:ascii="Times New Roman" w:hAnsi="Times New Roman" w:cs="Times New Roman"/>
          <w:bCs/>
          <w:sz w:val="24"/>
          <w:szCs w:val="24"/>
        </w:rPr>
        <w:t xml:space="preserve">tends to be higher </w:t>
      </w:r>
      <w:r w:rsidR="00C83B06" w:rsidRPr="008269E4">
        <w:rPr>
          <w:rFonts w:ascii="Times New Roman" w:hAnsi="Times New Roman" w:cs="Times New Roman"/>
          <w:bCs/>
          <w:sz w:val="24"/>
          <w:szCs w:val="24"/>
        </w:rPr>
        <w:t xml:space="preserve">at the younger and </w:t>
      </w:r>
      <w:r w:rsidR="00D40937" w:rsidRPr="008269E4">
        <w:rPr>
          <w:rFonts w:ascii="Times New Roman" w:hAnsi="Times New Roman" w:cs="Times New Roman"/>
          <w:bCs/>
          <w:sz w:val="24"/>
          <w:szCs w:val="24"/>
        </w:rPr>
        <w:t xml:space="preserve">the </w:t>
      </w:r>
      <w:r w:rsidR="00C83B06" w:rsidRPr="008269E4">
        <w:rPr>
          <w:rFonts w:ascii="Times New Roman" w:hAnsi="Times New Roman" w:cs="Times New Roman"/>
          <w:bCs/>
          <w:sz w:val="24"/>
          <w:szCs w:val="24"/>
        </w:rPr>
        <w:t>older age points</w:t>
      </w:r>
      <w:r w:rsidR="00D40937" w:rsidRPr="008269E4">
        <w:rPr>
          <w:rFonts w:ascii="Times New Roman" w:hAnsi="Times New Roman" w:cs="Times New Roman"/>
          <w:bCs/>
          <w:sz w:val="24"/>
          <w:szCs w:val="24"/>
        </w:rPr>
        <w:t>,</w:t>
      </w:r>
      <w:r w:rsidR="00323881">
        <w:rPr>
          <w:rFonts w:ascii="Times New Roman" w:hAnsi="Times New Roman" w:cs="Times New Roman"/>
          <w:bCs/>
          <w:sz w:val="24"/>
          <w:szCs w:val="24"/>
        </w:rPr>
        <w:t xml:space="preserve"> </w:t>
      </w:r>
      <w:r w:rsidR="00D16F0C" w:rsidRPr="008269E4">
        <w:rPr>
          <w:rFonts w:ascii="Times New Roman" w:hAnsi="Times New Roman" w:cs="Times New Roman"/>
          <w:bCs/>
          <w:sz w:val="24"/>
          <w:szCs w:val="24"/>
        </w:rPr>
        <w:t xml:space="preserve">and </w:t>
      </w:r>
      <w:r w:rsidR="00C83B06" w:rsidRPr="008269E4">
        <w:rPr>
          <w:rFonts w:ascii="Times New Roman" w:hAnsi="Times New Roman" w:cs="Times New Roman"/>
          <w:bCs/>
          <w:sz w:val="24"/>
          <w:szCs w:val="24"/>
        </w:rPr>
        <w:t>low</w:t>
      </w:r>
      <w:r w:rsidR="00D40937" w:rsidRPr="008269E4">
        <w:rPr>
          <w:rFonts w:ascii="Times New Roman" w:hAnsi="Times New Roman" w:cs="Times New Roman"/>
          <w:bCs/>
          <w:sz w:val="24"/>
          <w:szCs w:val="24"/>
        </w:rPr>
        <w:t>er at</w:t>
      </w:r>
      <w:r w:rsidR="00323881">
        <w:rPr>
          <w:rFonts w:ascii="Times New Roman" w:hAnsi="Times New Roman" w:cs="Times New Roman"/>
          <w:bCs/>
          <w:sz w:val="24"/>
          <w:szCs w:val="24"/>
        </w:rPr>
        <w:t xml:space="preserve"> </w:t>
      </w:r>
      <w:r w:rsidR="00D40937" w:rsidRPr="008269E4">
        <w:rPr>
          <w:rFonts w:ascii="Times New Roman" w:hAnsi="Times New Roman" w:cs="Times New Roman"/>
          <w:bCs/>
          <w:sz w:val="24"/>
          <w:szCs w:val="24"/>
        </w:rPr>
        <w:t xml:space="preserve">the </w:t>
      </w:r>
      <w:r w:rsidR="00C83B06" w:rsidRPr="008269E4">
        <w:rPr>
          <w:rFonts w:ascii="Times New Roman" w:hAnsi="Times New Roman" w:cs="Times New Roman"/>
          <w:bCs/>
          <w:sz w:val="24"/>
          <w:szCs w:val="24"/>
        </w:rPr>
        <w:t>middle age</w:t>
      </w:r>
      <w:r w:rsidR="00D40937" w:rsidRPr="008269E4">
        <w:rPr>
          <w:rFonts w:ascii="Times New Roman" w:hAnsi="Times New Roman" w:cs="Times New Roman"/>
          <w:bCs/>
          <w:sz w:val="24"/>
          <w:szCs w:val="24"/>
        </w:rPr>
        <w:t xml:space="preserve"> point</w:t>
      </w:r>
      <w:r w:rsidR="00ED1CE1" w:rsidRPr="008269E4">
        <w:rPr>
          <w:rStyle w:val="FootnoteReference"/>
          <w:rFonts w:ascii="Times New Roman" w:hAnsi="Times New Roman" w:cs="Times New Roman"/>
          <w:bCs/>
          <w:sz w:val="24"/>
          <w:szCs w:val="24"/>
        </w:rPr>
        <w:footnoteReference w:id="8"/>
      </w:r>
      <w:r w:rsidR="00C83B06" w:rsidRPr="008269E4">
        <w:rPr>
          <w:rFonts w:ascii="Times New Roman" w:hAnsi="Times New Roman" w:cs="Times New Roman"/>
          <w:bCs/>
          <w:sz w:val="24"/>
          <w:szCs w:val="24"/>
        </w:rPr>
        <w:t xml:space="preserve">. </w:t>
      </w:r>
    </w:p>
    <w:p w14:paraId="7456D0CF" w14:textId="77777777" w:rsidR="00C83B06" w:rsidRPr="008269E4" w:rsidRDefault="00C83B06"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t>Women tend to report higher happiness but worst scores on the GHQ</w:t>
      </w:r>
      <w:r w:rsidR="00323881">
        <w:rPr>
          <w:rFonts w:ascii="Times New Roman" w:hAnsi="Times New Roman" w:cs="Times New Roman"/>
          <w:bCs/>
          <w:sz w:val="24"/>
          <w:szCs w:val="24"/>
        </w:rPr>
        <w:t xml:space="preserve"> </w:t>
      </w:r>
      <w:r w:rsidR="00676239" w:rsidRPr="008269E4">
        <w:rPr>
          <w:rFonts w:ascii="Times New Roman" w:hAnsi="Times New Roman" w:cs="Times New Roman"/>
          <w:bCs/>
          <w:sz w:val="24"/>
          <w:szCs w:val="24"/>
        </w:rPr>
        <w:t>(</w:t>
      </w:r>
      <w:proofErr w:type="spellStart"/>
      <w:r w:rsidR="00676239" w:rsidRPr="008269E4">
        <w:rPr>
          <w:rFonts w:ascii="Times New Roman" w:hAnsi="Times New Roman" w:cs="Times New Roman"/>
          <w:bCs/>
          <w:sz w:val="24"/>
          <w:szCs w:val="24"/>
        </w:rPr>
        <w:t>Alesina</w:t>
      </w:r>
      <w:proofErr w:type="spellEnd"/>
      <w:r w:rsidR="00676239" w:rsidRPr="008269E4">
        <w:rPr>
          <w:rFonts w:ascii="Times New Roman" w:hAnsi="Times New Roman" w:cs="Times New Roman"/>
          <w:bCs/>
          <w:sz w:val="24"/>
          <w:szCs w:val="24"/>
        </w:rPr>
        <w:t xml:space="preserve">, </w:t>
      </w:r>
      <w:r w:rsidR="009674FC" w:rsidRPr="008269E4">
        <w:rPr>
          <w:rFonts w:ascii="Times New Roman" w:hAnsi="Times New Roman" w:cs="Times New Roman"/>
          <w:bCs/>
          <w:sz w:val="24"/>
          <w:szCs w:val="24"/>
        </w:rPr>
        <w:t>et al.</w:t>
      </w:r>
      <w:r w:rsidR="00676239" w:rsidRPr="008269E4">
        <w:rPr>
          <w:rFonts w:ascii="Times New Roman" w:hAnsi="Times New Roman" w:cs="Times New Roman"/>
          <w:bCs/>
          <w:sz w:val="24"/>
          <w:szCs w:val="24"/>
        </w:rPr>
        <w:t>, 2004)</w:t>
      </w:r>
      <w:r w:rsidRPr="008269E4">
        <w:rPr>
          <w:rFonts w:ascii="Times New Roman" w:hAnsi="Times New Roman" w:cs="Times New Roman"/>
          <w:bCs/>
          <w:sz w:val="24"/>
          <w:szCs w:val="24"/>
        </w:rPr>
        <w:t>, although a few studies report no gender differences even using the same datasets. This is not surprising as specifications differ</w:t>
      </w:r>
      <w:r w:rsidR="00676239" w:rsidRPr="008269E4">
        <w:rPr>
          <w:rFonts w:ascii="Times New Roman" w:hAnsi="Times New Roman" w:cs="Times New Roman"/>
          <w:bCs/>
          <w:sz w:val="24"/>
          <w:szCs w:val="24"/>
        </w:rPr>
        <w:t xml:space="preserve"> (Dolan et al. 2008)</w:t>
      </w:r>
      <w:r w:rsidRPr="008269E4">
        <w:rPr>
          <w:rFonts w:ascii="Times New Roman" w:hAnsi="Times New Roman" w:cs="Times New Roman"/>
          <w:bCs/>
          <w:sz w:val="24"/>
          <w:szCs w:val="24"/>
        </w:rPr>
        <w:t>.</w:t>
      </w:r>
    </w:p>
    <w:p w14:paraId="41957D6D" w14:textId="77777777" w:rsidR="00C83B06" w:rsidRPr="008269E4" w:rsidRDefault="00C83B06"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t xml:space="preserve">Some studies find a positive relationship between </w:t>
      </w:r>
      <w:r w:rsidR="00B2661F" w:rsidRPr="008269E4">
        <w:rPr>
          <w:rFonts w:ascii="Times New Roman" w:hAnsi="Times New Roman" w:cs="Times New Roman"/>
          <w:bCs/>
          <w:sz w:val="24"/>
          <w:szCs w:val="24"/>
        </w:rPr>
        <w:t xml:space="preserve">SWB and </w:t>
      </w:r>
      <w:r w:rsidRPr="008269E4">
        <w:rPr>
          <w:rFonts w:ascii="Times New Roman" w:hAnsi="Times New Roman" w:cs="Times New Roman"/>
          <w:bCs/>
          <w:sz w:val="24"/>
          <w:szCs w:val="24"/>
        </w:rPr>
        <w:t xml:space="preserve">each additional level of </w:t>
      </w:r>
      <w:r w:rsidR="002D1A96" w:rsidRPr="008269E4">
        <w:rPr>
          <w:rFonts w:ascii="Times New Roman" w:hAnsi="Times New Roman" w:cs="Times New Roman"/>
          <w:bCs/>
          <w:sz w:val="24"/>
          <w:szCs w:val="24"/>
        </w:rPr>
        <w:t>schooling</w:t>
      </w:r>
      <w:r w:rsidRPr="008269E4">
        <w:rPr>
          <w:rFonts w:ascii="Times New Roman" w:hAnsi="Times New Roman" w:cs="Times New Roman"/>
          <w:bCs/>
          <w:sz w:val="24"/>
          <w:szCs w:val="24"/>
        </w:rPr>
        <w:t xml:space="preserve">, while others find that middle level </w:t>
      </w:r>
      <w:r w:rsidR="002D1A96" w:rsidRPr="008269E4">
        <w:rPr>
          <w:rFonts w:ascii="Times New Roman" w:hAnsi="Times New Roman" w:cs="Times New Roman"/>
          <w:bCs/>
          <w:sz w:val="24"/>
          <w:szCs w:val="24"/>
        </w:rPr>
        <w:t>of schooling</w:t>
      </w:r>
      <w:r w:rsidRPr="008269E4">
        <w:rPr>
          <w:rFonts w:ascii="Times New Roman" w:hAnsi="Times New Roman" w:cs="Times New Roman"/>
          <w:bCs/>
          <w:sz w:val="24"/>
          <w:szCs w:val="24"/>
        </w:rPr>
        <w:t xml:space="preserve"> is related to the highest life satisfaction</w:t>
      </w:r>
      <w:r w:rsidR="00B11F83" w:rsidRPr="008269E4">
        <w:rPr>
          <w:rFonts w:ascii="Times New Roman" w:hAnsi="Times New Roman" w:cs="Times New Roman"/>
          <w:bCs/>
          <w:sz w:val="24"/>
          <w:szCs w:val="24"/>
        </w:rPr>
        <w:t xml:space="preserve"> (e</w:t>
      </w:r>
      <w:r w:rsidR="00893F7F" w:rsidRPr="008269E4">
        <w:rPr>
          <w:rFonts w:ascii="Times New Roman" w:hAnsi="Times New Roman" w:cs="Times New Roman"/>
          <w:bCs/>
          <w:sz w:val="24"/>
          <w:szCs w:val="24"/>
        </w:rPr>
        <w:t>.</w:t>
      </w:r>
      <w:r w:rsidR="00B11F83" w:rsidRPr="008269E4">
        <w:rPr>
          <w:rFonts w:ascii="Times New Roman" w:hAnsi="Times New Roman" w:cs="Times New Roman"/>
          <w:bCs/>
          <w:sz w:val="24"/>
          <w:szCs w:val="24"/>
        </w:rPr>
        <w:t>g</w:t>
      </w:r>
      <w:r w:rsidR="00893F7F" w:rsidRPr="008269E4">
        <w:rPr>
          <w:rFonts w:ascii="Times New Roman" w:hAnsi="Times New Roman" w:cs="Times New Roman"/>
          <w:bCs/>
          <w:sz w:val="24"/>
          <w:szCs w:val="24"/>
        </w:rPr>
        <w:t>.</w:t>
      </w:r>
      <w:r w:rsidR="00B11F83" w:rsidRPr="008269E4">
        <w:rPr>
          <w:rFonts w:ascii="Times New Roman" w:hAnsi="Times New Roman" w:cs="Times New Roman"/>
          <w:bCs/>
          <w:sz w:val="24"/>
          <w:szCs w:val="24"/>
        </w:rPr>
        <w:t>,</w:t>
      </w:r>
      <w:r w:rsidR="00323881">
        <w:rPr>
          <w:rFonts w:ascii="Times New Roman" w:hAnsi="Times New Roman" w:cs="Times New Roman"/>
          <w:bCs/>
          <w:sz w:val="24"/>
          <w:szCs w:val="24"/>
        </w:rPr>
        <w:t xml:space="preserve"> </w:t>
      </w:r>
      <w:proofErr w:type="spellStart"/>
      <w:r w:rsidR="00B11F83" w:rsidRPr="008269E4">
        <w:rPr>
          <w:rFonts w:ascii="Times New Roman" w:hAnsi="Times New Roman" w:cs="Times New Roman"/>
          <w:bCs/>
          <w:sz w:val="24"/>
          <w:szCs w:val="24"/>
        </w:rPr>
        <w:t>Blanchflower</w:t>
      </w:r>
      <w:proofErr w:type="spellEnd"/>
      <w:r w:rsidR="00323881">
        <w:rPr>
          <w:rFonts w:ascii="Times New Roman" w:hAnsi="Times New Roman" w:cs="Times New Roman"/>
          <w:bCs/>
          <w:sz w:val="24"/>
          <w:szCs w:val="24"/>
        </w:rPr>
        <w:t xml:space="preserve"> </w:t>
      </w:r>
      <w:r w:rsidR="00B11F83" w:rsidRPr="008269E4">
        <w:rPr>
          <w:rFonts w:ascii="Times New Roman" w:hAnsi="Times New Roman" w:cs="Times New Roman"/>
          <w:bCs/>
          <w:sz w:val="24"/>
          <w:szCs w:val="24"/>
        </w:rPr>
        <w:t xml:space="preserve">&amp; Oswald, 2004, </w:t>
      </w:r>
      <w:proofErr w:type="spellStart"/>
      <w:r w:rsidR="00B11F83" w:rsidRPr="008269E4">
        <w:rPr>
          <w:rFonts w:ascii="Times New Roman" w:hAnsi="Times New Roman" w:cs="Times New Roman"/>
          <w:bCs/>
          <w:sz w:val="24"/>
          <w:szCs w:val="24"/>
        </w:rPr>
        <w:t>Stutzer</w:t>
      </w:r>
      <w:proofErr w:type="spellEnd"/>
      <w:r w:rsidR="00B11F83" w:rsidRPr="008269E4">
        <w:rPr>
          <w:rFonts w:ascii="Times New Roman" w:hAnsi="Times New Roman" w:cs="Times New Roman"/>
          <w:bCs/>
          <w:sz w:val="24"/>
          <w:szCs w:val="24"/>
        </w:rPr>
        <w:t>, 2004)</w:t>
      </w:r>
      <w:r w:rsidRPr="008269E4">
        <w:rPr>
          <w:rFonts w:ascii="Times New Roman" w:hAnsi="Times New Roman" w:cs="Times New Roman"/>
          <w:bCs/>
          <w:sz w:val="24"/>
          <w:szCs w:val="24"/>
        </w:rPr>
        <w:t xml:space="preserve">. However, there is some evidence that </w:t>
      </w:r>
      <w:r w:rsidR="002D1A96" w:rsidRPr="008269E4">
        <w:rPr>
          <w:rFonts w:ascii="Times New Roman" w:hAnsi="Times New Roman" w:cs="Times New Roman"/>
          <w:bCs/>
          <w:sz w:val="24"/>
          <w:szCs w:val="24"/>
        </w:rPr>
        <w:t>schooling</w:t>
      </w:r>
      <w:r w:rsidRPr="008269E4">
        <w:rPr>
          <w:rFonts w:ascii="Times New Roman" w:hAnsi="Times New Roman" w:cs="Times New Roman"/>
          <w:bCs/>
          <w:sz w:val="24"/>
          <w:szCs w:val="24"/>
        </w:rPr>
        <w:t xml:space="preserve"> has more of a positive impact in low income countries. In addition, the coefficient on </w:t>
      </w:r>
      <w:r w:rsidR="0094609D">
        <w:rPr>
          <w:rFonts w:ascii="Times New Roman" w:hAnsi="Times New Roman" w:cs="Times New Roman"/>
          <w:bCs/>
          <w:sz w:val="24"/>
          <w:szCs w:val="24"/>
        </w:rPr>
        <w:t>schooling</w:t>
      </w:r>
      <w:r w:rsidRPr="008269E4">
        <w:rPr>
          <w:rFonts w:ascii="Times New Roman" w:hAnsi="Times New Roman" w:cs="Times New Roman"/>
          <w:bCs/>
          <w:sz w:val="24"/>
          <w:szCs w:val="24"/>
        </w:rPr>
        <w:t xml:space="preserve"> is often responsive to the inclusion of other variables within the model. </w:t>
      </w:r>
      <w:r w:rsidR="004D1C81" w:rsidRPr="008269E4">
        <w:rPr>
          <w:rFonts w:ascii="Times New Roman" w:hAnsi="Times New Roman" w:cs="Times New Roman"/>
          <w:bCs/>
          <w:sz w:val="24"/>
          <w:szCs w:val="24"/>
        </w:rPr>
        <w:t xml:space="preserve">Schooling </w:t>
      </w:r>
      <w:r w:rsidRPr="008269E4">
        <w:rPr>
          <w:rFonts w:ascii="Times New Roman" w:hAnsi="Times New Roman" w:cs="Times New Roman"/>
          <w:bCs/>
          <w:sz w:val="24"/>
          <w:szCs w:val="24"/>
        </w:rPr>
        <w:t>is likely to be positively correlated with income and health, and</w:t>
      </w:r>
      <w:r w:rsidR="00B2661F" w:rsidRPr="008269E4">
        <w:rPr>
          <w:rFonts w:ascii="Times New Roman" w:hAnsi="Times New Roman" w:cs="Times New Roman"/>
          <w:bCs/>
          <w:sz w:val="24"/>
          <w:szCs w:val="24"/>
        </w:rPr>
        <w:t>,</w:t>
      </w:r>
      <w:r w:rsidRPr="008269E4">
        <w:rPr>
          <w:rFonts w:ascii="Times New Roman" w:hAnsi="Times New Roman" w:cs="Times New Roman"/>
          <w:bCs/>
          <w:sz w:val="24"/>
          <w:szCs w:val="24"/>
        </w:rPr>
        <w:t xml:space="preserve"> if these are not controlled for</w:t>
      </w:r>
      <w:r w:rsidR="00B2661F" w:rsidRPr="008269E4">
        <w:rPr>
          <w:rFonts w:ascii="Times New Roman" w:hAnsi="Times New Roman" w:cs="Times New Roman"/>
          <w:bCs/>
          <w:sz w:val="24"/>
          <w:szCs w:val="24"/>
        </w:rPr>
        <w:t xml:space="preserve">, </w:t>
      </w:r>
      <w:r w:rsidRPr="008269E4">
        <w:rPr>
          <w:rFonts w:ascii="Times New Roman" w:hAnsi="Times New Roman" w:cs="Times New Roman"/>
          <w:bCs/>
          <w:sz w:val="24"/>
          <w:szCs w:val="24"/>
        </w:rPr>
        <w:t xml:space="preserve">the </w:t>
      </w:r>
      <w:r w:rsidR="0094609D">
        <w:rPr>
          <w:rFonts w:ascii="Times New Roman" w:hAnsi="Times New Roman" w:cs="Times New Roman"/>
          <w:bCs/>
          <w:sz w:val="24"/>
          <w:szCs w:val="24"/>
        </w:rPr>
        <w:t>schooling</w:t>
      </w:r>
      <w:r w:rsidRPr="008269E4">
        <w:rPr>
          <w:rFonts w:ascii="Times New Roman" w:hAnsi="Times New Roman" w:cs="Times New Roman"/>
          <w:bCs/>
          <w:sz w:val="24"/>
          <w:szCs w:val="24"/>
        </w:rPr>
        <w:t xml:space="preserve"> coefficient is likely to be more strongly positive</w:t>
      </w:r>
      <w:r w:rsidR="00323881">
        <w:rPr>
          <w:rFonts w:ascii="Times New Roman" w:hAnsi="Times New Roman" w:cs="Times New Roman"/>
          <w:bCs/>
          <w:sz w:val="24"/>
          <w:szCs w:val="24"/>
        </w:rPr>
        <w:t xml:space="preserve"> </w:t>
      </w:r>
      <w:r w:rsidR="00B11F83" w:rsidRPr="008269E4">
        <w:rPr>
          <w:rFonts w:ascii="Times New Roman" w:hAnsi="Times New Roman" w:cs="Times New Roman"/>
          <w:bCs/>
          <w:sz w:val="24"/>
          <w:szCs w:val="24"/>
        </w:rPr>
        <w:t>(Fahey &amp; Smyth, 2004; Ferrer-</w:t>
      </w:r>
      <w:proofErr w:type="spellStart"/>
      <w:r w:rsidR="00B11F83" w:rsidRPr="008269E4">
        <w:rPr>
          <w:rFonts w:ascii="Times New Roman" w:hAnsi="Times New Roman" w:cs="Times New Roman"/>
          <w:bCs/>
          <w:sz w:val="24"/>
          <w:szCs w:val="24"/>
        </w:rPr>
        <w:t>i</w:t>
      </w:r>
      <w:proofErr w:type="spellEnd"/>
      <w:r w:rsidR="00B11F83" w:rsidRPr="008269E4">
        <w:rPr>
          <w:rFonts w:ascii="Times New Roman" w:hAnsi="Times New Roman" w:cs="Times New Roman"/>
          <w:bCs/>
          <w:sz w:val="24"/>
          <w:szCs w:val="24"/>
        </w:rPr>
        <w:t>-</w:t>
      </w:r>
      <w:proofErr w:type="spellStart"/>
      <w:r w:rsidR="00B11F83" w:rsidRPr="008269E4">
        <w:rPr>
          <w:rFonts w:ascii="Times New Roman" w:hAnsi="Times New Roman" w:cs="Times New Roman"/>
          <w:bCs/>
          <w:sz w:val="24"/>
          <w:szCs w:val="24"/>
        </w:rPr>
        <w:t>Carbonell</w:t>
      </w:r>
      <w:proofErr w:type="spellEnd"/>
      <w:r w:rsidR="00B11F83" w:rsidRPr="008269E4">
        <w:rPr>
          <w:rFonts w:ascii="Times New Roman" w:hAnsi="Times New Roman" w:cs="Times New Roman"/>
          <w:bCs/>
          <w:sz w:val="24"/>
          <w:szCs w:val="24"/>
        </w:rPr>
        <w:t>, 2005).</w:t>
      </w:r>
    </w:p>
    <w:p w14:paraId="1EF98B8D" w14:textId="77777777" w:rsidR="005C4220" w:rsidRPr="008269E4" w:rsidRDefault="005C4220" w:rsidP="005C4220">
      <w:pPr>
        <w:jc w:val="both"/>
        <w:rPr>
          <w:rFonts w:ascii="Times New Roman" w:hAnsi="Times New Roman" w:cs="Times New Roman"/>
          <w:bCs/>
          <w:sz w:val="24"/>
          <w:szCs w:val="24"/>
        </w:rPr>
      </w:pPr>
      <w:r w:rsidRPr="008269E4">
        <w:rPr>
          <w:rFonts w:ascii="Times New Roman" w:hAnsi="Times New Roman" w:cs="Times New Roman"/>
          <w:bCs/>
          <w:sz w:val="24"/>
          <w:szCs w:val="24"/>
        </w:rPr>
        <w:t>Evidence shows a large negative effect of individual unemployment on SWB. Models, which treat life satisfaction scales as a continuous variable, tend to find that the unemployed have around 5-15% lower scores than the employed. Men have been found to suffer most from unemployment and some studies also find that the middle- aged suffer more than the young or old (e</w:t>
      </w:r>
      <w:r w:rsidR="00893F7F" w:rsidRPr="008269E4">
        <w:rPr>
          <w:rFonts w:ascii="Times New Roman" w:hAnsi="Times New Roman" w:cs="Times New Roman"/>
          <w:bCs/>
          <w:sz w:val="24"/>
          <w:szCs w:val="24"/>
        </w:rPr>
        <w:t>.</w:t>
      </w:r>
      <w:r w:rsidRPr="008269E4">
        <w:rPr>
          <w:rFonts w:ascii="Times New Roman" w:hAnsi="Times New Roman" w:cs="Times New Roman"/>
          <w:bCs/>
          <w:sz w:val="24"/>
          <w:szCs w:val="24"/>
        </w:rPr>
        <w:t>g</w:t>
      </w:r>
      <w:r w:rsidR="00893F7F" w:rsidRPr="008269E4">
        <w:rPr>
          <w:rFonts w:ascii="Times New Roman" w:hAnsi="Times New Roman" w:cs="Times New Roman"/>
          <w:bCs/>
          <w:sz w:val="24"/>
          <w:szCs w:val="24"/>
        </w:rPr>
        <w:t>.</w:t>
      </w:r>
      <w:r w:rsidRPr="008269E4">
        <w:rPr>
          <w:rFonts w:ascii="Times New Roman" w:hAnsi="Times New Roman" w:cs="Times New Roman"/>
          <w:bCs/>
          <w:sz w:val="24"/>
          <w:szCs w:val="24"/>
        </w:rPr>
        <w:t xml:space="preserve">, Di </w:t>
      </w:r>
      <w:proofErr w:type="spellStart"/>
      <w:r w:rsidRPr="008269E4">
        <w:rPr>
          <w:rFonts w:ascii="Times New Roman" w:hAnsi="Times New Roman" w:cs="Times New Roman"/>
          <w:bCs/>
          <w:sz w:val="24"/>
          <w:szCs w:val="24"/>
        </w:rPr>
        <w:t>Tella</w:t>
      </w:r>
      <w:proofErr w:type="spellEnd"/>
      <w:r w:rsidRPr="008269E4">
        <w:rPr>
          <w:rFonts w:ascii="Times New Roman" w:hAnsi="Times New Roman" w:cs="Times New Roman"/>
          <w:bCs/>
          <w:sz w:val="24"/>
          <w:szCs w:val="24"/>
        </w:rPr>
        <w:t xml:space="preserve"> et al., 2001, Clark, 2003).While the evidence is relatively clear that employment is better than unemployment, the relationship between the amount of work (e</w:t>
      </w:r>
      <w:r w:rsidR="00893F7F" w:rsidRPr="008269E4">
        <w:rPr>
          <w:rFonts w:ascii="Times New Roman" w:hAnsi="Times New Roman" w:cs="Times New Roman"/>
          <w:bCs/>
          <w:sz w:val="24"/>
          <w:szCs w:val="24"/>
        </w:rPr>
        <w:t>.</w:t>
      </w:r>
      <w:r w:rsidRPr="008269E4">
        <w:rPr>
          <w:rFonts w:ascii="Times New Roman" w:hAnsi="Times New Roman" w:cs="Times New Roman"/>
          <w:bCs/>
          <w:sz w:val="24"/>
          <w:szCs w:val="24"/>
        </w:rPr>
        <w:t>g</w:t>
      </w:r>
      <w:r w:rsidR="00893F7F" w:rsidRPr="008269E4">
        <w:rPr>
          <w:rFonts w:ascii="Times New Roman" w:hAnsi="Times New Roman" w:cs="Times New Roman"/>
          <w:bCs/>
          <w:sz w:val="24"/>
          <w:szCs w:val="24"/>
        </w:rPr>
        <w:t>.</w:t>
      </w:r>
      <w:r w:rsidRPr="008269E4">
        <w:rPr>
          <w:rFonts w:ascii="Times New Roman" w:hAnsi="Times New Roman" w:cs="Times New Roman"/>
          <w:bCs/>
          <w:sz w:val="24"/>
          <w:szCs w:val="24"/>
        </w:rPr>
        <w:t xml:space="preserve">, number of hours worked) and well-being is less straightforward. An interesting result is an </w:t>
      </w:r>
      <w:r w:rsidR="00ED504D" w:rsidRPr="008269E4">
        <w:rPr>
          <w:rFonts w:ascii="Times New Roman" w:hAnsi="Times New Roman" w:cs="Times New Roman"/>
          <w:bCs/>
          <w:sz w:val="24"/>
          <w:szCs w:val="24"/>
        </w:rPr>
        <w:t>inverted</w:t>
      </w:r>
      <w:r w:rsidRPr="008269E4">
        <w:rPr>
          <w:rFonts w:ascii="Times New Roman" w:hAnsi="Times New Roman" w:cs="Times New Roman"/>
          <w:bCs/>
          <w:sz w:val="24"/>
          <w:szCs w:val="24"/>
        </w:rPr>
        <w:t xml:space="preserve"> U-shaped curve between life satisfaction and hours worked suggesting that well-being rises as hours worked rise but only up to a certain point and then starts to drop as hours become longer (Meir and </w:t>
      </w:r>
      <w:proofErr w:type="spellStart"/>
      <w:r w:rsidRPr="008269E4">
        <w:rPr>
          <w:rFonts w:ascii="Times New Roman" w:hAnsi="Times New Roman" w:cs="Times New Roman"/>
          <w:bCs/>
          <w:sz w:val="24"/>
          <w:szCs w:val="24"/>
        </w:rPr>
        <w:t>Stutzer</w:t>
      </w:r>
      <w:proofErr w:type="spellEnd"/>
      <w:r w:rsidRPr="008269E4">
        <w:rPr>
          <w:rFonts w:ascii="Times New Roman" w:hAnsi="Times New Roman" w:cs="Times New Roman"/>
          <w:bCs/>
          <w:sz w:val="24"/>
          <w:szCs w:val="24"/>
        </w:rPr>
        <w:t>, 2006).</w:t>
      </w:r>
    </w:p>
    <w:p w14:paraId="666B689A" w14:textId="128BEAD5" w:rsidR="00ED142C" w:rsidRPr="008269E4" w:rsidRDefault="00C83B06"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lastRenderedPageBreak/>
        <w:t>Studies consistently show a strong relationship between SWB and both physical and psychological health. Psychological health appears to be more highly correlated with SWB than physical health but this is not surprising given the close correspondence between psychological health and SWB. Some of the association may be caused by the impact that well-being has on health but the effect sizes of the health variables are substantial</w:t>
      </w:r>
      <w:r w:rsidR="002D1A96" w:rsidRPr="008269E4">
        <w:rPr>
          <w:rFonts w:ascii="Times New Roman" w:hAnsi="Times New Roman" w:cs="Times New Roman"/>
          <w:bCs/>
          <w:sz w:val="24"/>
          <w:szCs w:val="24"/>
        </w:rPr>
        <w:t>,</w:t>
      </w:r>
      <w:r w:rsidRPr="008269E4">
        <w:rPr>
          <w:rFonts w:ascii="Times New Roman" w:hAnsi="Times New Roman" w:cs="Times New Roman"/>
          <w:bCs/>
          <w:sz w:val="24"/>
          <w:szCs w:val="24"/>
        </w:rPr>
        <w:t xml:space="preserve"> suggesting that</w:t>
      </w:r>
      <w:r w:rsidR="003304E8" w:rsidRPr="008269E4">
        <w:rPr>
          <w:rFonts w:ascii="Times New Roman" w:hAnsi="Times New Roman" w:cs="Times New Roman"/>
          <w:bCs/>
          <w:sz w:val="24"/>
          <w:szCs w:val="24"/>
        </w:rPr>
        <w:t>,</w:t>
      </w:r>
      <w:r w:rsidRPr="008269E4">
        <w:rPr>
          <w:rFonts w:ascii="Times New Roman" w:hAnsi="Times New Roman" w:cs="Times New Roman"/>
          <w:bCs/>
          <w:sz w:val="24"/>
          <w:szCs w:val="24"/>
        </w:rPr>
        <w:t xml:space="preserve"> even </w:t>
      </w:r>
      <w:r w:rsidR="003304E8" w:rsidRPr="008269E4">
        <w:rPr>
          <w:rFonts w:ascii="Times New Roman" w:hAnsi="Times New Roman" w:cs="Times New Roman"/>
          <w:bCs/>
          <w:sz w:val="24"/>
          <w:szCs w:val="24"/>
        </w:rPr>
        <w:t xml:space="preserve">after accounting for </w:t>
      </w:r>
      <w:r w:rsidRPr="008269E4">
        <w:rPr>
          <w:rFonts w:ascii="Times New Roman" w:hAnsi="Times New Roman" w:cs="Times New Roman"/>
          <w:bCs/>
          <w:sz w:val="24"/>
          <w:szCs w:val="24"/>
        </w:rPr>
        <w:t xml:space="preserve">the impact of SWB on health, </w:t>
      </w:r>
      <w:r w:rsidR="003304E8" w:rsidRPr="008269E4">
        <w:rPr>
          <w:rFonts w:ascii="Times New Roman" w:hAnsi="Times New Roman" w:cs="Times New Roman"/>
          <w:bCs/>
          <w:sz w:val="24"/>
          <w:szCs w:val="24"/>
        </w:rPr>
        <w:t xml:space="preserve">the effect of </w:t>
      </w:r>
      <w:r w:rsidRPr="008269E4">
        <w:rPr>
          <w:rFonts w:ascii="Times New Roman" w:hAnsi="Times New Roman" w:cs="Times New Roman"/>
          <w:bCs/>
          <w:sz w:val="24"/>
          <w:szCs w:val="24"/>
        </w:rPr>
        <w:t xml:space="preserve">health </w:t>
      </w:r>
      <w:r w:rsidR="003304E8" w:rsidRPr="008269E4">
        <w:rPr>
          <w:rFonts w:ascii="Times New Roman" w:hAnsi="Times New Roman" w:cs="Times New Roman"/>
          <w:bCs/>
          <w:sz w:val="24"/>
          <w:szCs w:val="24"/>
        </w:rPr>
        <w:t>on SWB i</w:t>
      </w:r>
      <w:r w:rsidRPr="008269E4">
        <w:rPr>
          <w:rFonts w:ascii="Times New Roman" w:hAnsi="Times New Roman" w:cs="Times New Roman"/>
          <w:bCs/>
          <w:sz w:val="24"/>
          <w:szCs w:val="24"/>
        </w:rPr>
        <w:t xml:space="preserve">s still </w:t>
      </w:r>
      <w:r w:rsidR="003304E8" w:rsidRPr="008269E4">
        <w:rPr>
          <w:rFonts w:ascii="Times New Roman" w:hAnsi="Times New Roman" w:cs="Times New Roman"/>
          <w:bCs/>
          <w:sz w:val="24"/>
          <w:szCs w:val="24"/>
        </w:rPr>
        <w:t>significant</w:t>
      </w:r>
      <w:r w:rsidR="00B11F83" w:rsidRPr="008269E4">
        <w:rPr>
          <w:rFonts w:ascii="Times New Roman" w:hAnsi="Times New Roman" w:cs="Times New Roman"/>
          <w:bCs/>
          <w:sz w:val="24"/>
          <w:szCs w:val="24"/>
        </w:rPr>
        <w:t xml:space="preserve"> (Kohler et al. 2017)</w:t>
      </w:r>
      <w:r w:rsidRPr="008269E4">
        <w:rPr>
          <w:rFonts w:ascii="Times New Roman" w:hAnsi="Times New Roman" w:cs="Times New Roman"/>
          <w:bCs/>
          <w:sz w:val="24"/>
          <w:szCs w:val="24"/>
        </w:rPr>
        <w:t xml:space="preserve">. Furthermore, specific conditions, such as heart attacks and strokes reduce well-being, and the causality here is </w:t>
      </w:r>
      <w:r w:rsidR="00B2661F" w:rsidRPr="008269E4">
        <w:rPr>
          <w:rFonts w:ascii="Times New Roman" w:hAnsi="Times New Roman" w:cs="Times New Roman"/>
          <w:bCs/>
          <w:sz w:val="24"/>
          <w:szCs w:val="24"/>
        </w:rPr>
        <w:t>more</w:t>
      </w:r>
      <w:r w:rsidRPr="008269E4">
        <w:rPr>
          <w:rFonts w:ascii="Times New Roman" w:hAnsi="Times New Roman" w:cs="Times New Roman"/>
          <w:bCs/>
          <w:sz w:val="24"/>
          <w:szCs w:val="24"/>
        </w:rPr>
        <w:t xml:space="preserve"> likely to be from the health condition to SWB. Hence</w:t>
      </w:r>
      <w:r w:rsidR="00B2661F" w:rsidRPr="008269E4">
        <w:rPr>
          <w:rFonts w:ascii="Times New Roman" w:hAnsi="Times New Roman" w:cs="Times New Roman"/>
          <w:bCs/>
          <w:sz w:val="24"/>
          <w:szCs w:val="24"/>
        </w:rPr>
        <w:t>,</w:t>
      </w:r>
      <w:r w:rsidR="00323881">
        <w:rPr>
          <w:rFonts w:ascii="Times New Roman" w:hAnsi="Times New Roman" w:cs="Times New Roman"/>
          <w:bCs/>
          <w:sz w:val="24"/>
          <w:szCs w:val="24"/>
        </w:rPr>
        <w:t xml:space="preserve"> </w:t>
      </w:r>
      <w:r w:rsidR="00BC1C4A" w:rsidRPr="008269E4">
        <w:rPr>
          <w:rFonts w:ascii="Times New Roman" w:hAnsi="Times New Roman" w:cs="Times New Roman"/>
          <w:bCs/>
          <w:sz w:val="24"/>
          <w:szCs w:val="24"/>
        </w:rPr>
        <w:t xml:space="preserve">deliberate </w:t>
      </w:r>
      <w:r w:rsidRPr="008269E4">
        <w:rPr>
          <w:rFonts w:ascii="Times New Roman" w:hAnsi="Times New Roman" w:cs="Times New Roman"/>
          <w:bCs/>
          <w:sz w:val="24"/>
          <w:szCs w:val="24"/>
        </w:rPr>
        <w:t xml:space="preserve">exclusion of health variables, as </w:t>
      </w:r>
      <w:r w:rsidR="00A75DFD" w:rsidRPr="008269E4">
        <w:rPr>
          <w:rFonts w:ascii="Times New Roman" w:hAnsi="Times New Roman" w:cs="Times New Roman"/>
          <w:bCs/>
          <w:sz w:val="24"/>
          <w:szCs w:val="24"/>
        </w:rPr>
        <w:t xml:space="preserve">suggested </w:t>
      </w:r>
      <w:r w:rsidRPr="008269E4">
        <w:rPr>
          <w:rFonts w:ascii="Times New Roman" w:hAnsi="Times New Roman" w:cs="Times New Roman"/>
          <w:bCs/>
          <w:sz w:val="24"/>
          <w:szCs w:val="24"/>
        </w:rPr>
        <w:t xml:space="preserve">by </w:t>
      </w:r>
      <w:proofErr w:type="spellStart"/>
      <w:r w:rsidRPr="008269E4">
        <w:rPr>
          <w:rFonts w:ascii="Times New Roman" w:hAnsi="Times New Roman" w:cs="Times New Roman"/>
          <w:bCs/>
          <w:sz w:val="24"/>
          <w:szCs w:val="24"/>
        </w:rPr>
        <w:t>Blanchflower</w:t>
      </w:r>
      <w:proofErr w:type="spellEnd"/>
      <w:r w:rsidRPr="008269E4">
        <w:rPr>
          <w:rFonts w:ascii="Times New Roman" w:hAnsi="Times New Roman" w:cs="Times New Roman"/>
          <w:bCs/>
          <w:sz w:val="24"/>
          <w:szCs w:val="24"/>
        </w:rPr>
        <w:t xml:space="preserve"> and Oswald (200</w:t>
      </w:r>
      <w:r w:rsidR="00B307DD" w:rsidRPr="008269E4">
        <w:rPr>
          <w:rFonts w:ascii="Times New Roman" w:hAnsi="Times New Roman" w:cs="Times New Roman"/>
          <w:bCs/>
          <w:sz w:val="24"/>
          <w:szCs w:val="24"/>
        </w:rPr>
        <w:t>7</w:t>
      </w:r>
      <w:r w:rsidRPr="008269E4">
        <w:rPr>
          <w:rFonts w:ascii="Times New Roman" w:hAnsi="Times New Roman" w:cs="Times New Roman"/>
          <w:bCs/>
          <w:sz w:val="24"/>
          <w:szCs w:val="24"/>
        </w:rPr>
        <w:t>), is problematic. Specifically, the omitted variable bias is likely to be large</w:t>
      </w:r>
      <w:r w:rsidR="00ED142C" w:rsidRPr="008269E4">
        <w:rPr>
          <w:rFonts w:ascii="Times New Roman" w:hAnsi="Times New Roman" w:cs="Times New Roman"/>
          <w:bCs/>
          <w:sz w:val="24"/>
          <w:szCs w:val="24"/>
        </w:rPr>
        <w:t xml:space="preserve"> and thus our study controls for </w:t>
      </w:r>
      <w:r w:rsidR="00BE5D00">
        <w:rPr>
          <w:rFonts w:ascii="Times New Roman" w:hAnsi="Times New Roman" w:cs="Times New Roman"/>
          <w:bCs/>
          <w:sz w:val="24"/>
          <w:szCs w:val="24"/>
        </w:rPr>
        <w:t xml:space="preserve">both </w:t>
      </w:r>
      <w:r w:rsidR="00ED142C" w:rsidRPr="008269E4">
        <w:rPr>
          <w:rFonts w:ascii="Times New Roman" w:hAnsi="Times New Roman" w:cs="Times New Roman"/>
          <w:bCs/>
          <w:sz w:val="24"/>
          <w:szCs w:val="24"/>
        </w:rPr>
        <w:t>non-communicable diseases (NCDs)</w:t>
      </w:r>
      <w:r w:rsidR="00BE5D00">
        <w:rPr>
          <w:rFonts w:ascii="Times New Roman" w:hAnsi="Times New Roman" w:cs="Times New Roman"/>
          <w:bCs/>
          <w:sz w:val="24"/>
          <w:szCs w:val="24"/>
        </w:rPr>
        <w:t xml:space="preserve"> and disabilities</w:t>
      </w:r>
      <w:r w:rsidR="00ED142C" w:rsidRPr="008269E4">
        <w:rPr>
          <w:rFonts w:ascii="Times New Roman" w:hAnsi="Times New Roman" w:cs="Times New Roman"/>
          <w:bCs/>
          <w:sz w:val="24"/>
          <w:szCs w:val="24"/>
        </w:rPr>
        <w:t xml:space="preserve"> of household members.  </w:t>
      </w:r>
    </w:p>
    <w:p w14:paraId="4198C79E" w14:textId="77777777" w:rsidR="00C83B06" w:rsidRPr="008269E4" w:rsidRDefault="00C83B06" w:rsidP="00F14EC7">
      <w:pPr>
        <w:jc w:val="both"/>
        <w:rPr>
          <w:rFonts w:ascii="Times New Roman" w:hAnsi="Times New Roman" w:cs="Times New Roman"/>
          <w:bCs/>
          <w:sz w:val="24"/>
          <w:szCs w:val="24"/>
        </w:rPr>
      </w:pPr>
      <w:r w:rsidRPr="008269E4">
        <w:rPr>
          <w:rFonts w:ascii="Times New Roman" w:hAnsi="Times New Roman" w:cs="Times New Roman"/>
          <w:bCs/>
          <w:sz w:val="24"/>
          <w:szCs w:val="24"/>
        </w:rPr>
        <w:t xml:space="preserve">The evidence is fairly consistent and suggests that regular engagement in religious activities is positively related to SWB. While some studies only examine whether or not the person actually attends church, others examine different amounts of time spent in these activities. Using </w:t>
      </w:r>
      <w:r w:rsidR="003C0359" w:rsidRPr="008269E4">
        <w:rPr>
          <w:rFonts w:ascii="Times New Roman" w:hAnsi="Times New Roman" w:cs="Times New Roman"/>
          <w:bCs/>
          <w:sz w:val="24"/>
          <w:szCs w:val="24"/>
        </w:rPr>
        <w:t>World Values Survey (</w:t>
      </w:r>
      <w:r w:rsidRPr="008269E4">
        <w:rPr>
          <w:rFonts w:ascii="Times New Roman" w:hAnsi="Times New Roman" w:cs="Times New Roman"/>
          <w:bCs/>
          <w:sz w:val="24"/>
          <w:szCs w:val="24"/>
        </w:rPr>
        <w:t>WVS</w:t>
      </w:r>
      <w:r w:rsidR="003C0359" w:rsidRPr="008269E4">
        <w:rPr>
          <w:rFonts w:ascii="Times New Roman" w:hAnsi="Times New Roman" w:cs="Times New Roman"/>
          <w:bCs/>
          <w:sz w:val="24"/>
          <w:szCs w:val="24"/>
        </w:rPr>
        <w:t>)</w:t>
      </w:r>
      <w:r w:rsidRPr="008269E4">
        <w:rPr>
          <w:rFonts w:ascii="Times New Roman" w:hAnsi="Times New Roman" w:cs="Times New Roman"/>
          <w:bCs/>
          <w:sz w:val="24"/>
          <w:szCs w:val="24"/>
        </w:rPr>
        <w:t xml:space="preserve"> data, </w:t>
      </w:r>
      <w:proofErr w:type="spellStart"/>
      <w:r w:rsidRPr="008269E4">
        <w:rPr>
          <w:rFonts w:ascii="Times New Roman" w:hAnsi="Times New Roman" w:cs="Times New Roman"/>
          <w:bCs/>
          <w:sz w:val="24"/>
          <w:szCs w:val="24"/>
        </w:rPr>
        <w:t>Helliwell</w:t>
      </w:r>
      <w:proofErr w:type="spellEnd"/>
      <w:r w:rsidRPr="008269E4">
        <w:rPr>
          <w:rFonts w:ascii="Times New Roman" w:hAnsi="Times New Roman" w:cs="Times New Roman"/>
          <w:bCs/>
          <w:sz w:val="24"/>
          <w:szCs w:val="24"/>
        </w:rPr>
        <w:t xml:space="preserve"> (2003) finds higher life satisfaction to be associated with church attendance of once or more a week.</w:t>
      </w:r>
      <w:r w:rsidR="00F14EC7" w:rsidRPr="008269E4">
        <w:rPr>
          <w:rFonts w:ascii="Times New Roman" w:hAnsi="Times New Roman" w:cs="Times New Roman"/>
          <w:bCs/>
          <w:sz w:val="24"/>
          <w:szCs w:val="24"/>
        </w:rPr>
        <w:t xml:space="preserve"> On the related issue of religiosity (e</w:t>
      </w:r>
      <w:r w:rsidR="00893F7F" w:rsidRPr="008269E4">
        <w:rPr>
          <w:rFonts w:ascii="Times New Roman" w:hAnsi="Times New Roman" w:cs="Times New Roman"/>
          <w:bCs/>
          <w:sz w:val="24"/>
          <w:szCs w:val="24"/>
        </w:rPr>
        <w:t>.</w:t>
      </w:r>
      <w:r w:rsidR="00F14EC7" w:rsidRPr="008269E4">
        <w:rPr>
          <w:rFonts w:ascii="Times New Roman" w:hAnsi="Times New Roman" w:cs="Times New Roman"/>
          <w:bCs/>
          <w:sz w:val="24"/>
          <w:szCs w:val="24"/>
        </w:rPr>
        <w:t>g</w:t>
      </w:r>
      <w:r w:rsidR="00893F7F" w:rsidRPr="008269E4">
        <w:rPr>
          <w:rFonts w:ascii="Times New Roman" w:hAnsi="Times New Roman" w:cs="Times New Roman"/>
          <w:bCs/>
          <w:sz w:val="24"/>
          <w:szCs w:val="24"/>
        </w:rPr>
        <w:t>.</w:t>
      </w:r>
      <w:r w:rsidR="00F14EC7" w:rsidRPr="008269E4">
        <w:rPr>
          <w:rFonts w:ascii="Times New Roman" w:hAnsi="Times New Roman" w:cs="Times New Roman"/>
          <w:bCs/>
          <w:sz w:val="24"/>
          <w:szCs w:val="24"/>
        </w:rPr>
        <w:t>, regular attendance of church), Deaton (2011) offers valuable insights. At least on average, over all countries, and over countries disaggregated into income groups, religious people do better on a number of health</w:t>
      </w:r>
      <w:r w:rsidR="00323881">
        <w:rPr>
          <w:rFonts w:ascii="Times New Roman" w:hAnsi="Times New Roman" w:cs="Times New Roman"/>
          <w:bCs/>
          <w:sz w:val="24"/>
          <w:szCs w:val="24"/>
        </w:rPr>
        <w:t xml:space="preserve"> </w:t>
      </w:r>
      <w:r w:rsidR="00F14EC7" w:rsidRPr="008269E4">
        <w:rPr>
          <w:rFonts w:ascii="Times New Roman" w:hAnsi="Times New Roman" w:cs="Times New Roman"/>
          <w:bCs/>
          <w:sz w:val="24"/>
          <w:szCs w:val="24"/>
        </w:rPr>
        <w:t>and health-related indicators. These protective effects appear to be stronger</w:t>
      </w:r>
      <w:r w:rsidR="00323881">
        <w:rPr>
          <w:rFonts w:ascii="Times New Roman" w:hAnsi="Times New Roman" w:cs="Times New Roman"/>
          <w:bCs/>
          <w:sz w:val="24"/>
          <w:szCs w:val="24"/>
        </w:rPr>
        <w:t xml:space="preserve"> </w:t>
      </w:r>
      <w:r w:rsidR="00F14EC7" w:rsidRPr="008269E4">
        <w:rPr>
          <w:rFonts w:ascii="Times New Roman" w:hAnsi="Times New Roman" w:cs="Times New Roman"/>
          <w:bCs/>
          <w:sz w:val="24"/>
          <w:szCs w:val="24"/>
        </w:rPr>
        <w:t xml:space="preserve">the poorer is the country, </w:t>
      </w:r>
      <w:r w:rsidR="00F348CB" w:rsidRPr="008269E4">
        <w:rPr>
          <w:rFonts w:ascii="Times New Roman" w:hAnsi="Times New Roman" w:cs="Times New Roman"/>
          <w:bCs/>
          <w:sz w:val="24"/>
          <w:szCs w:val="24"/>
        </w:rPr>
        <w:t>as</w:t>
      </w:r>
      <w:r w:rsidR="00323881">
        <w:rPr>
          <w:rFonts w:ascii="Times New Roman" w:hAnsi="Times New Roman" w:cs="Times New Roman"/>
          <w:bCs/>
          <w:sz w:val="24"/>
          <w:szCs w:val="24"/>
        </w:rPr>
        <w:t xml:space="preserve"> </w:t>
      </w:r>
      <w:r w:rsidR="00F14EC7" w:rsidRPr="008269E4">
        <w:rPr>
          <w:rFonts w:ascii="Times New Roman" w:hAnsi="Times New Roman" w:cs="Times New Roman"/>
          <w:bCs/>
          <w:sz w:val="24"/>
          <w:szCs w:val="24"/>
        </w:rPr>
        <w:t>religion is a</w:t>
      </w:r>
      <w:r w:rsidR="00323881">
        <w:rPr>
          <w:rFonts w:ascii="Times New Roman" w:hAnsi="Times New Roman" w:cs="Times New Roman"/>
          <w:bCs/>
          <w:sz w:val="24"/>
          <w:szCs w:val="24"/>
        </w:rPr>
        <w:t xml:space="preserve"> </w:t>
      </w:r>
      <w:r w:rsidR="00F14EC7" w:rsidRPr="008269E4">
        <w:rPr>
          <w:rFonts w:ascii="Times New Roman" w:hAnsi="Times New Roman" w:cs="Times New Roman"/>
          <w:bCs/>
          <w:sz w:val="24"/>
          <w:szCs w:val="24"/>
        </w:rPr>
        <w:t>route to a better life in poor countries, but not in rich ones</w:t>
      </w:r>
      <w:r w:rsidR="00D24F16" w:rsidRPr="008269E4">
        <w:rPr>
          <w:rFonts w:ascii="Times New Roman" w:hAnsi="Times New Roman" w:cs="Times New Roman"/>
          <w:bCs/>
          <w:sz w:val="24"/>
          <w:szCs w:val="24"/>
        </w:rPr>
        <w:t>,</w:t>
      </w:r>
      <w:r w:rsidR="00323881">
        <w:rPr>
          <w:rFonts w:ascii="Times New Roman" w:hAnsi="Times New Roman" w:cs="Times New Roman"/>
          <w:bCs/>
          <w:sz w:val="24"/>
          <w:szCs w:val="24"/>
        </w:rPr>
        <w:t xml:space="preserve"> </w:t>
      </w:r>
      <w:r w:rsidR="00F14EC7" w:rsidRPr="008269E4">
        <w:rPr>
          <w:rFonts w:ascii="Times New Roman" w:hAnsi="Times New Roman" w:cs="Times New Roman"/>
          <w:bCs/>
          <w:sz w:val="24"/>
          <w:szCs w:val="24"/>
        </w:rPr>
        <w:t xml:space="preserve">and </w:t>
      </w:r>
      <w:r w:rsidR="00F348CB" w:rsidRPr="008269E4">
        <w:rPr>
          <w:rFonts w:ascii="Times New Roman" w:hAnsi="Times New Roman" w:cs="Times New Roman"/>
          <w:bCs/>
          <w:sz w:val="24"/>
          <w:szCs w:val="24"/>
        </w:rPr>
        <w:t>stronger for</w:t>
      </w:r>
      <w:r w:rsidR="00323881">
        <w:rPr>
          <w:rFonts w:ascii="Times New Roman" w:hAnsi="Times New Roman" w:cs="Times New Roman"/>
          <w:bCs/>
          <w:sz w:val="24"/>
          <w:szCs w:val="24"/>
        </w:rPr>
        <w:t xml:space="preserve"> </w:t>
      </w:r>
      <w:r w:rsidR="00F14EC7" w:rsidRPr="008269E4">
        <w:rPr>
          <w:rFonts w:ascii="Times New Roman" w:hAnsi="Times New Roman" w:cs="Times New Roman"/>
          <w:bCs/>
          <w:sz w:val="24"/>
          <w:szCs w:val="24"/>
        </w:rPr>
        <w:t xml:space="preserve">men than women. </w:t>
      </w:r>
    </w:p>
    <w:p w14:paraId="1D2ED2EA" w14:textId="77777777" w:rsidR="00C83B06" w:rsidRPr="008269E4" w:rsidRDefault="00C83B06"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t>Generally, being alone appears to be worse for SWB than being part of a partnership. Although there is some variation across studies, i</w:t>
      </w:r>
      <w:r w:rsidR="003B2C81" w:rsidRPr="008269E4">
        <w:rPr>
          <w:rFonts w:ascii="Times New Roman" w:hAnsi="Times New Roman" w:cs="Times New Roman"/>
          <w:bCs/>
          <w:sz w:val="24"/>
          <w:szCs w:val="24"/>
        </w:rPr>
        <w:t>t</w:t>
      </w:r>
      <w:r w:rsidRPr="008269E4">
        <w:rPr>
          <w:rFonts w:ascii="Times New Roman" w:hAnsi="Times New Roman" w:cs="Times New Roman"/>
          <w:bCs/>
          <w:sz w:val="24"/>
          <w:szCs w:val="24"/>
        </w:rPr>
        <w:t xml:space="preserve"> seems that being married is associated with the highest level of SWB and being separated is associated with the lowest level of SWB, lower even than being divorced or widowed (e</w:t>
      </w:r>
      <w:r w:rsidR="00893F7F" w:rsidRPr="008269E4">
        <w:rPr>
          <w:rFonts w:ascii="Times New Roman" w:hAnsi="Times New Roman" w:cs="Times New Roman"/>
          <w:bCs/>
          <w:sz w:val="24"/>
          <w:szCs w:val="24"/>
        </w:rPr>
        <w:t>.</w:t>
      </w:r>
      <w:r w:rsidRPr="008269E4">
        <w:rPr>
          <w:rFonts w:ascii="Times New Roman" w:hAnsi="Times New Roman" w:cs="Times New Roman"/>
          <w:bCs/>
          <w:sz w:val="24"/>
          <w:szCs w:val="24"/>
        </w:rPr>
        <w:t>g</w:t>
      </w:r>
      <w:r w:rsidR="00893F7F" w:rsidRPr="008269E4">
        <w:rPr>
          <w:rFonts w:ascii="Times New Roman" w:hAnsi="Times New Roman" w:cs="Times New Roman"/>
          <w:bCs/>
          <w:sz w:val="24"/>
          <w:szCs w:val="24"/>
        </w:rPr>
        <w:t>.</w:t>
      </w:r>
      <w:r w:rsidR="00CF20DC" w:rsidRPr="008269E4">
        <w:rPr>
          <w:rFonts w:ascii="Times New Roman" w:hAnsi="Times New Roman" w:cs="Times New Roman"/>
          <w:bCs/>
          <w:sz w:val="24"/>
          <w:szCs w:val="24"/>
        </w:rPr>
        <w:t>,</w:t>
      </w:r>
      <w:r w:rsidR="00323881">
        <w:rPr>
          <w:rFonts w:ascii="Times New Roman" w:hAnsi="Times New Roman" w:cs="Times New Roman"/>
          <w:bCs/>
          <w:sz w:val="24"/>
          <w:szCs w:val="24"/>
        </w:rPr>
        <w:t xml:space="preserve"> </w:t>
      </w:r>
      <w:proofErr w:type="spellStart"/>
      <w:r w:rsidRPr="008269E4">
        <w:rPr>
          <w:rFonts w:ascii="Times New Roman" w:hAnsi="Times New Roman" w:cs="Times New Roman"/>
          <w:bCs/>
          <w:sz w:val="24"/>
          <w:szCs w:val="24"/>
        </w:rPr>
        <w:t>Helliwell</w:t>
      </w:r>
      <w:proofErr w:type="spellEnd"/>
      <w:r w:rsidRPr="008269E4">
        <w:rPr>
          <w:rFonts w:ascii="Times New Roman" w:hAnsi="Times New Roman" w:cs="Times New Roman"/>
          <w:bCs/>
          <w:sz w:val="24"/>
          <w:szCs w:val="24"/>
        </w:rPr>
        <w:t>, 2003).</w:t>
      </w:r>
    </w:p>
    <w:p w14:paraId="285E1EAB" w14:textId="77777777" w:rsidR="00C83B06" w:rsidRPr="008269E4" w:rsidRDefault="00C83B06" w:rsidP="00C83B06">
      <w:pPr>
        <w:jc w:val="both"/>
        <w:rPr>
          <w:rFonts w:ascii="Times New Roman" w:hAnsi="Times New Roman" w:cs="Times New Roman"/>
          <w:bCs/>
          <w:sz w:val="24"/>
          <w:szCs w:val="24"/>
        </w:rPr>
      </w:pPr>
      <w:r w:rsidRPr="008269E4">
        <w:rPr>
          <w:rFonts w:ascii="Times New Roman" w:hAnsi="Times New Roman" w:cs="Times New Roman"/>
          <w:bCs/>
          <w:sz w:val="24"/>
          <w:szCs w:val="24"/>
        </w:rPr>
        <w:t xml:space="preserve">The evidence on the impact of income inequality on well-being is mixed. Based on the </w:t>
      </w:r>
      <w:r w:rsidR="00CF20DC" w:rsidRPr="008269E4">
        <w:rPr>
          <w:rFonts w:ascii="Times New Roman" w:hAnsi="Times New Roman" w:cs="Times New Roman"/>
          <w:bCs/>
          <w:sz w:val="24"/>
          <w:szCs w:val="24"/>
        </w:rPr>
        <w:t>WVS</w:t>
      </w:r>
      <w:r w:rsidR="003C0359" w:rsidRPr="008269E4">
        <w:rPr>
          <w:rFonts w:ascii="Times New Roman" w:hAnsi="Times New Roman" w:cs="Times New Roman"/>
          <w:bCs/>
          <w:sz w:val="24"/>
          <w:szCs w:val="24"/>
        </w:rPr>
        <w:t xml:space="preserve"> data</w:t>
      </w:r>
      <w:r w:rsidRPr="008269E4">
        <w:rPr>
          <w:rFonts w:ascii="Times New Roman" w:hAnsi="Times New Roman" w:cs="Times New Roman"/>
          <w:bCs/>
          <w:sz w:val="24"/>
          <w:szCs w:val="24"/>
        </w:rPr>
        <w:t xml:space="preserve">, Fahey and Smyth (2004) find that inequality reduces life satisfaction, whereas Haller and </w:t>
      </w:r>
      <w:proofErr w:type="spellStart"/>
      <w:r w:rsidRPr="008269E4">
        <w:rPr>
          <w:rFonts w:ascii="Times New Roman" w:hAnsi="Times New Roman" w:cs="Times New Roman"/>
          <w:bCs/>
          <w:sz w:val="24"/>
          <w:szCs w:val="24"/>
        </w:rPr>
        <w:t>Hadler</w:t>
      </w:r>
      <w:proofErr w:type="spellEnd"/>
      <w:r w:rsidRPr="008269E4">
        <w:rPr>
          <w:rFonts w:ascii="Times New Roman" w:hAnsi="Times New Roman" w:cs="Times New Roman"/>
          <w:bCs/>
          <w:sz w:val="24"/>
          <w:szCs w:val="24"/>
        </w:rPr>
        <w:t xml:space="preserve"> (2006) find that inequality increases life satisfaction. One </w:t>
      </w:r>
      <w:r w:rsidR="008D290B" w:rsidRPr="008269E4">
        <w:rPr>
          <w:rFonts w:ascii="Times New Roman" w:hAnsi="Times New Roman" w:cs="Times New Roman"/>
          <w:bCs/>
          <w:sz w:val="24"/>
          <w:szCs w:val="24"/>
        </w:rPr>
        <w:t>conjecture</w:t>
      </w:r>
      <w:r w:rsidRPr="008269E4">
        <w:rPr>
          <w:rFonts w:ascii="Times New Roman" w:hAnsi="Times New Roman" w:cs="Times New Roman"/>
          <w:bCs/>
          <w:sz w:val="24"/>
          <w:szCs w:val="24"/>
        </w:rPr>
        <w:t xml:space="preserve"> for these contrasting findings using international data may be that the inclusion of particular countries influences the results.</w:t>
      </w:r>
      <w:r w:rsidR="00323881">
        <w:rPr>
          <w:rFonts w:ascii="Times New Roman" w:hAnsi="Times New Roman" w:cs="Times New Roman"/>
          <w:bCs/>
          <w:sz w:val="24"/>
          <w:szCs w:val="24"/>
        </w:rPr>
        <w:t xml:space="preserve"> </w:t>
      </w:r>
      <w:r w:rsidRPr="008269E4">
        <w:rPr>
          <w:rFonts w:ascii="Times New Roman" w:hAnsi="Times New Roman" w:cs="Times New Roman"/>
          <w:bCs/>
          <w:sz w:val="24"/>
          <w:szCs w:val="24"/>
        </w:rPr>
        <w:t>The evidence suggests that living in an unsafe or deprived area is detrimental to life satisfaction, controlling for own income</w:t>
      </w:r>
      <w:r w:rsidR="00323881">
        <w:rPr>
          <w:rFonts w:ascii="Times New Roman" w:hAnsi="Times New Roman" w:cs="Times New Roman"/>
          <w:bCs/>
          <w:sz w:val="24"/>
          <w:szCs w:val="24"/>
        </w:rPr>
        <w:t xml:space="preserve"> </w:t>
      </w:r>
      <w:r w:rsidR="007B7A52" w:rsidRPr="008269E4">
        <w:rPr>
          <w:rFonts w:ascii="Times New Roman" w:hAnsi="Times New Roman" w:cs="Times New Roman"/>
          <w:bCs/>
          <w:sz w:val="24"/>
          <w:szCs w:val="24"/>
        </w:rPr>
        <w:t>(</w:t>
      </w:r>
      <w:proofErr w:type="spellStart"/>
      <w:r w:rsidR="007B7A52" w:rsidRPr="008269E4">
        <w:rPr>
          <w:rFonts w:ascii="Times New Roman" w:hAnsi="Times New Roman" w:cs="Times New Roman"/>
          <w:bCs/>
          <w:sz w:val="24"/>
          <w:szCs w:val="24"/>
        </w:rPr>
        <w:t>Ferrer-i-Carbonell&amp;Gowdy</w:t>
      </w:r>
      <w:proofErr w:type="spellEnd"/>
      <w:r w:rsidR="007B7A52" w:rsidRPr="008269E4">
        <w:rPr>
          <w:rFonts w:ascii="Times New Roman" w:hAnsi="Times New Roman" w:cs="Times New Roman"/>
          <w:bCs/>
          <w:sz w:val="24"/>
          <w:szCs w:val="24"/>
        </w:rPr>
        <w:t>, 2007)</w:t>
      </w:r>
      <w:r w:rsidRPr="008269E4">
        <w:rPr>
          <w:rFonts w:ascii="Times New Roman" w:hAnsi="Times New Roman" w:cs="Times New Roman"/>
          <w:bCs/>
          <w:sz w:val="24"/>
          <w:szCs w:val="24"/>
        </w:rPr>
        <w:t>.Living in large cities is detrimental to life-satisfaction while living in rural areas is beneficial, after controlling for income</w:t>
      </w:r>
      <w:r w:rsidR="007B7A52" w:rsidRPr="008269E4">
        <w:rPr>
          <w:rFonts w:ascii="Times New Roman" w:hAnsi="Times New Roman" w:cs="Times New Roman"/>
          <w:bCs/>
          <w:sz w:val="24"/>
          <w:szCs w:val="24"/>
        </w:rPr>
        <w:t xml:space="preserve"> (</w:t>
      </w:r>
      <w:r w:rsidR="00893F7F" w:rsidRPr="008269E4">
        <w:rPr>
          <w:rFonts w:ascii="Times New Roman" w:hAnsi="Times New Roman" w:cs="Times New Roman"/>
          <w:bCs/>
          <w:sz w:val="24"/>
          <w:szCs w:val="24"/>
        </w:rPr>
        <w:t>e.g.,</w:t>
      </w:r>
      <w:r w:rsidR="007B7A52" w:rsidRPr="008269E4">
        <w:rPr>
          <w:rFonts w:ascii="Times New Roman" w:hAnsi="Times New Roman" w:cs="Times New Roman"/>
          <w:bCs/>
          <w:sz w:val="24"/>
          <w:szCs w:val="24"/>
        </w:rPr>
        <w:t xml:space="preserve"> Graham and Felton, 2006)</w:t>
      </w:r>
      <w:r w:rsidRPr="008269E4">
        <w:rPr>
          <w:rFonts w:ascii="Times New Roman" w:hAnsi="Times New Roman" w:cs="Times New Roman"/>
          <w:bCs/>
          <w:sz w:val="24"/>
          <w:szCs w:val="24"/>
        </w:rPr>
        <w:t>.</w:t>
      </w:r>
    </w:p>
    <w:p w14:paraId="3DCB60C9" w14:textId="77777777" w:rsidR="00CF20DC" w:rsidRDefault="00286D77" w:rsidP="00CF20DC">
      <w:pPr>
        <w:jc w:val="both"/>
        <w:rPr>
          <w:rFonts w:ascii="Times New Roman" w:hAnsi="Times New Roman" w:cs="Times New Roman"/>
          <w:bCs/>
          <w:sz w:val="24"/>
          <w:szCs w:val="24"/>
        </w:rPr>
      </w:pPr>
      <w:r w:rsidRPr="008269E4">
        <w:rPr>
          <w:rFonts w:ascii="Times New Roman" w:hAnsi="Times New Roman" w:cs="Times New Roman"/>
          <w:bCs/>
          <w:sz w:val="24"/>
          <w:szCs w:val="24"/>
        </w:rPr>
        <w:t>I</w:t>
      </w:r>
      <w:r w:rsidR="00CF20DC" w:rsidRPr="008269E4">
        <w:rPr>
          <w:rFonts w:ascii="Times New Roman" w:hAnsi="Times New Roman" w:cs="Times New Roman"/>
          <w:bCs/>
          <w:sz w:val="24"/>
          <w:szCs w:val="24"/>
        </w:rPr>
        <w:t xml:space="preserve">n India’s context, an important question is: Do </w:t>
      </w:r>
      <w:r w:rsidR="00CF20DC" w:rsidRPr="008269E4">
        <w:rPr>
          <w:rFonts w:ascii="Times New Roman" w:hAnsi="Times New Roman" w:cs="Times New Roman"/>
          <w:bCs/>
          <w:i/>
          <w:sz w:val="24"/>
          <w:szCs w:val="24"/>
        </w:rPr>
        <w:t>Dalits</w:t>
      </w:r>
      <w:r w:rsidR="00CF20DC" w:rsidRPr="008269E4">
        <w:rPr>
          <w:rFonts w:ascii="Times New Roman" w:hAnsi="Times New Roman" w:cs="Times New Roman"/>
          <w:bCs/>
          <w:sz w:val="24"/>
          <w:szCs w:val="24"/>
        </w:rPr>
        <w:t xml:space="preserve"> and Other Backward Classes (OBC) in rural North India report lower life satisfaction than higher caste people, and if so, is it merely because they are poorer? Spears (2016) addresses this question, using the Sanitation Quality, Use, Access and Trends (SQUAT) survey </w:t>
      </w:r>
      <w:r w:rsidR="00C86512" w:rsidRPr="008269E4">
        <w:rPr>
          <w:rFonts w:ascii="Times New Roman" w:hAnsi="Times New Roman" w:cs="Times New Roman"/>
          <w:bCs/>
          <w:sz w:val="24"/>
          <w:szCs w:val="24"/>
        </w:rPr>
        <w:t xml:space="preserve">data </w:t>
      </w:r>
      <w:r w:rsidR="00CF20DC" w:rsidRPr="008269E4">
        <w:rPr>
          <w:rFonts w:ascii="Times New Roman" w:hAnsi="Times New Roman" w:cs="Times New Roman"/>
          <w:bCs/>
          <w:sz w:val="24"/>
          <w:szCs w:val="24"/>
        </w:rPr>
        <w:t>collected in rural Bihar, Haryana, Madhya Pradesh, Rajasthan and Uttar Pradesh in 2013–14 by a team of researchers, including the author. Two specific issues are: (</w:t>
      </w:r>
      <w:proofErr w:type="spellStart"/>
      <w:r w:rsidR="00CF20DC" w:rsidRPr="008269E4">
        <w:rPr>
          <w:rFonts w:ascii="Times New Roman" w:hAnsi="Times New Roman" w:cs="Times New Roman"/>
          <w:bCs/>
          <w:sz w:val="24"/>
          <w:szCs w:val="24"/>
        </w:rPr>
        <w:t>i</w:t>
      </w:r>
      <w:proofErr w:type="spellEnd"/>
      <w:r w:rsidR="00CF20DC" w:rsidRPr="008269E4">
        <w:rPr>
          <w:rFonts w:ascii="Times New Roman" w:hAnsi="Times New Roman" w:cs="Times New Roman"/>
          <w:bCs/>
          <w:sz w:val="24"/>
          <w:szCs w:val="24"/>
        </w:rPr>
        <w:t xml:space="preserve">) Do Dalits and Other Backward Classes (OBC) in rural </w:t>
      </w:r>
      <w:r w:rsidR="00B25832" w:rsidRPr="008269E4">
        <w:rPr>
          <w:rFonts w:ascii="Times New Roman" w:hAnsi="Times New Roman" w:cs="Times New Roman"/>
          <w:bCs/>
          <w:sz w:val="24"/>
          <w:szCs w:val="24"/>
        </w:rPr>
        <w:t>n</w:t>
      </w:r>
      <w:r w:rsidR="00CF20DC" w:rsidRPr="008269E4">
        <w:rPr>
          <w:rFonts w:ascii="Times New Roman" w:hAnsi="Times New Roman" w:cs="Times New Roman"/>
          <w:bCs/>
          <w:sz w:val="24"/>
          <w:szCs w:val="24"/>
        </w:rPr>
        <w:t xml:space="preserve">orth India report lower life satisfaction than higher caste people, and, if so, (ii) is it merely </w:t>
      </w:r>
      <w:r w:rsidR="00CF20DC" w:rsidRPr="008269E4">
        <w:rPr>
          <w:rFonts w:ascii="Times New Roman" w:hAnsi="Times New Roman" w:cs="Times New Roman"/>
          <w:bCs/>
          <w:sz w:val="24"/>
          <w:szCs w:val="24"/>
        </w:rPr>
        <w:lastRenderedPageBreak/>
        <w:t xml:space="preserve">because they are poorer? The findings are: lower caste people in rural North India evaluate their lives to be worse than higher caste people, and this difference is not explained by </w:t>
      </w:r>
      <w:r w:rsidR="00D153C7" w:rsidRPr="008269E4">
        <w:rPr>
          <w:rFonts w:ascii="Times New Roman" w:hAnsi="Times New Roman" w:cs="Times New Roman"/>
          <w:bCs/>
          <w:sz w:val="24"/>
          <w:szCs w:val="24"/>
        </w:rPr>
        <w:t xml:space="preserve">income </w:t>
      </w:r>
      <w:r w:rsidR="00CF20DC" w:rsidRPr="008269E4">
        <w:rPr>
          <w:rFonts w:ascii="Times New Roman" w:hAnsi="Times New Roman" w:cs="Times New Roman"/>
          <w:bCs/>
          <w:sz w:val="24"/>
          <w:szCs w:val="24"/>
        </w:rPr>
        <w:t>poverty.</w:t>
      </w:r>
      <w:r w:rsidR="00323881">
        <w:rPr>
          <w:rFonts w:ascii="Times New Roman" w:hAnsi="Times New Roman" w:cs="Times New Roman"/>
          <w:bCs/>
          <w:sz w:val="24"/>
          <w:szCs w:val="24"/>
        </w:rPr>
        <w:t xml:space="preserve"> </w:t>
      </w:r>
      <w:r w:rsidR="00817DF2" w:rsidRPr="008269E4">
        <w:rPr>
          <w:rFonts w:ascii="Times New Roman" w:hAnsi="Times New Roman" w:cs="Times New Roman"/>
          <w:bCs/>
          <w:sz w:val="24"/>
          <w:szCs w:val="24"/>
        </w:rPr>
        <w:t xml:space="preserve">Spears (2016) is only among a few studies on </w:t>
      </w:r>
      <w:r w:rsidR="00D153C7" w:rsidRPr="008269E4">
        <w:rPr>
          <w:rFonts w:ascii="Times New Roman" w:hAnsi="Times New Roman" w:cs="Times New Roman"/>
          <w:bCs/>
          <w:sz w:val="24"/>
          <w:szCs w:val="24"/>
        </w:rPr>
        <w:t>S</w:t>
      </w:r>
      <w:r w:rsidR="00817DF2" w:rsidRPr="008269E4">
        <w:rPr>
          <w:rFonts w:ascii="Times New Roman" w:hAnsi="Times New Roman" w:cs="Times New Roman"/>
          <w:bCs/>
          <w:sz w:val="24"/>
          <w:szCs w:val="24"/>
        </w:rPr>
        <w:t>W</w:t>
      </w:r>
      <w:r w:rsidR="00D153C7" w:rsidRPr="008269E4">
        <w:rPr>
          <w:rFonts w:ascii="Times New Roman" w:hAnsi="Times New Roman" w:cs="Times New Roman"/>
          <w:bCs/>
          <w:sz w:val="24"/>
          <w:szCs w:val="24"/>
        </w:rPr>
        <w:t xml:space="preserve">B </w:t>
      </w:r>
      <w:r w:rsidR="00817DF2" w:rsidRPr="008269E4">
        <w:rPr>
          <w:rFonts w:ascii="Times New Roman" w:hAnsi="Times New Roman" w:cs="Times New Roman"/>
          <w:bCs/>
          <w:sz w:val="24"/>
          <w:szCs w:val="24"/>
        </w:rPr>
        <w:t xml:space="preserve">in the context of India </w:t>
      </w:r>
      <w:r w:rsidR="00D153C7" w:rsidRPr="008269E4">
        <w:rPr>
          <w:rFonts w:ascii="Times New Roman" w:hAnsi="Times New Roman" w:cs="Times New Roman"/>
          <w:bCs/>
          <w:sz w:val="24"/>
          <w:szCs w:val="24"/>
        </w:rPr>
        <w:t>and</w:t>
      </w:r>
      <w:r w:rsidR="00817DF2" w:rsidRPr="008269E4">
        <w:rPr>
          <w:rFonts w:ascii="Times New Roman" w:hAnsi="Times New Roman" w:cs="Times New Roman"/>
          <w:bCs/>
          <w:sz w:val="24"/>
          <w:szCs w:val="24"/>
        </w:rPr>
        <w:t>,</w:t>
      </w:r>
      <w:r w:rsidR="00D153C7" w:rsidRPr="008269E4">
        <w:rPr>
          <w:rFonts w:ascii="Times New Roman" w:hAnsi="Times New Roman" w:cs="Times New Roman"/>
          <w:bCs/>
          <w:sz w:val="24"/>
          <w:szCs w:val="24"/>
        </w:rPr>
        <w:t xml:space="preserve"> to our knowledge</w:t>
      </w:r>
      <w:r w:rsidR="00817DF2" w:rsidRPr="008269E4">
        <w:rPr>
          <w:rFonts w:ascii="Times New Roman" w:hAnsi="Times New Roman" w:cs="Times New Roman"/>
          <w:bCs/>
          <w:sz w:val="24"/>
          <w:szCs w:val="24"/>
        </w:rPr>
        <w:t>,</w:t>
      </w:r>
      <w:r w:rsidR="00D153C7" w:rsidRPr="008269E4">
        <w:rPr>
          <w:rFonts w:ascii="Times New Roman" w:hAnsi="Times New Roman" w:cs="Times New Roman"/>
          <w:bCs/>
          <w:sz w:val="24"/>
          <w:szCs w:val="24"/>
        </w:rPr>
        <w:t xml:space="preserve"> there </w:t>
      </w:r>
      <w:r w:rsidR="00817DF2" w:rsidRPr="008269E4">
        <w:rPr>
          <w:rFonts w:ascii="Times New Roman" w:hAnsi="Times New Roman" w:cs="Times New Roman"/>
          <w:bCs/>
          <w:sz w:val="24"/>
          <w:szCs w:val="24"/>
        </w:rPr>
        <w:t>have not been any</w:t>
      </w:r>
      <w:r w:rsidR="00D153C7" w:rsidRPr="008269E4">
        <w:rPr>
          <w:rFonts w:ascii="Times New Roman" w:hAnsi="Times New Roman" w:cs="Times New Roman"/>
          <w:bCs/>
          <w:sz w:val="24"/>
          <w:szCs w:val="24"/>
        </w:rPr>
        <w:t xml:space="preserve"> national-level studies</w:t>
      </w:r>
      <w:r w:rsidR="00817DF2" w:rsidRPr="008269E4">
        <w:rPr>
          <w:rFonts w:ascii="Times New Roman" w:hAnsi="Times New Roman" w:cs="Times New Roman"/>
          <w:bCs/>
          <w:sz w:val="24"/>
          <w:szCs w:val="24"/>
        </w:rPr>
        <w:t xml:space="preserve"> on SWB in India</w:t>
      </w:r>
      <w:r w:rsidR="00D153C7" w:rsidRPr="008269E4">
        <w:rPr>
          <w:rFonts w:ascii="Times New Roman" w:hAnsi="Times New Roman" w:cs="Times New Roman"/>
          <w:bCs/>
          <w:sz w:val="24"/>
          <w:szCs w:val="24"/>
        </w:rPr>
        <w:t xml:space="preserve">. We aim to fill the gap by using the nationally representative household survey data. </w:t>
      </w:r>
    </w:p>
    <w:p w14:paraId="3E4CD09E" w14:textId="77777777" w:rsidR="00A95CDA" w:rsidRPr="008269E4" w:rsidRDefault="005118A6" w:rsidP="001326B5">
      <w:pPr>
        <w:jc w:val="center"/>
        <w:rPr>
          <w:rFonts w:ascii="Times New Roman" w:hAnsi="Times New Roman" w:cs="Times New Roman"/>
          <w:b/>
          <w:sz w:val="24"/>
          <w:szCs w:val="24"/>
        </w:rPr>
      </w:pPr>
      <w:r w:rsidRPr="008269E4">
        <w:rPr>
          <w:rFonts w:ascii="Times New Roman" w:hAnsi="Times New Roman" w:cs="Times New Roman"/>
          <w:b/>
          <w:sz w:val="24"/>
          <w:szCs w:val="24"/>
        </w:rPr>
        <w:t>3</w:t>
      </w:r>
      <w:r w:rsidR="004B2763" w:rsidRPr="008269E4">
        <w:rPr>
          <w:rFonts w:ascii="Times New Roman" w:hAnsi="Times New Roman" w:cs="Times New Roman"/>
          <w:b/>
          <w:sz w:val="24"/>
          <w:szCs w:val="24"/>
        </w:rPr>
        <w:t xml:space="preserve">. </w:t>
      </w:r>
      <w:r w:rsidR="00D64B0A" w:rsidRPr="008269E4">
        <w:rPr>
          <w:rFonts w:ascii="Times New Roman" w:hAnsi="Times New Roman" w:cs="Times New Roman"/>
          <w:b/>
          <w:sz w:val="24"/>
          <w:szCs w:val="24"/>
        </w:rPr>
        <w:t xml:space="preserve">Data </w:t>
      </w:r>
    </w:p>
    <w:p w14:paraId="23EC0FD2" w14:textId="77777777" w:rsidR="001326B5" w:rsidRPr="008269E4" w:rsidRDefault="001326B5" w:rsidP="001326B5">
      <w:pPr>
        <w:jc w:val="both"/>
        <w:rPr>
          <w:rFonts w:ascii="Times New Roman" w:hAnsi="Times New Roman" w:cs="Times New Roman"/>
          <w:sz w:val="24"/>
          <w:szCs w:val="24"/>
        </w:rPr>
      </w:pPr>
      <w:r w:rsidRPr="008269E4">
        <w:rPr>
          <w:rFonts w:ascii="Times New Roman" w:hAnsi="Times New Roman" w:cs="Times New Roman"/>
          <w:sz w:val="24"/>
          <w:szCs w:val="24"/>
        </w:rPr>
        <w:t xml:space="preserve">Our analysis draws upon the two rounds of the nationally representative </w:t>
      </w:r>
      <w:r w:rsidRPr="008269E4">
        <w:rPr>
          <w:rFonts w:ascii="Times New Roman" w:hAnsi="Times New Roman" w:cs="Times New Roman"/>
          <w:i/>
          <w:iCs/>
          <w:sz w:val="24"/>
          <w:szCs w:val="24"/>
        </w:rPr>
        <w:t xml:space="preserve">India Human Development Survey </w:t>
      </w:r>
      <w:r w:rsidRPr="008269E4">
        <w:rPr>
          <w:rFonts w:ascii="Times New Roman" w:hAnsi="Times New Roman" w:cs="Times New Roman"/>
          <w:sz w:val="24"/>
          <w:szCs w:val="24"/>
        </w:rPr>
        <w:t xml:space="preserve">(IHDS) data </w:t>
      </w:r>
      <w:r w:rsidR="005C7C6C" w:rsidRPr="008269E4">
        <w:rPr>
          <w:rFonts w:ascii="Times New Roman" w:hAnsi="Times New Roman" w:cs="Times New Roman"/>
          <w:sz w:val="24"/>
          <w:szCs w:val="24"/>
        </w:rPr>
        <w:t>for</w:t>
      </w:r>
      <w:r w:rsidRPr="008269E4">
        <w:rPr>
          <w:rFonts w:ascii="Times New Roman" w:hAnsi="Times New Roman" w:cs="Times New Roman"/>
          <w:sz w:val="24"/>
          <w:szCs w:val="24"/>
        </w:rPr>
        <w:t xml:space="preserve"> 200</w:t>
      </w:r>
      <w:r w:rsidR="00817DF2" w:rsidRPr="008269E4">
        <w:rPr>
          <w:rFonts w:ascii="Times New Roman" w:hAnsi="Times New Roman" w:cs="Times New Roman"/>
          <w:sz w:val="24"/>
          <w:szCs w:val="24"/>
        </w:rPr>
        <w:t>4-</w:t>
      </w:r>
      <w:r w:rsidRPr="008269E4">
        <w:rPr>
          <w:rFonts w:ascii="Times New Roman" w:hAnsi="Times New Roman" w:cs="Times New Roman"/>
          <w:sz w:val="24"/>
          <w:szCs w:val="24"/>
        </w:rPr>
        <w:t>5 and 20</w:t>
      </w:r>
      <w:r w:rsidR="00817DF2" w:rsidRPr="008269E4">
        <w:rPr>
          <w:rFonts w:ascii="Times New Roman" w:hAnsi="Times New Roman" w:cs="Times New Roman"/>
          <w:sz w:val="24"/>
          <w:szCs w:val="24"/>
        </w:rPr>
        <w:t>11-</w:t>
      </w:r>
      <w:r w:rsidRPr="008269E4">
        <w:rPr>
          <w:rFonts w:ascii="Times New Roman" w:hAnsi="Times New Roman" w:cs="Times New Roman"/>
          <w:sz w:val="24"/>
          <w:szCs w:val="24"/>
        </w:rPr>
        <w:t xml:space="preserve">12, </w:t>
      </w:r>
      <w:r w:rsidR="0094609D">
        <w:rPr>
          <w:rFonts w:ascii="Times New Roman" w:hAnsi="Times New Roman" w:cs="Times New Roman"/>
          <w:sz w:val="24"/>
          <w:szCs w:val="24"/>
        </w:rPr>
        <w:t xml:space="preserve">conducted </w:t>
      </w:r>
      <w:r w:rsidRPr="008269E4">
        <w:rPr>
          <w:rFonts w:ascii="Times New Roman" w:hAnsi="Times New Roman" w:cs="Times New Roman"/>
          <w:sz w:val="24"/>
          <w:szCs w:val="24"/>
        </w:rPr>
        <w:t>jointly by the University of Maryland and the National Council of Applied Economic Research, New Delhi. The first round (IHDS-1) is a survey of 41,554 households in 2004</w:t>
      </w:r>
      <w:r w:rsidR="00817DF2" w:rsidRPr="008269E4">
        <w:rPr>
          <w:rFonts w:ascii="Times New Roman" w:hAnsi="Times New Roman" w:cs="Times New Roman"/>
          <w:sz w:val="24"/>
          <w:szCs w:val="24"/>
        </w:rPr>
        <w:t>-</w:t>
      </w:r>
      <w:r w:rsidRPr="008269E4">
        <w:rPr>
          <w:rFonts w:ascii="Times New Roman" w:hAnsi="Times New Roman" w:cs="Times New Roman"/>
          <w:sz w:val="24"/>
          <w:szCs w:val="24"/>
        </w:rPr>
        <w:t>5. The second round (IHDS-II) involves re-interviews with 83% of the original households as well as split households residing within the same locality, along with an additional sample of 2,134 households</w:t>
      </w:r>
      <w:r w:rsidR="00817DF2" w:rsidRPr="008269E4">
        <w:rPr>
          <w:rFonts w:ascii="Times New Roman" w:hAnsi="Times New Roman" w:cs="Times New Roman"/>
          <w:sz w:val="24"/>
          <w:szCs w:val="24"/>
        </w:rPr>
        <w:t xml:space="preserve"> in 2011-12</w:t>
      </w:r>
      <w:r w:rsidRPr="008269E4">
        <w:rPr>
          <w:rFonts w:ascii="Times New Roman" w:hAnsi="Times New Roman" w:cs="Times New Roman"/>
          <w:sz w:val="24"/>
          <w:szCs w:val="24"/>
          <w:vertAlign w:val="superscript"/>
        </w:rPr>
        <w:footnoteReference w:id="9"/>
      </w:r>
      <w:r w:rsidRPr="008269E4">
        <w:rPr>
          <w:rFonts w:ascii="Times New Roman" w:hAnsi="Times New Roman" w:cs="Times New Roman"/>
          <w:sz w:val="24"/>
          <w:szCs w:val="24"/>
        </w:rPr>
        <w:t xml:space="preserve">. The total for IHDS-II is therefore 42,152 households. The sample is spread across 33 (now 34) states and union territories, and covers rural as well as urban areas. Repeated interviewing of the same households at two points in time facilitates a richer understanding of which households are able to partake in the fruits of growth, what allows them to move forward, and the process through which they are incorporated into or left out of a growing economy. </w:t>
      </w:r>
    </w:p>
    <w:p w14:paraId="3227BDA3" w14:textId="77777777" w:rsidR="001326B5" w:rsidRPr="008269E4" w:rsidRDefault="001326B5" w:rsidP="001326B5">
      <w:pPr>
        <w:jc w:val="both"/>
        <w:rPr>
          <w:rFonts w:ascii="Times New Roman" w:hAnsi="Times New Roman" w:cs="Times New Roman"/>
          <w:sz w:val="24"/>
          <w:szCs w:val="24"/>
        </w:rPr>
      </w:pPr>
      <w:r w:rsidRPr="008269E4">
        <w:rPr>
          <w:rFonts w:ascii="Times New Roman" w:hAnsi="Times New Roman" w:cs="Times New Roman"/>
          <w:sz w:val="24"/>
          <w:szCs w:val="24"/>
        </w:rPr>
        <w:t xml:space="preserve">Topics covered by the IHDS relevant in the present context include </w:t>
      </w:r>
      <w:r w:rsidR="00DC1DDD" w:rsidRPr="008269E4">
        <w:rPr>
          <w:rFonts w:ascii="Times New Roman" w:hAnsi="Times New Roman" w:cs="Times New Roman"/>
          <w:sz w:val="24"/>
          <w:szCs w:val="24"/>
        </w:rPr>
        <w:t xml:space="preserve">the perceived changes in </w:t>
      </w:r>
      <w:r w:rsidR="00B40E9C" w:rsidRPr="008269E4">
        <w:rPr>
          <w:rFonts w:ascii="Times New Roman" w:hAnsi="Times New Roman" w:cs="Times New Roman"/>
          <w:sz w:val="24"/>
          <w:szCs w:val="24"/>
        </w:rPr>
        <w:t xml:space="preserve">subjective well-being (SWB), expenditure, income, </w:t>
      </w:r>
      <w:r w:rsidRPr="008269E4">
        <w:rPr>
          <w:rFonts w:ascii="Times New Roman" w:hAnsi="Times New Roman" w:cs="Times New Roman"/>
          <w:sz w:val="24"/>
          <w:szCs w:val="24"/>
        </w:rPr>
        <w:t xml:space="preserve">employment, major morbidity (including </w:t>
      </w:r>
      <w:r w:rsidR="00C93391" w:rsidRPr="008269E4">
        <w:rPr>
          <w:rFonts w:ascii="Times New Roman" w:hAnsi="Times New Roman" w:cs="Times New Roman"/>
          <w:sz w:val="24"/>
          <w:szCs w:val="24"/>
        </w:rPr>
        <w:t>non-communicable diseases (</w:t>
      </w:r>
      <w:r w:rsidRPr="008269E4">
        <w:rPr>
          <w:rFonts w:ascii="Times New Roman" w:hAnsi="Times New Roman" w:cs="Times New Roman"/>
          <w:sz w:val="24"/>
          <w:szCs w:val="24"/>
        </w:rPr>
        <w:t>NCDs</w:t>
      </w:r>
      <w:r w:rsidR="00C93391" w:rsidRPr="008269E4">
        <w:rPr>
          <w:rFonts w:ascii="Times New Roman" w:hAnsi="Times New Roman" w:cs="Times New Roman"/>
          <w:sz w:val="24"/>
          <w:szCs w:val="24"/>
        </w:rPr>
        <w:t>)</w:t>
      </w:r>
      <w:r w:rsidRPr="008269E4">
        <w:rPr>
          <w:rFonts w:ascii="Times New Roman" w:hAnsi="Times New Roman" w:cs="Times New Roman"/>
          <w:sz w:val="24"/>
          <w:szCs w:val="24"/>
        </w:rPr>
        <w:t xml:space="preserve">), limitations in </w:t>
      </w:r>
      <w:r w:rsidR="00C93391" w:rsidRPr="008269E4">
        <w:rPr>
          <w:rFonts w:ascii="Times New Roman" w:hAnsi="Times New Roman" w:cs="Times New Roman"/>
          <w:sz w:val="24"/>
          <w:szCs w:val="24"/>
        </w:rPr>
        <w:t>activities of daily living (</w:t>
      </w:r>
      <w:r w:rsidRPr="008269E4">
        <w:rPr>
          <w:rFonts w:ascii="Times New Roman" w:hAnsi="Times New Roman" w:cs="Times New Roman"/>
          <w:sz w:val="24"/>
          <w:szCs w:val="24"/>
        </w:rPr>
        <w:t>ADL</w:t>
      </w:r>
      <w:r w:rsidR="00C93391" w:rsidRPr="008269E4">
        <w:rPr>
          <w:rFonts w:ascii="Times New Roman" w:hAnsi="Times New Roman" w:cs="Times New Roman"/>
          <w:sz w:val="24"/>
          <w:szCs w:val="24"/>
        </w:rPr>
        <w:t>s)</w:t>
      </w:r>
      <w:r w:rsidRPr="008269E4">
        <w:rPr>
          <w:rFonts w:ascii="Times New Roman" w:hAnsi="Times New Roman" w:cs="Times New Roman"/>
          <w:sz w:val="24"/>
          <w:szCs w:val="24"/>
        </w:rPr>
        <w:t xml:space="preserve">, health insurance, castes, </w:t>
      </w:r>
      <w:r w:rsidR="00B40E9C" w:rsidRPr="008269E4">
        <w:rPr>
          <w:rFonts w:ascii="Times New Roman" w:hAnsi="Times New Roman" w:cs="Times New Roman"/>
          <w:sz w:val="24"/>
          <w:szCs w:val="24"/>
        </w:rPr>
        <w:t xml:space="preserve">religion, </w:t>
      </w:r>
      <w:r w:rsidRPr="008269E4">
        <w:rPr>
          <w:rFonts w:ascii="Times New Roman" w:hAnsi="Times New Roman" w:cs="Times New Roman"/>
          <w:sz w:val="24"/>
          <w:szCs w:val="24"/>
        </w:rPr>
        <w:t>assets, social networks (</w:t>
      </w:r>
      <w:r w:rsidR="00893F7F" w:rsidRPr="008269E4">
        <w:rPr>
          <w:rFonts w:ascii="Times New Roman" w:hAnsi="Times New Roman" w:cs="Times New Roman"/>
          <w:sz w:val="24"/>
          <w:szCs w:val="24"/>
        </w:rPr>
        <w:t>e.g.,</w:t>
      </w:r>
      <w:r w:rsidRPr="008269E4">
        <w:rPr>
          <w:rFonts w:ascii="Times New Roman" w:hAnsi="Times New Roman" w:cs="Times New Roman"/>
          <w:sz w:val="24"/>
          <w:szCs w:val="24"/>
        </w:rPr>
        <w:t xml:space="preserve"> self-help groups), </w:t>
      </w:r>
      <w:r w:rsidR="00B40E9C" w:rsidRPr="008269E4">
        <w:rPr>
          <w:rFonts w:ascii="Times New Roman" w:hAnsi="Times New Roman" w:cs="Times New Roman"/>
          <w:sz w:val="24"/>
          <w:szCs w:val="24"/>
        </w:rPr>
        <w:t xml:space="preserve">trust in institutions, conflicts, crimes, </w:t>
      </w:r>
      <w:r w:rsidRPr="008269E4">
        <w:rPr>
          <w:rFonts w:ascii="Times New Roman" w:hAnsi="Times New Roman" w:cs="Times New Roman"/>
          <w:sz w:val="24"/>
          <w:szCs w:val="24"/>
        </w:rPr>
        <w:t xml:space="preserve">exposure to mass media, and demographic characteristics (e.g. gender, age, </w:t>
      </w:r>
      <w:r w:rsidR="00B40E9C" w:rsidRPr="008269E4">
        <w:rPr>
          <w:rFonts w:ascii="Times New Roman" w:hAnsi="Times New Roman" w:cs="Times New Roman"/>
          <w:sz w:val="24"/>
          <w:szCs w:val="24"/>
        </w:rPr>
        <w:t xml:space="preserve">marital status, </w:t>
      </w:r>
      <w:r w:rsidRPr="008269E4">
        <w:rPr>
          <w:rFonts w:ascii="Times New Roman" w:hAnsi="Times New Roman" w:cs="Times New Roman"/>
          <w:sz w:val="24"/>
          <w:szCs w:val="24"/>
        </w:rPr>
        <w:t>household size</w:t>
      </w:r>
      <w:r w:rsidR="00B40E9C" w:rsidRPr="008269E4">
        <w:rPr>
          <w:rFonts w:ascii="Times New Roman" w:hAnsi="Times New Roman" w:cs="Times New Roman"/>
          <w:sz w:val="24"/>
          <w:szCs w:val="24"/>
        </w:rPr>
        <w:t xml:space="preserve"> and composition</w:t>
      </w:r>
      <w:r w:rsidRPr="008269E4">
        <w:rPr>
          <w:rFonts w:ascii="Times New Roman" w:hAnsi="Times New Roman" w:cs="Times New Roman"/>
          <w:sz w:val="24"/>
          <w:szCs w:val="24"/>
        </w:rPr>
        <w:t>)</w:t>
      </w:r>
      <w:r w:rsidR="00C409CC" w:rsidRPr="008269E4">
        <w:rPr>
          <w:rStyle w:val="FootnoteReference"/>
          <w:rFonts w:ascii="Times New Roman" w:hAnsi="Times New Roman" w:cs="Times New Roman"/>
          <w:sz w:val="24"/>
          <w:szCs w:val="24"/>
        </w:rPr>
        <w:footnoteReference w:id="10"/>
      </w:r>
      <w:r w:rsidRPr="008269E4">
        <w:rPr>
          <w:rFonts w:ascii="Times New Roman" w:hAnsi="Times New Roman" w:cs="Times New Roman"/>
          <w:sz w:val="24"/>
          <w:szCs w:val="24"/>
        </w:rPr>
        <w:t xml:space="preserve">. </w:t>
      </w:r>
    </w:p>
    <w:p w14:paraId="39A2E198" w14:textId="77777777" w:rsidR="00AE38E1" w:rsidRPr="008269E4" w:rsidRDefault="00B40E9C" w:rsidP="001326B5">
      <w:pPr>
        <w:jc w:val="both"/>
        <w:rPr>
          <w:rFonts w:ascii="Times New Roman" w:hAnsi="Times New Roman" w:cs="Times New Roman"/>
          <w:sz w:val="24"/>
          <w:szCs w:val="24"/>
        </w:rPr>
      </w:pPr>
      <w:r w:rsidRPr="008269E4">
        <w:rPr>
          <w:rFonts w:ascii="Times New Roman" w:hAnsi="Times New Roman" w:cs="Times New Roman"/>
          <w:sz w:val="24"/>
          <w:szCs w:val="24"/>
        </w:rPr>
        <w:t>An important feature of IHDS is that it collected data on SWB</w:t>
      </w:r>
      <w:r w:rsidR="0000085A" w:rsidRPr="008269E4">
        <w:rPr>
          <w:rFonts w:ascii="Times New Roman" w:hAnsi="Times New Roman" w:cs="Times New Roman"/>
          <w:sz w:val="24"/>
          <w:szCs w:val="24"/>
        </w:rPr>
        <w:t xml:space="preserve"> changes</w:t>
      </w:r>
      <w:r w:rsidRPr="008269E4">
        <w:rPr>
          <w:rFonts w:ascii="Times New Roman" w:hAnsi="Times New Roman" w:cs="Times New Roman"/>
          <w:sz w:val="24"/>
          <w:szCs w:val="24"/>
        </w:rPr>
        <w:t xml:space="preserve">. </w:t>
      </w:r>
      <w:r w:rsidR="00E228EF" w:rsidRPr="008269E4">
        <w:rPr>
          <w:rFonts w:ascii="Times New Roman" w:hAnsi="Times New Roman" w:cs="Times New Roman"/>
          <w:sz w:val="24"/>
          <w:szCs w:val="24"/>
        </w:rPr>
        <w:t xml:space="preserve">The question asked is: </w:t>
      </w:r>
      <w:r w:rsidR="0000085A" w:rsidRPr="008269E4">
        <w:rPr>
          <w:rFonts w:ascii="Times New Roman" w:hAnsi="Times New Roman" w:cs="Times New Roman"/>
          <w:sz w:val="24"/>
          <w:szCs w:val="24"/>
        </w:rPr>
        <w:t>“C</w:t>
      </w:r>
      <w:r w:rsidR="00E228EF" w:rsidRPr="008269E4">
        <w:rPr>
          <w:rFonts w:ascii="Times New Roman" w:hAnsi="Times New Roman" w:cs="Times New Roman"/>
          <w:sz w:val="24"/>
          <w:szCs w:val="24"/>
        </w:rPr>
        <w:t>ompare</w:t>
      </w:r>
      <w:r w:rsidR="00622FF9" w:rsidRPr="008269E4">
        <w:rPr>
          <w:rFonts w:ascii="Times New Roman" w:hAnsi="Times New Roman" w:cs="Times New Roman"/>
          <w:sz w:val="24"/>
          <w:szCs w:val="24"/>
        </w:rPr>
        <w:t>d</w:t>
      </w:r>
      <w:r w:rsidR="00E228EF" w:rsidRPr="008269E4">
        <w:rPr>
          <w:rFonts w:ascii="Times New Roman" w:hAnsi="Times New Roman" w:cs="Times New Roman"/>
          <w:sz w:val="24"/>
          <w:szCs w:val="24"/>
        </w:rPr>
        <w:t xml:space="preserve"> to 7 years ago, would you say your household is </w:t>
      </w:r>
      <w:r w:rsidR="00E228EF" w:rsidRPr="008269E4">
        <w:rPr>
          <w:rFonts w:ascii="Times New Roman" w:hAnsi="Times New Roman" w:cs="Times New Roman"/>
          <w:i/>
          <w:sz w:val="24"/>
          <w:szCs w:val="24"/>
        </w:rPr>
        <w:t>economically</w:t>
      </w:r>
      <w:r w:rsidR="00E228EF" w:rsidRPr="008269E4">
        <w:rPr>
          <w:rFonts w:ascii="Times New Roman" w:hAnsi="Times New Roman" w:cs="Times New Roman"/>
          <w:sz w:val="24"/>
          <w:szCs w:val="24"/>
        </w:rPr>
        <w:t xml:space="preserve"> doing the same, better or worse today</w:t>
      </w:r>
      <w:r w:rsidR="0000085A" w:rsidRPr="008269E4">
        <w:rPr>
          <w:rFonts w:ascii="Times New Roman" w:hAnsi="Times New Roman" w:cs="Times New Roman"/>
          <w:sz w:val="24"/>
          <w:szCs w:val="24"/>
        </w:rPr>
        <w:t>?”</w:t>
      </w:r>
      <w:r w:rsidR="00323881">
        <w:rPr>
          <w:rFonts w:ascii="Times New Roman" w:hAnsi="Times New Roman" w:cs="Times New Roman"/>
          <w:sz w:val="24"/>
          <w:szCs w:val="24"/>
        </w:rPr>
        <w:t xml:space="preserve"> </w:t>
      </w:r>
      <w:proofErr w:type="gramStart"/>
      <w:r w:rsidR="006459FD" w:rsidRPr="008269E4">
        <w:rPr>
          <w:rFonts w:ascii="Times New Roman" w:hAnsi="Times New Roman" w:cs="Times New Roman"/>
          <w:sz w:val="24"/>
          <w:szCs w:val="24"/>
        </w:rPr>
        <w:t>So the focus of this SWB is narrow</w:t>
      </w:r>
      <w:r w:rsidR="009605D6" w:rsidRPr="008269E4">
        <w:rPr>
          <w:rFonts w:ascii="Times New Roman" w:hAnsi="Times New Roman" w:cs="Times New Roman"/>
          <w:sz w:val="24"/>
          <w:szCs w:val="24"/>
        </w:rPr>
        <w:t xml:space="preserve"> and it has only three scales corresponding to </w:t>
      </w:r>
      <w:r w:rsidR="009605D6" w:rsidRPr="008269E4">
        <w:rPr>
          <w:rFonts w:ascii="Times New Roman" w:hAnsi="Times New Roman" w:cs="Times New Roman"/>
          <w:i/>
          <w:sz w:val="24"/>
          <w:szCs w:val="24"/>
        </w:rPr>
        <w:t xml:space="preserve">the </w:t>
      </w:r>
      <w:r w:rsidR="004A5762" w:rsidRPr="008269E4">
        <w:rPr>
          <w:rFonts w:ascii="Times New Roman" w:hAnsi="Times New Roman" w:cs="Times New Roman"/>
          <w:i/>
          <w:sz w:val="24"/>
          <w:szCs w:val="24"/>
        </w:rPr>
        <w:t xml:space="preserve">perceived </w:t>
      </w:r>
      <w:r w:rsidR="009605D6" w:rsidRPr="008269E4">
        <w:rPr>
          <w:rFonts w:ascii="Times New Roman" w:hAnsi="Times New Roman" w:cs="Times New Roman"/>
          <w:i/>
          <w:sz w:val="24"/>
          <w:szCs w:val="24"/>
        </w:rPr>
        <w:t>change</w:t>
      </w:r>
      <w:r w:rsidR="009605D6" w:rsidRPr="008269E4">
        <w:rPr>
          <w:rFonts w:ascii="Times New Roman" w:hAnsi="Times New Roman" w:cs="Times New Roman"/>
          <w:sz w:val="24"/>
          <w:szCs w:val="24"/>
        </w:rPr>
        <w:t xml:space="preserve"> in the SWB</w:t>
      </w:r>
      <w:r w:rsidR="001B6540" w:rsidRPr="008269E4">
        <w:rPr>
          <w:rFonts w:ascii="Times New Roman" w:hAnsi="Times New Roman" w:cs="Times New Roman"/>
          <w:sz w:val="24"/>
          <w:szCs w:val="24"/>
        </w:rPr>
        <w:t xml:space="preserve"> (denoted as </w:t>
      </w:r>
      <w:r w:rsidR="00F47BBA" w:rsidRPr="008269E4">
        <w:rPr>
          <w:rFonts w:ascii="Times New Roman" w:hAnsi="Times New Roman" w:cs="Times New Roman"/>
          <w:sz w:val="24"/>
          <w:szCs w:val="24"/>
        </w:rPr>
        <w:t>∆SWB</w:t>
      </w:r>
      <w:r w:rsidR="001B6540" w:rsidRPr="008269E4">
        <w:rPr>
          <w:rFonts w:ascii="Times New Roman" w:hAnsi="Times New Roman" w:cs="Times New Roman"/>
          <w:sz w:val="24"/>
          <w:szCs w:val="24"/>
        </w:rPr>
        <w:t xml:space="preserve"> hereafter)</w:t>
      </w:r>
      <w:r w:rsidR="00F47BBA" w:rsidRPr="008269E4">
        <w:rPr>
          <w:rFonts w:ascii="Times New Roman" w:hAnsi="Times New Roman" w:cs="Times New Roman"/>
          <w:sz w:val="24"/>
          <w:szCs w:val="24"/>
        </w:rPr>
        <w:t>,</w:t>
      </w:r>
      <w:r w:rsidR="009605D6" w:rsidRPr="008269E4">
        <w:rPr>
          <w:rFonts w:ascii="Times New Roman" w:hAnsi="Times New Roman" w:cs="Times New Roman"/>
          <w:sz w:val="24"/>
          <w:szCs w:val="24"/>
        </w:rPr>
        <w:t xml:space="preserve"> not its level.</w:t>
      </w:r>
      <w:proofErr w:type="gramEnd"/>
      <w:r w:rsidR="009605D6" w:rsidRPr="008269E4">
        <w:rPr>
          <w:rFonts w:ascii="Times New Roman" w:hAnsi="Times New Roman" w:cs="Times New Roman"/>
          <w:sz w:val="24"/>
          <w:szCs w:val="24"/>
        </w:rPr>
        <w:t xml:space="preserve"> </w:t>
      </w:r>
      <w:r w:rsidR="00B975A5" w:rsidRPr="008269E4">
        <w:rPr>
          <w:rFonts w:ascii="Times New Roman" w:hAnsi="Times New Roman" w:cs="Times New Roman"/>
          <w:sz w:val="24"/>
          <w:szCs w:val="24"/>
        </w:rPr>
        <w:t xml:space="preserve">It should also be noted that the measure is at the household level, not the individual level. </w:t>
      </w:r>
      <w:r w:rsidR="00AE38E1" w:rsidRPr="008269E4">
        <w:rPr>
          <w:rFonts w:ascii="Times New Roman" w:hAnsi="Times New Roman" w:cs="Times New Roman"/>
          <w:sz w:val="24"/>
          <w:szCs w:val="24"/>
        </w:rPr>
        <w:t xml:space="preserve">While the focus of this variable is narrow, it has a few advantages. First, as reviewed in </w:t>
      </w:r>
      <w:r w:rsidR="00AE38E1" w:rsidRPr="008269E4">
        <w:rPr>
          <w:rFonts w:ascii="Times New Roman" w:hAnsi="Times New Roman" w:cs="Times New Roman"/>
          <w:sz w:val="24"/>
          <w:szCs w:val="24"/>
        </w:rPr>
        <w:lastRenderedPageBreak/>
        <w:t xml:space="preserve">detail in the </w:t>
      </w:r>
      <w:r w:rsidR="00630D30" w:rsidRPr="008269E4">
        <w:rPr>
          <w:rFonts w:ascii="Times New Roman" w:hAnsi="Times New Roman" w:cs="Times New Roman"/>
          <w:sz w:val="24"/>
          <w:szCs w:val="24"/>
        </w:rPr>
        <w:t>previous</w:t>
      </w:r>
      <w:r w:rsidR="00AE38E1" w:rsidRPr="008269E4">
        <w:rPr>
          <w:rFonts w:ascii="Times New Roman" w:hAnsi="Times New Roman" w:cs="Times New Roman"/>
          <w:sz w:val="24"/>
          <w:szCs w:val="24"/>
        </w:rPr>
        <w:t xml:space="preserve"> section, there exists a life-cycle effect on SWB, that is, perceived well</w:t>
      </w:r>
      <w:r w:rsidR="00C86512" w:rsidRPr="008269E4">
        <w:rPr>
          <w:rFonts w:ascii="Times New Roman" w:hAnsi="Times New Roman" w:cs="Times New Roman"/>
          <w:sz w:val="24"/>
          <w:szCs w:val="24"/>
        </w:rPr>
        <w:t>-</w:t>
      </w:r>
      <w:r w:rsidR="00AE38E1" w:rsidRPr="008269E4">
        <w:rPr>
          <w:rFonts w:ascii="Times New Roman" w:hAnsi="Times New Roman" w:cs="Times New Roman"/>
          <w:sz w:val="24"/>
          <w:szCs w:val="24"/>
        </w:rPr>
        <w:t>being changes at the point of life</w:t>
      </w:r>
      <w:r w:rsidR="00C409CC" w:rsidRPr="008269E4">
        <w:rPr>
          <w:rFonts w:ascii="Times New Roman" w:hAnsi="Times New Roman" w:cs="Times New Roman"/>
          <w:sz w:val="24"/>
          <w:szCs w:val="24"/>
        </w:rPr>
        <w:t>-</w:t>
      </w:r>
      <w:r w:rsidR="00AE38E1" w:rsidRPr="008269E4">
        <w:rPr>
          <w:rFonts w:ascii="Times New Roman" w:hAnsi="Times New Roman" w:cs="Times New Roman"/>
          <w:sz w:val="24"/>
          <w:szCs w:val="24"/>
        </w:rPr>
        <w:t>cycle or age</w:t>
      </w:r>
      <w:r w:rsidR="00B975A5" w:rsidRPr="008269E4">
        <w:rPr>
          <w:rFonts w:ascii="Times New Roman" w:hAnsi="Times New Roman" w:cs="Times New Roman"/>
          <w:sz w:val="24"/>
          <w:szCs w:val="24"/>
        </w:rPr>
        <w:t xml:space="preserve"> of the respondent as well as his/her spouse or other household members</w:t>
      </w:r>
      <w:r w:rsidR="00AE38E1" w:rsidRPr="008269E4">
        <w:rPr>
          <w:rFonts w:ascii="Times New Roman" w:hAnsi="Times New Roman" w:cs="Times New Roman"/>
          <w:sz w:val="24"/>
          <w:szCs w:val="24"/>
        </w:rPr>
        <w:t xml:space="preserve">. While the survey question asks </w:t>
      </w:r>
      <w:r w:rsidR="00E8550B">
        <w:rPr>
          <w:rFonts w:ascii="Times New Roman" w:hAnsi="Times New Roman" w:cs="Times New Roman"/>
          <w:sz w:val="24"/>
          <w:szCs w:val="24"/>
        </w:rPr>
        <w:t xml:space="preserve">about </w:t>
      </w:r>
      <w:r w:rsidR="00AE38E1" w:rsidRPr="008269E4">
        <w:rPr>
          <w:rFonts w:ascii="Times New Roman" w:hAnsi="Times New Roman" w:cs="Times New Roman"/>
          <w:sz w:val="24"/>
          <w:szCs w:val="24"/>
        </w:rPr>
        <w:t xml:space="preserve">the change in SWB compared to that 7 years ago, it can be different from the time-series comparison of the level in SWB because of the </w:t>
      </w:r>
      <w:r w:rsidR="00B975A5" w:rsidRPr="008269E4">
        <w:rPr>
          <w:rFonts w:ascii="Times New Roman" w:hAnsi="Times New Roman" w:cs="Times New Roman"/>
          <w:sz w:val="24"/>
          <w:szCs w:val="24"/>
        </w:rPr>
        <w:t>stronger effect of more recent experience of negative shocks (e.g.</w:t>
      </w:r>
      <w:r w:rsidR="00C60006">
        <w:rPr>
          <w:rFonts w:ascii="Times New Roman" w:hAnsi="Times New Roman" w:cs="Times New Roman"/>
          <w:sz w:val="24"/>
          <w:szCs w:val="24"/>
        </w:rPr>
        <w:t xml:space="preserve"> a flood</w:t>
      </w:r>
      <w:r w:rsidR="00B975A5" w:rsidRPr="008269E4">
        <w:rPr>
          <w:rFonts w:ascii="Times New Roman" w:hAnsi="Times New Roman" w:cs="Times New Roman"/>
          <w:sz w:val="24"/>
          <w:szCs w:val="24"/>
        </w:rPr>
        <w:t xml:space="preserve">) on SWB. In this sense, our proxy is likely to be more closely associated with SWB at the time of the survey (2011-12) rather than 7 years ago (2004-05), although given that this is a longitudinal survey, the individuals kept some memories </w:t>
      </w:r>
      <w:r w:rsidR="000E4FF2" w:rsidRPr="008269E4">
        <w:rPr>
          <w:rFonts w:ascii="Times New Roman" w:hAnsi="Times New Roman" w:cs="Times New Roman"/>
          <w:sz w:val="24"/>
          <w:szCs w:val="24"/>
        </w:rPr>
        <w:t xml:space="preserve">of </w:t>
      </w:r>
      <w:r w:rsidR="00B975A5" w:rsidRPr="008269E4">
        <w:rPr>
          <w:rFonts w:ascii="Times New Roman" w:hAnsi="Times New Roman" w:cs="Times New Roman"/>
          <w:sz w:val="24"/>
          <w:szCs w:val="24"/>
        </w:rPr>
        <w:t xml:space="preserve">the last survey as a reference point. Second, because the survey specifically asks </w:t>
      </w:r>
      <w:r w:rsidR="00C60006">
        <w:rPr>
          <w:rFonts w:ascii="Times New Roman" w:hAnsi="Times New Roman" w:cs="Times New Roman"/>
          <w:sz w:val="24"/>
          <w:szCs w:val="24"/>
        </w:rPr>
        <w:t xml:space="preserve">about </w:t>
      </w:r>
      <w:r w:rsidR="00B975A5" w:rsidRPr="008269E4">
        <w:rPr>
          <w:rFonts w:ascii="Times New Roman" w:hAnsi="Times New Roman" w:cs="Times New Roman"/>
          <w:sz w:val="24"/>
          <w:szCs w:val="24"/>
        </w:rPr>
        <w:t xml:space="preserve">the change of </w:t>
      </w:r>
      <w:r w:rsidR="00E15368" w:rsidRPr="008269E4">
        <w:rPr>
          <w:rFonts w:ascii="Times New Roman" w:hAnsi="Times New Roman" w:cs="Times New Roman"/>
          <w:sz w:val="24"/>
          <w:szCs w:val="24"/>
        </w:rPr>
        <w:t xml:space="preserve">economic </w:t>
      </w:r>
      <w:r w:rsidR="00B975A5" w:rsidRPr="008269E4">
        <w:rPr>
          <w:rFonts w:ascii="Times New Roman" w:hAnsi="Times New Roman" w:cs="Times New Roman"/>
          <w:sz w:val="24"/>
          <w:szCs w:val="24"/>
        </w:rPr>
        <w:t>well</w:t>
      </w:r>
      <w:r w:rsidR="000E4FF2" w:rsidRPr="008269E4">
        <w:rPr>
          <w:rFonts w:ascii="Times New Roman" w:hAnsi="Times New Roman" w:cs="Times New Roman"/>
          <w:sz w:val="24"/>
          <w:szCs w:val="24"/>
        </w:rPr>
        <w:t>-</w:t>
      </w:r>
      <w:r w:rsidR="00B975A5" w:rsidRPr="008269E4">
        <w:rPr>
          <w:rFonts w:ascii="Times New Roman" w:hAnsi="Times New Roman" w:cs="Times New Roman"/>
          <w:sz w:val="24"/>
          <w:szCs w:val="24"/>
        </w:rPr>
        <w:t xml:space="preserve">being of the household, compared with the </w:t>
      </w:r>
      <w:r w:rsidR="00E15368" w:rsidRPr="008269E4">
        <w:rPr>
          <w:rFonts w:ascii="Times New Roman" w:hAnsi="Times New Roman" w:cs="Times New Roman"/>
          <w:sz w:val="24"/>
          <w:szCs w:val="24"/>
        </w:rPr>
        <w:t>state seven years ago, the question has an advantage of placing more weight on the respondent’s own SWB rather than the relative SWB compared to others’ SWB in the community or society. If a particular shock or a negative event hit only that household, relative to others, the measure can capture the relative components, but it capture</w:t>
      </w:r>
      <w:r w:rsidR="000E4FF2" w:rsidRPr="008269E4">
        <w:rPr>
          <w:rFonts w:ascii="Times New Roman" w:hAnsi="Times New Roman" w:cs="Times New Roman"/>
          <w:sz w:val="24"/>
          <w:szCs w:val="24"/>
        </w:rPr>
        <w:t>s</w:t>
      </w:r>
      <w:r w:rsidR="00E15368" w:rsidRPr="008269E4">
        <w:rPr>
          <w:rFonts w:ascii="Times New Roman" w:hAnsi="Times New Roman" w:cs="Times New Roman"/>
          <w:sz w:val="24"/>
          <w:szCs w:val="24"/>
        </w:rPr>
        <w:t xml:space="preserve"> the relative difference of the SWB of the respondent or his/her family. Third, </w:t>
      </w:r>
      <w:r w:rsidR="00553851" w:rsidRPr="008269E4">
        <w:rPr>
          <w:rFonts w:ascii="Times New Roman" w:hAnsi="Times New Roman" w:cs="Times New Roman"/>
          <w:sz w:val="24"/>
          <w:szCs w:val="24"/>
        </w:rPr>
        <w:t>by asking specifically about the economic well</w:t>
      </w:r>
      <w:r w:rsidR="000E4FF2" w:rsidRPr="008269E4">
        <w:rPr>
          <w:rFonts w:ascii="Times New Roman" w:hAnsi="Times New Roman" w:cs="Times New Roman"/>
          <w:sz w:val="24"/>
          <w:szCs w:val="24"/>
        </w:rPr>
        <w:t>-</w:t>
      </w:r>
      <w:r w:rsidR="00553851" w:rsidRPr="008269E4">
        <w:rPr>
          <w:rFonts w:ascii="Times New Roman" w:hAnsi="Times New Roman" w:cs="Times New Roman"/>
          <w:sz w:val="24"/>
          <w:szCs w:val="24"/>
        </w:rPr>
        <w:t xml:space="preserve">being, </w:t>
      </w:r>
      <w:r w:rsidR="00CF567D" w:rsidRPr="008269E4">
        <w:rPr>
          <w:rFonts w:ascii="Times New Roman" w:hAnsi="Times New Roman" w:cs="Times New Roman"/>
          <w:sz w:val="24"/>
          <w:szCs w:val="24"/>
        </w:rPr>
        <w:t>the respondents will perceive the same aspect in well</w:t>
      </w:r>
      <w:r w:rsidR="000E4FF2" w:rsidRPr="008269E4">
        <w:rPr>
          <w:rFonts w:ascii="Times New Roman" w:hAnsi="Times New Roman" w:cs="Times New Roman"/>
          <w:sz w:val="24"/>
          <w:szCs w:val="24"/>
        </w:rPr>
        <w:t>-</w:t>
      </w:r>
      <w:r w:rsidR="00CF567D" w:rsidRPr="008269E4">
        <w:rPr>
          <w:rFonts w:ascii="Times New Roman" w:hAnsi="Times New Roman" w:cs="Times New Roman"/>
          <w:sz w:val="24"/>
          <w:szCs w:val="24"/>
        </w:rPr>
        <w:t>being. This will minimise the heterogeneity in the respondent’s perceptions or focus on well</w:t>
      </w:r>
      <w:r w:rsidR="000E4FF2" w:rsidRPr="008269E4">
        <w:rPr>
          <w:rFonts w:ascii="Times New Roman" w:hAnsi="Times New Roman" w:cs="Times New Roman"/>
          <w:sz w:val="24"/>
          <w:szCs w:val="24"/>
        </w:rPr>
        <w:t>-</w:t>
      </w:r>
      <w:r w:rsidR="00CF567D" w:rsidRPr="008269E4">
        <w:rPr>
          <w:rFonts w:ascii="Times New Roman" w:hAnsi="Times New Roman" w:cs="Times New Roman"/>
          <w:sz w:val="24"/>
          <w:szCs w:val="24"/>
        </w:rPr>
        <w:t xml:space="preserve">being compared with the variable based on more general questions about happiness or ‘the best possible life’. Fourth, while most of the earlier studies asked </w:t>
      </w:r>
      <w:r w:rsidR="00C60006">
        <w:rPr>
          <w:rFonts w:ascii="Times New Roman" w:hAnsi="Times New Roman" w:cs="Times New Roman"/>
          <w:sz w:val="24"/>
          <w:szCs w:val="24"/>
        </w:rPr>
        <w:t xml:space="preserve">about </w:t>
      </w:r>
      <w:r w:rsidR="00CF567D" w:rsidRPr="008269E4">
        <w:rPr>
          <w:rFonts w:ascii="Times New Roman" w:hAnsi="Times New Roman" w:cs="Times New Roman"/>
          <w:sz w:val="24"/>
          <w:szCs w:val="24"/>
        </w:rPr>
        <w:t xml:space="preserve">the individual SWB, our measure captures </w:t>
      </w:r>
      <w:r w:rsidR="0000085A" w:rsidRPr="008269E4">
        <w:rPr>
          <w:rFonts w:ascii="Times New Roman" w:hAnsi="Times New Roman" w:cs="Times New Roman"/>
          <w:sz w:val="24"/>
          <w:szCs w:val="24"/>
        </w:rPr>
        <w:t>∆</w:t>
      </w:r>
      <w:r w:rsidR="00CF567D" w:rsidRPr="008269E4">
        <w:rPr>
          <w:rFonts w:ascii="Times New Roman" w:hAnsi="Times New Roman" w:cs="Times New Roman"/>
          <w:sz w:val="24"/>
          <w:szCs w:val="24"/>
        </w:rPr>
        <w:t xml:space="preserve">SWB at the household level. </w:t>
      </w:r>
    </w:p>
    <w:p w14:paraId="38B553B8" w14:textId="06F0351F" w:rsidR="00E46895" w:rsidRPr="008269E4" w:rsidRDefault="00DC1DDD" w:rsidP="00E46895">
      <w:pPr>
        <w:jc w:val="both"/>
        <w:rPr>
          <w:rFonts w:ascii="Times New Roman" w:hAnsi="Times New Roman" w:cs="Times New Roman"/>
          <w:sz w:val="24"/>
          <w:szCs w:val="24"/>
        </w:rPr>
      </w:pPr>
      <w:r w:rsidRPr="008269E4">
        <w:rPr>
          <w:rFonts w:ascii="Times New Roman" w:hAnsi="Times New Roman" w:cs="Times New Roman"/>
          <w:sz w:val="24"/>
          <w:szCs w:val="24"/>
        </w:rPr>
        <w:t xml:space="preserve">As noted earlier, we have constructed </w:t>
      </w:r>
      <w:r w:rsidR="0000085A" w:rsidRPr="008269E4">
        <w:rPr>
          <w:rFonts w:ascii="Times New Roman" w:hAnsi="Times New Roman" w:cs="Times New Roman"/>
          <w:sz w:val="24"/>
          <w:szCs w:val="24"/>
        </w:rPr>
        <w:t>the variable on the actual changes in objective well-being (∆OWB). ∆OWB</w:t>
      </w:r>
      <w:r w:rsidR="00E46895" w:rsidRPr="008269E4">
        <w:rPr>
          <w:rFonts w:ascii="Times New Roman" w:hAnsi="Times New Roman" w:cs="Times New Roman"/>
          <w:sz w:val="24"/>
          <w:szCs w:val="24"/>
        </w:rPr>
        <w:t xml:space="preserve"> is defined based on the relative change in real per capita household consumption </w:t>
      </w:r>
      <w:r w:rsidR="00390A5B">
        <w:rPr>
          <w:rFonts w:ascii="Times New Roman" w:hAnsi="Times New Roman" w:cs="Times New Roman"/>
          <w:sz w:val="24"/>
          <w:szCs w:val="24"/>
        </w:rPr>
        <w:t xml:space="preserve">between </w:t>
      </w:r>
      <w:r w:rsidR="00E46895" w:rsidRPr="008269E4">
        <w:rPr>
          <w:rFonts w:ascii="Times New Roman" w:hAnsi="Times New Roman" w:cs="Times New Roman"/>
          <w:sz w:val="24"/>
          <w:szCs w:val="24"/>
        </w:rPr>
        <w:t>2004-5</w:t>
      </w:r>
      <w:r w:rsidR="00390A5B">
        <w:rPr>
          <w:rFonts w:ascii="Times New Roman" w:hAnsi="Times New Roman" w:cs="Times New Roman"/>
          <w:sz w:val="24"/>
          <w:szCs w:val="24"/>
        </w:rPr>
        <w:t xml:space="preserve">and </w:t>
      </w:r>
      <w:r w:rsidR="00E46895" w:rsidRPr="008269E4">
        <w:rPr>
          <w:rFonts w:ascii="Times New Roman" w:hAnsi="Times New Roman" w:cs="Times New Roman"/>
          <w:sz w:val="24"/>
          <w:szCs w:val="24"/>
        </w:rPr>
        <w:t xml:space="preserve">2011-2. The entire households are classified into the three groups: better-off (2), </w:t>
      </w:r>
      <w:r w:rsidR="00E8550B">
        <w:rPr>
          <w:rFonts w:ascii="Times New Roman" w:hAnsi="Times New Roman" w:cs="Times New Roman"/>
          <w:sz w:val="24"/>
          <w:szCs w:val="24"/>
        </w:rPr>
        <w:t xml:space="preserve">just the </w:t>
      </w:r>
      <w:r w:rsidR="00E46895" w:rsidRPr="008269E4">
        <w:rPr>
          <w:rFonts w:ascii="Times New Roman" w:hAnsi="Times New Roman" w:cs="Times New Roman"/>
          <w:sz w:val="24"/>
          <w:szCs w:val="24"/>
        </w:rPr>
        <w:t xml:space="preserve">same (1) and worse off (0) based on the ranking of the changes in real per capita household consumption, making the </w:t>
      </w:r>
      <w:r w:rsidR="00E156CF" w:rsidRPr="008269E4">
        <w:rPr>
          <w:rFonts w:ascii="Times New Roman" w:hAnsi="Times New Roman" w:cs="Times New Roman"/>
          <w:sz w:val="24"/>
          <w:szCs w:val="24"/>
        </w:rPr>
        <w:t xml:space="preserve">frequency distributions across three categories </w:t>
      </w:r>
      <w:r w:rsidR="00E46895" w:rsidRPr="008269E4">
        <w:rPr>
          <w:rFonts w:ascii="Times New Roman" w:hAnsi="Times New Roman" w:cs="Times New Roman"/>
          <w:sz w:val="24"/>
          <w:szCs w:val="24"/>
        </w:rPr>
        <w:t xml:space="preserve">identical to </w:t>
      </w:r>
      <w:r w:rsidR="00E156CF" w:rsidRPr="008269E4">
        <w:rPr>
          <w:rFonts w:ascii="Times New Roman" w:hAnsi="Times New Roman" w:cs="Times New Roman"/>
          <w:sz w:val="24"/>
          <w:szCs w:val="24"/>
        </w:rPr>
        <w:t xml:space="preserve">those of </w:t>
      </w:r>
      <w:r w:rsidR="00E46895" w:rsidRPr="008269E4">
        <w:rPr>
          <w:rFonts w:ascii="Times New Roman" w:hAnsi="Times New Roman" w:cs="Times New Roman"/>
          <w:sz w:val="24"/>
          <w:szCs w:val="24"/>
        </w:rPr>
        <w:t>∆SWB. While this will lose continuous data in the change in per capita household consumption and the thresholds among the three cases are arbitrarily determined</w:t>
      </w:r>
      <w:r w:rsidR="00F61053" w:rsidRPr="008269E4">
        <w:rPr>
          <w:rStyle w:val="FootnoteReference"/>
          <w:rFonts w:ascii="Times New Roman" w:hAnsi="Times New Roman" w:cs="Times New Roman"/>
          <w:sz w:val="24"/>
          <w:szCs w:val="24"/>
        </w:rPr>
        <w:footnoteReference w:id="11"/>
      </w:r>
      <w:r w:rsidR="00E46895" w:rsidRPr="008269E4">
        <w:rPr>
          <w:rFonts w:ascii="Times New Roman" w:hAnsi="Times New Roman" w:cs="Times New Roman"/>
          <w:sz w:val="24"/>
          <w:szCs w:val="24"/>
        </w:rPr>
        <w:t xml:space="preserve">, our approach has </w:t>
      </w:r>
      <w:r w:rsidR="00C60006">
        <w:rPr>
          <w:rFonts w:ascii="Times New Roman" w:hAnsi="Times New Roman" w:cs="Times New Roman"/>
          <w:sz w:val="24"/>
          <w:szCs w:val="24"/>
        </w:rPr>
        <w:t xml:space="preserve">the </w:t>
      </w:r>
      <w:r w:rsidR="00E46895" w:rsidRPr="008269E4">
        <w:rPr>
          <w:rFonts w:ascii="Times New Roman" w:hAnsi="Times New Roman" w:cs="Times New Roman"/>
          <w:sz w:val="24"/>
          <w:szCs w:val="24"/>
        </w:rPr>
        <w:t>advantages of (</w:t>
      </w:r>
      <w:proofErr w:type="spellStart"/>
      <w:r w:rsidR="00E46895" w:rsidRPr="008269E4">
        <w:rPr>
          <w:rFonts w:ascii="Times New Roman" w:hAnsi="Times New Roman" w:cs="Times New Roman"/>
          <w:sz w:val="24"/>
          <w:szCs w:val="24"/>
        </w:rPr>
        <w:t>i</w:t>
      </w:r>
      <w:proofErr w:type="spellEnd"/>
      <w:r w:rsidR="00E46895" w:rsidRPr="008269E4">
        <w:rPr>
          <w:rFonts w:ascii="Times New Roman" w:hAnsi="Times New Roman" w:cs="Times New Roman"/>
          <w:sz w:val="24"/>
          <w:szCs w:val="24"/>
        </w:rPr>
        <w:t xml:space="preserve">) making the estimated coefficients for ∆SWB and ∆OWB comparable in their sign and </w:t>
      </w:r>
      <w:r w:rsidR="00F61053" w:rsidRPr="008269E4">
        <w:rPr>
          <w:rFonts w:ascii="Times New Roman" w:hAnsi="Times New Roman" w:cs="Times New Roman"/>
          <w:sz w:val="24"/>
          <w:szCs w:val="24"/>
        </w:rPr>
        <w:t xml:space="preserve">size as well as </w:t>
      </w:r>
      <w:r w:rsidR="00E46895" w:rsidRPr="008269E4">
        <w:rPr>
          <w:rFonts w:ascii="Times New Roman" w:hAnsi="Times New Roman" w:cs="Times New Roman"/>
          <w:sz w:val="24"/>
          <w:szCs w:val="24"/>
        </w:rPr>
        <w:t>statistical significance</w:t>
      </w:r>
      <w:r w:rsidR="00C60006">
        <w:rPr>
          <w:rFonts w:ascii="Times New Roman" w:hAnsi="Times New Roman" w:cs="Times New Roman"/>
          <w:sz w:val="24"/>
          <w:szCs w:val="24"/>
        </w:rPr>
        <w:t>;</w:t>
      </w:r>
      <w:r w:rsidR="00E46895" w:rsidRPr="008269E4">
        <w:rPr>
          <w:rFonts w:ascii="Times New Roman" w:hAnsi="Times New Roman" w:cs="Times New Roman"/>
          <w:sz w:val="24"/>
          <w:szCs w:val="24"/>
        </w:rPr>
        <w:t xml:space="preserve"> (ii) being able to apply ordered </w:t>
      </w:r>
      <w:proofErr w:type="spellStart"/>
      <w:r w:rsidR="00E46895" w:rsidRPr="008269E4">
        <w:rPr>
          <w:rFonts w:ascii="Times New Roman" w:hAnsi="Times New Roman" w:cs="Times New Roman"/>
          <w:sz w:val="24"/>
          <w:szCs w:val="24"/>
        </w:rPr>
        <w:t>probit</w:t>
      </w:r>
      <w:proofErr w:type="spellEnd"/>
      <w:r w:rsidR="00E46895" w:rsidRPr="008269E4">
        <w:rPr>
          <w:rFonts w:ascii="Times New Roman" w:hAnsi="Times New Roman" w:cs="Times New Roman"/>
          <w:sz w:val="24"/>
          <w:szCs w:val="24"/>
        </w:rPr>
        <w:t xml:space="preserve"> model to ∆OWB</w:t>
      </w:r>
      <w:r w:rsidR="00C60006">
        <w:rPr>
          <w:rFonts w:ascii="Times New Roman" w:hAnsi="Times New Roman" w:cs="Times New Roman"/>
          <w:sz w:val="24"/>
          <w:szCs w:val="24"/>
        </w:rPr>
        <w:t>;</w:t>
      </w:r>
      <w:r w:rsidR="00E46895" w:rsidRPr="008269E4">
        <w:rPr>
          <w:rFonts w:ascii="Times New Roman" w:hAnsi="Times New Roman" w:cs="Times New Roman"/>
          <w:sz w:val="24"/>
          <w:szCs w:val="24"/>
        </w:rPr>
        <w:t xml:space="preserve"> and (iii) capturing the relative improvement or worsening of the objective well-being.</w:t>
      </w:r>
    </w:p>
    <w:p w14:paraId="1F5988F8" w14:textId="77777777" w:rsidR="0087714D" w:rsidRPr="008269E4" w:rsidRDefault="0087714D" w:rsidP="00E46895">
      <w:pPr>
        <w:jc w:val="both"/>
        <w:rPr>
          <w:rFonts w:ascii="Times New Roman" w:hAnsi="Times New Roman" w:cs="Times New Roman"/>
          <w:sz w:val="24"/>
          <w:szCs w:val="24"/>
        </w:rPr>
      </w:pPr>
      <w:r w:rsidRPr="008269E4">
        <w:rPr>
          <w:rFonts w:ascii="Times New Roman" w:hAnsi="Times New Roman" w:cs="Times New Roman"/>
          <w:sz w:val="24"/>
          <w:szCs w:val="24"/>
        </w:rPr>
        <w:t xml:space="preserve">Ranking of the changes in the growth rate of real household consumption per capita in 2005-12 is created by using the entire national sample for the purpose of making the frequency distributions for ∆SWB and ∆OWB identical. This captures the relative positions in the improvement in OWB at different geographical aggregations, such as at state, district, or village levels, though the share of each category varies reflecting the distribution of the </w:t>
      </w:r>
      <w:r w:rsidRPr="008269E4">
        <w:rPr>
          <w:rFonts w:ascii="Times New Roman" w:hAnsi="Times New Roman" w:cs="Times New Roman"/>
          <w:sz w:val="24"/>
          <w:szCs w:val="24"/>
        </w:rPr>
        <w:lastRenderedPageBreak/>
        <w:t xml:space="preserve">original variable. Though it is simple, our measure (∆OWB) can capture how per capita consumption has grown over the period compared with the consumption growth of other households in society. In our model, we have controlled the initial level of per capita consumption and so ∆OWB is conceptually similar to ∆SWB, while the only difference is whether the measure is based on the household head’s perception or the actual change in the economic status.  </w:t>
      </w:r>
    </w:p>
    <w:p w14:paraId="48E864BD" w14:textId="77777777" w:rsidR="00D069D6" w:rsidRPr="008269E4" w:rsidRDefault="0075438D" w:rsidP="001326B5">
      <w:pPr>
        <w:jc w:val="both"/>
        <w:rPr>
          <w:rFonts w:ascii="Times New Roman" w:hAnsi="Times New Roman" w:cs="Times New Roman"/>
          <w:i/>
          <w:sz w:val="24"/>
          <w:szCs w:val="24"/>
        </w:rPr>
      </w:pPr>
      <w:r w:rsidRPr="008269E4">
        <w:rPr>
          <w:rFonts w:ascii="Times New Roman" w:hAnsi="Times New Roman" w:cs="Times New Roman"/>
          <w:sz w:val="24"/>
          <w:szCs w:val="24"/>
        </w:rPr>
        <w:t>A</w:t>
      </w:r>
      <w:r w:rsidR="006459FD" w:rsidRPr="008269E4">
        <w:rPr>
          <w:rFonts w:ascii="Times New Roman" w:hAnsi="Times New Roman" w:cs="Times New Roman"/>
          <w:sz w:val="24"/>
          <w:szCs w:val="24"/>
        </w:rPr>
        <w:t>s noted</w:t>
      </w:r>
      <w:r w:rsidR="006567EE" w:rsidRPr="008269E4">
        <w:rPr>
          <w:rFonts w:ascii="Times New Roman" w:hAnsi="Times New Roman" w:cs="Times New Roman"/>
          <w:sz w:val="24"/>
          <w:szCs w:val="24"/>
        </w:rPr>
        <w:t xml:space="preserve"> e</w:t>
      </w:r>
      <w:r w:rsidR="006459FD" w:rsidRPr="008269E4">
        <w:rPr>
          <w:rFonts w:ascii="Times New Roman" w:hAnsi="Times New Roman" w:cs="Times New Roman"/>
          <w:sz w:val="24"/>
          <w:szCs w:val="24"/>
        </w:rPr>
        <w:t xml:space="preserve">arlier, </w:t>
      </w:r>
      <w:r w:rsidR="00536C61" w:rsidRPr="008269E4">
        <w:rPr>
          <w:rFonts w:ascii="Times New Roman" w:hAnsi="Times New Roman" w:cs="Times New Roman"/>
          <w:sz w:val="24"/>
          <w:szCs w:val="24"/>
        </w:rPr>
        <w:t xml:space="preserve">since </w:t>
      </w:r>
      <w:r w:rsidRPr="008269E4">
        <w:rPr>
          <w:rFonts w:ascii="Times New Roman" w:hAnsi="Times New Roman" w:cs="Times New Roman"/>
          <w:sz w:val="24"/>
          <w:szCs w:val="24"/>
        </w:rPr>
        <w:t xml:space="preserve">our measure of </w:t>
      </w:r>
      <w:r w:rsidR="006567EE" w:rsidRPr="008269E4">
        <w:rPr>
          <w:rFonts w:ascii="Times New Roman" w:hAnsi="Times New Roman" w:cs="Times New Roman"/>
          <w:sz w:val="24"/>
          <w:szCs w:val="24"/>
        </w:rPr>
        <w:t>∆</w:t>
      </w:r>
      <w:r w:rsidRPr="008269E4">
        <w:rPr>
          <w:rFonts w:ascii="Times New Roman" w:hAnsi="Times New Roman" w:cs="Times New Roman"/>
          <w:sz w:val="24"/>
          <w:szCs w:val="24"/>
        </w:rPr>
        <w:t>SWB</w:t>
      </w:r>
      <w:r w:rsidR="006459FD" w:rsidRPr="008269E4">
        <w:rPr>
          <w:rFonts w:ascii="Times New Roman" w:hAnsi="Times New Roman" w:cs="Times New Roman"/>
          <w:sz w:val="24"/>
          <w:szCs w:val="24"/>
        </w:rPr>
        <w:t xml:space="preserve"> is based on self-reports, it connotes a broader view</w:t>
      </w:r>
      <w:r w:rsidR="00323881">
        <w:rPr>
          <w:rFonts w:ascii="Times New Roman" w:hAnsi="Times New Roman" w:cs="Times New Roman"/>
          <w:sz w:val="24"/>
          <w:szCs w:val="24"/>
        </w:rPr>
        <w:t xml:space="preserve"> </w:t>
      </w:r>
      <w:r w:rsidR="006459FD" w:rsidRPr="008269E4">
        <w:rPr>
          <w:rFonts w:ascii="Times New Roman" w:hAnsi="Times New Roman" w:cs="Times New Roman"/>
          <w:sz w:val="24"/>
          <w:szCs w:val="24"/>
        </w:rPr>
        <w:t>influenced by several factors other than income, assets, and employment</w:t>
      </w:r>
      <w:r w:rsidRPr="008269E4">
        <w:rPr>
          <w:rFonts w:ascii="Times New Roman" w:hAnsi="Times New Roman" w:cs="Times New Roman"/>
          <w:sz w:val="24"/>
          <w:szCs w:val="24"/>
        </w:rPr>
        <w:t xml:space="preserve"> at the household level</w:t>
      </w:r>
      <w:r w:rsidR="00100270" w:rsidRPr="008269E4">
        <w:rPr>
          <w:rFonts w:ascii="Times New Roman" w:hAnsi="Times New Roman" w:cs="Times New Roman"/>
          <w:sz w:val="24"/>
          <w:szCs w:val="24"/>
        </w:rPr>
        <w:t xml:space="preserve">. Indeed, as corroborated by our econometric analyses, this measure of well-being is associated with age, caste, </w:t>
      </w:r>
      <w:r w:rsidR="00536C61" w:rsidRPr="008269E4">
        <w:rPr>
          <w:rFonts w:ascii="Times New Roman" w:hAnsi="Times New Roman" w:cs="Times New Roman"/>
          <w:sz w:val="24"/>
          <w:szCs w:val="24"/>
        </w:rPr>
        <w:t xml:space="preserve">religion, </w:t>
      </w:r>
      <w:r w:rsidR="00100270" w:rsidRPr="008269E4">
        <w:rPr>
          <w:rFonts w:ascii="Times New Roman" w:hAnsi="Times New Roman" w:cs="Times New Roman"/>
          <w:sz w:val="24"/>
          <w:szCs w:val="24"/>
        </w:rPr>
        <w:t xml:space="preserve">health, household size, </w:t>
      </w:r>
      <w:r w:rsidR="00536C61" w:rsidRPr="008269E4">
        <w:rPr>
          <w:rFonts w:ascii="Times New Roman" w:hAnsi="Times New Roman" w:cs="Times New Roman"/>
          <w:sz w:val="24"/>
          <w:szCs w:val="24"/>
        </w:rPr>
        <w:t xml:space="preserve">and </w:t>
      </w:r>
      <w:r w:rsidR="00100270" w:rsidRPr="008269E4">
        <w:rPr>
          <w:rFonts w:ascii="Times New Roman" w:hAnsi="Times New Roman" w:cs="Times New Roman"/>
          <w:sz w:val="24"/>
          <w:szCs w:val="24"/>
        </w:rPr>
        <w:t>schooling. While some of these factors may influence economic well-being through income and employment- a case in point being health status-</w:t>
      </w:r>
      <w:r w:rsidR="009605D6" w:rsidRPr="008269E4">
        <w:rPr>
          <w:rFonts w:ascii="Times New Roman" w:hAnsi="Times New Roman" w:cs="Times New Roman"/>
          <w:sz w:val="24"/>
          <w:szCs w:val="24"/>
        </w:rPr>
        <w:t xml:space="preserve">, </w:t>
      </w:r>
      <w:r w:rsidR="00BC348B" w:rsidRPr="008269E4">
        <w:rPr>
          <w:rFonts w:ascii="Times New Roman" w:hAnsi="Times New Roman" w:cs="Times New Roman"/>
          <w:sz w:val="24"/>
          <w:szCs w:val="24"/>
        </w:rPr>
        <w:t>arguably</w:t>
      </w:r>
      <w:r w:rsidR="00925E91">
        <w:rPr>
          <w:rFonts w:ascii="Times New Roman" w:hAnsi="Times New Roman" w:cs="Times New Roman"/>
          <w:sz w:val="24"/>
          <w:szCs w:val="24"/>
        </w:rPr>
        <w:t>,</w:t>
      </w:r>
      <w:r w:rsidR="00323881">
        <w:rPr>
          <w:rFonts w:ascii="Times New Roman" w:hAnsi="Times New Roman" w:cs="Times New Roman"/>
          <w:sz w:val="24"/>
          <w:szCs w:val="24"/>
        </w:rPr>
        <w:t xml:space="preserve"> </w:t>
      </w:r>
      <w:r w:rsidR="006D46EA" w:rsidRPr="008269E4">
        <w:rPr>
          <w:rFonts w:ascii="Times New Roman" w:hAnsi="Times New Roman" w:cs="Times New Roman"/>
          <w:sz w:val="24"/>
          <w:szCs w:val="24"/>
        </w:rPr>
        <w:t xml:space="preserve">these </w:t>
      </w:r>
      <w:r w:rsidR="00BC348B" w:rsidRPr="008269E4">
        <w:rPr>
          <w:rFonts w:ascii="Times New Roman" w:hAnsi="Times New Roman" w:cs="Times New Roman"/>
          <w:sz w:val="24"/>
          <w:szCs w:val="24"/>
        </w:rPr>
        <w:t>underlie perceptions</w:t>
      </w:r>
      <w:r w:rsidR="006D46EA" w:rsidRPr="008269E4">
        <w:rPr>
          <w:rFonts w:ascii="Times New Roman" w:hAnsi="Times New Roman" w:cs="Times New Roman"/>
          <w:sz w:val="24"/>
          <w:szCs w:val="24"/>
        </w:rPr>
        <w:t xml:space="preserve"> of economic well-being. </w:t>
      </w:r>
    </w:p>
    <w:p w14:paraId="166D8DEA" w14:textId="77777777" w:rsidR="00C02DC4" w:rsidRPr="008269E4" w:rsidRDefault="00E228EF" w:rsidP="001326B5">
      <w:pPr>
        <w:jc w:val="both"/>
        <w:rPr>
          <w:rFonts w:ascii="Times New Roman" w:hAnsi="Times New Roman" w:cs="Times New Roman"/>
          <w:sz w:val="24"/>
          <w:szCs w:val="24"/>
        </w:rPr>
      </w:pPr>
      <w:r w:rsidRPr="008269E4">
        <w:rPr>
          <w:rFonts w:ascii="Times New Roman" w:hAnsi="Times New Roman" w:cs="Times New Roman"/>
          <w:sz w:val="24"/>
          <w:szCs w:val="24"/>
        </w:rPr>
        <w:t>Detailed expenditure data are</w:t>
      </w:r>
      <w:r w:rsidR="00323881">
        <w:rPr>
          <w:rFonts w:ascii="Times New Roman" w:hAnsi="Times New Roman" w:cs="Times New Roman"/>
          <w:sz w:val="24"/>
          <w:szCs w:val="24"/>
        </w:rPr>
        <w:t xml:space="preserve"> </w:t>
      </w:r>
      <w:proofErr w:type="gramStart"/>
      <w:r w:rsidRPr="008269E4">
        <w:rPr>
          <w:rFonts w:ascii="Times New Roman" w:hAnsi="Times New Roman" w:cs="Times New Roman"/>
          <w:sz w:val="24"/>
          <w:szCs w:val="24"/>
        </w:rPr>
        <w:t>collected,</w:t>
      </w:r>
      <w:proofErr w:type="gramEnd"/>
      <w:r w:rsidR="00323881">
        <w:rPr>
          <w:rFonts w:ascii="Times New Roman" w:hAnsi="Times New Roman" w:cs="Times New Roman"/>
          <w:sz w:val="24"/>
          <w:szCs w:val="24"/>
        </w:rPr>
        <w:t xml:space="preserve"> </w:t>
      </w:r>
      <w:r w:rsidRPr="008269E4">
        <w:rPr>
          <w:rFonts w:ascii="Times New Roman" w:hAnsi="Times New Roman" w:cs="Times New Roman"/>
          <w:sz w:val="24"/>
          <w:szCs w:val="24"/>
        </w:rPr>
        <w:t xml:space="preserve">based on 52 questions about household consumption expenditure. </w:t>
      </w:r>
      <w:r w:rsidR="00330987" w:rsidRPr="008269E4">
        <w:rPr>
          <w:rFonts w:ascii="Times New Roman" w:hAnsi="Times New Roman" w:cs="Times New Roman"/>
          <w:sz w:val="24"/>
          <w:szCs w:val="24"/>
        </w:rPr>
        <w:t xml:space="preserve">The first </w:t>
      </w:r>
      <w:r w:rsidR="009605D6" w:rsidRPr="008269E4">
        <w:rPr>
          <w:rFonts w:ascii="Times New Roman" w:hAnsi="Times New Roman" w:cs="Times New Roman"/>
          <w:sz w:val="24"/>
          <w:szCs w:val="24"/>
        </w:rPr>
        <w:t>33</w:t>
      </w:r>
      <w:r w:rsidR="00330987" w:rsidRPr="008269E4">
        <w:rPr>
          <w:rFonts w:ascii="Times New Roman" w:hAnsi="Times New Roman" w:cs="Times New Roman"/>
          <w:sz w:val="24"/>
          <w:szCs w:val="24"/>
        </w:rPr>
        <w:t xml:space="preserve">, more frequently purchased items, use a 30-day recall while the remaining nineteen items use 365-day recall. </w:t>
      </w:r>
      <w:r w:rsidR="00180B93" w:rsidRPr="008269E4">
        <w:rPr>
          <w:rFonts w:ascii="Times New Roman" w:hAnsi="Times New Roman" w:cs="Times New Roman"/>
          <w:sz w:val="24"/>
          <w:szCs w:val="24"/>
        </w:rPr>
        <w:t xml:space="preserve">Asset data are collected on 33 dichotomous items that households possessed and housing quality. Based on </w:t>
      </w:r>
      <w:r w:rsidR="00925E91">
        <w:rPr>
          <w:rFonts w:ascii="Times New Roman" w:hAnsi="Times New Roman" w:cs="Times New Roman"/>
          <w:sz w:val="24"/>
          <w:szCs w:val="24"/>
        </w:rPr>
        <w:t xml:space="preserve">a </w:t>
      </w:r>
      <w:r w:rsidR="00180B93" w:rsidRPr="008269E4">
        <w:rPr>
          <w:rFonts w:ascii="Times New Roman" w:hAnsi="Times New Roman" w:cs="Times New Roman"/>
          <w:sz w:val="24"/>
          <w:szCs w:val="24"/>
        </w:rPr>
        <w:t xml:space="preserve">principal component analysis, we constructed asset quartiles. </w:t>
      </w:r>
      <w:r w:rsidR="005C1C6A" w:rsidRPr="008269E4">
        <w:rPr>
          <w:rFonts w:ascii="Times New Roman" w:hAnsi="Times New Roman" w:cs="Times New Roman"/>
          <w:sz w:val="24"/>
          <w:szCs w:val="24"/>
        </w:rPr>
        <w:t xml:space="preserve">Remittances are </w:t>
      </w:r>
      <w:r w:rsidR="00AE09C3" w:rsidRPr="008269E4">
        <w:rPr>
          <w:rFonts w:ascii="Times New Roman" w:hAnsi="Times New Roman" w:cs="Times New Roman"/>
          <w:sz w:val="24"/>
          <w:szCs w:val="24"/>
        </w:rPr>
        <w:t xml:space="preserve">also </w:t>
      </w:r>
      <w:r w:rsidR="005C1C6A" w:rsidRPr="008269E4">
        <w:rPr>
          <w:rFonts w:ascii="Times New Roman" w:hAnsi="Times New Roman" w:cs="Times New Roman"/>
          <w:sz w:val="24"/>
          <w:szCs w:val="24"/>
        </w:rPr>
        <w:t>closely linked to welfare through growth and poverty reduction (Imai et al. 2014). Hence</w:t>
      </w:r>
      <w:r w:rsidR="00AE09C3" w:rsidRPr="008269E4">
        <w:rPr>
          <w:rFonts w:ascii="Times New Roman" w:hAnsi="Times New Roman" w:cs="Times New Roman"/>
          <w:sz w:val="24"/>
          <w:szCs w:val="24"/>
        </w:rPr>
        <w:t>,</w:t>
      </w:r>
      <w:r w:rsidR="005C1C6A" w:rsidRPr="008269E4">
        <w:rPr>
          <w:rFonts w:ascii="Times New Roman" w:hAnsi="Times New Roman" w:cs="Times New Roman"/>
          <w:sz w:val="24"/>
          <w:szCs w:val="24"/>
        </w:rPr>
        <w:t xml:space="preserve"> remittances are used as an explanatory variable. IHDS collects remittance data through non-resident household members/relatives.</w:t>
      </w:r>
      <w:r w:rsidR="00323881">
        <w:rPr>
          <w:rFonts w:ascii="Times New Roman" w:hAnsi="Times New Roman" w:cs="Times New Roman"/>
          <w:sz w:val="24"/>
          <w:szCs w:val="24"/>
        </w:rPr>
        <w:t xml:space="preserve"> </w:t>
      </w:r>
      <w:r w:rsidR="0048315F" w:rsidRPr="008269E4">
        <w:rPr>
          <w:rFonts w:ascii="Times New Roman" w:hAnsi="Times New Roman" w:cs="Times New Roman"/>
          <w:sz w:val="24"/>
          <w:szCs w:val="24"/>
        </w:rPr>
        <w:t xml:space="preserve">Location of households is classified into rural and urban, and the latter </w:t>
      </w:r>
      <w:r w:rsidR="00C02DC4" w:rsidRPr="008269E4">
        <w:rPr>
          <w:rFonts w:ascii="Times New Roman" w:hAnsi="Times New Roman" w:cs="Times New Roman"/>
          <w:sz w:val="24"/>
          <w:szCs w:val="24"/>
        </w:rPr>
        <w:t xml:space="preserve">is </w:t>
      </w:r>
      <w:r w:rsidR="0048315F" w:rsidRPr="008269E4">
        <w:rPr>
          <w:rFonts w:ascii="Times New Roman" w:hAnsi="Times New Roman" w:cs="Times New Roman"/>
          <w:sz w:val="24"/>
          <w:szCs w:val="24"/>
        </w:rPr>
        <w:t xml:space="preserve">further disaggregated into </w:t>
      </w:r>
      <w:r w:rsidR="00AE09C3" w:rsidRPr="008269E4">
        <w:rPr>
          <w:rFonts w:ascii="Times New Roman" w:hAnsi="Times New Roman" w:cs="Times New Roman"/>
          <w:sz w:val="24"/>
          <w:szCs w:val="24"/>
        </w:rPr>
        <w:t>six</w:t>
      </w:r>
      <w:r w:rsidR="0048315F" w:rsidRPr="008269E4">
        <w:rPr>
          <w:rFonts w:ascii="Times New Roman" w:hAnsi="Times New Roman" w:cs="Times New Roman"/>
          <w:sz w:val="24"/>
          <w:szCs w:val="24"/>
        </w:rPr>
        <w:t xml:space="preserve"> metropolitan areas (Mumbai, Delhi,</w:t>
      </w:r>
      <w:r w:rsidR="00323881">
        <w:rPr>
          <w:rFonts w:ascii="Times New Roman" w:hAnsi="Times New Roman" w:cs="Times New Roman"/>
          <w:sz w:val="24"/>
          <w:szCs w:val="24"/>
        </w:rPr>
        <w:t xml:space="preserve"> </w:t>
      </w:r>
      <w:r w:rsidR="0048315F" w:rsidRPr="008269E4">
        <w:rPr>
          <w:rFonts w:ascii="Times New Roman" w:hAnsi="Times New Roman" w:cs="Times New Roman"/>
          <w:sz w:val="24"/>
          <w:szCs w:val="24"/>
        </w:rPr>
        <w:t xml:space="preserve">Kolkata, Chennai, Bangalore and Hyderabad) and slums. We use </w:t>
      </w:r>
      <w:r w:rsidR="00AE09C3" w:rsidRPr="008269E4">
        <w:rPr>
          <w:rFonts w:ascii="Times New Roman" w:hAnsi="Times New Roman" w:cs="Times New Roman"/>
          <w:sz w:val="24"/>
          <w:szCs w:val="24"/>
        </w:rPr>
        <w:t xml:space="preserve">the </w:t>
      </w:r>
      <w:r w:rsidR="0048315F" w:rsidRPr="008269E4">
        <w:rPr>
          <w:rFonts w:ascii="Times New Roman" w:hAnsi="Times New Roman" w:cs="Times New Roman"/>
          <w:sz w:val="24"/>
          <w:szCs w:val="24"/>
        </w:rPr>
        <w:t>rural</w:t>
      </w:r>
      <w:r w:rsidR="00DE5DE3" w:rsidRPr="008269E4">
        <w:rPr>
          <w:rFonts w:ascii="Times New Roman" w:hAnsi="Times New Roman" w:cs="Times New Roman"/>
          <w:sz w:val="24"/>
          <w:szCs w:val="24"/>
        </w:rPr>
        <w:t xml:space="preserve"> and </w:t>
      </w:r>
      <w:r w:rsidR="0048315F" w:rsidRPr="008269E4">
        <w:rPr>
          <w:rFonts w:ascii="Times New Roman" w:hAnsi="Times New Roman" w:cs="Times New Roman"/>
          <w:sz w:val="24"/>
          <w:szCs w:val="24"/>
        </w:rPr>
        <w:t>urban</w:t>
      </w:r>
      <w:r w:rsidR="00DE5DE3" w:rsidRPr="008269E4">
        <w:rPr>
          <w:rFonts w:ascii="Times New Roman" w:hAnsi="Times New Roman" w:cs="Times New Roman"/>
          <w:sz w:val="24"/>
          <w:szCs w:val="24"/>
        </w:rPr>
        <w:t xml:space="preserve"> classification</w:t>
      </w:r>
      <w:r w:rsidR="00453425" w:rsidRPr="008269E4">
        <w:rPr>
          <w:rFonts w:ascii="Times New Roman" w:hAnsi="Times New Roman" w:cs="Times New Roman"/>
          <w:sz w:val="24"/>
          <w:szCs w:val="24"/>
        </w:rPr>
        <w:t xml:space="preserve"> in </w:t>
      </w:r>
      <w:r w:rsidR="00C02DC4" w:rsidRPr="008269E4">
        <w:rPr>
          <w:rFonts w:ascii="Times New Roman" w:hAnsi="Times New Roman" w:cs="Times New Roman"/>
          <w:sz w:val="24"/>
          <w:szCs w:val="24"/>
        </w:rPr>
        <w:t xml:space="preserve">our </w:t>
      </w:r>
      <w:r w:rsidR="00453425" w:rsidRPr="008269E4">
        <w:rPr>
          <w:rFonts w:ascii="Times New Roman" w:hAnsi="Times New Roman" w:cs="Times New Roman"/>
          <w:sz w:val="24"/>
          <w:szCs w:val="24"/>
        </w:rPr>
        <w:t>specification</w:t>
      </w:r>
      <w:r w:rsidR="0048315F" w:rsidRPr="008269E4">
        <w:rPr>
          <w:rFonts w:ascii="Times New Roman" w:hAnsi="Times New Roman" w:cs="Times New Roman"/>
          <w:sz w:val="24"/>
          <w:szCs w:val="24"/>
        </w:rPr>
        <w:t xml:space="preserve">. </w:t>
      </w:r>
      <w:r w:rsidR="000F418F" w:rsidRPr="008269E4">
        <w:rPr>
          <w:rFonts w:ascii="Times New Roman" w:hAnsi="Times New Roman" w:cs="Times New Roman"/>
          <w:sz w:val="24"/>
          <w:szCs w:val="24"/>
        </w:rPr>
        <w:t xml:space="preserve">Data are reported into </w:t>
      </w:r>
      <w:r w:rsidR="00453425" w:rsidRPr="008269E4">
        <w:rPr>
          <w:rFonts w:ascii="Times New Roman" w:hAnsi="Times New Roman" w:cs="Times New Roman"/>
          <w:sz w:val="24"/>
          <w:szCs w:val="24"/>
        </w:rPr>
        <w:t>five</w:t>
      </w:r>
      <w:r w:rsidR="000F418F" w:rsidRPr="008269E4">
        <w:rPr>
          <w:rFonts w:ascii="Times New Roman" w:hAnsi="Times New Roman" w:cs="Times New Roman"/>
          <w:sz w:val="24"/>
          <w:szCs w:val="24"/>
        </w:rPr>
        <w:t xml:space="preserve"> caste categories: Brahmins, </w:t>
      </w:r>
      <w:r w:rsidR="00453425" w:rsidRPr="008269E4">
        <w:rPr>
          <w:rFonts w:ascii="Times New Roman" w:hAnsi="Times New Roman" w:cs="Times New Roman"/>
          <w:sz w:val="24"/>
          <w:szCs w:val="24"/>
        </w:rPr>
        <w:t xml:space="preserve">High Castes, </w:t>
      </w:r>
      <w:r w:rsidR="008B61E3" w:rsidRPr="008269E4">
        <w:rPr>
          <w:rFonts w:ascii="Times New Roman" w:hAnsi="Times New Roman" w:cs="Times New Roman"/>
          <w:sz w:val="24"/>
          <w:szCs w:val="24"/>
        </w:rPr>
        <w:t xml:space="preserve">Other Backward Classes (OBCs), </w:t>
      </w:r>
      <w:r w:rsidR="000F418F" w:rsidRPr="008269E4">
        <w:rPr>
          <w:rFonts w:ascii="Times New Roman" w:hAnsi="Times New Roman" w:cs="Times New Roman"/>
          <w:sz w:val="24"/>
          <w:szCs w:val="24"/>
        </w:rPr>
        <w:t>Scheduled Castes (SCs</w:t>
      </w:r>
      <w:r w:rsidR="00453425" w:rsidRPr="008269E4">
        <w:rPr>
          <w:rFonts w:ascii="Times New Roman" w:hAnsi="Times New Roman" w:cs="Times New Roman"/>
          <w:sz w:val="24"/>
          <w:szCs w:val="24"/>
        </w:rPr>
        <w:t>/</w:t>
      </w:r>
      <w:r w:rsidR="008B61E3" w:rsidRPr="008269E4">
        <w:rPr>
          <w:rFonts w:ascii="Times New Roman" w:hAnsi="Times New Roman" w:cs="Times New Roman"/>
          <w:i/>
          <w:sz w:val="24"/>
          <w:szCs w:val="24"/>
        </w:rPr>
        <w:t>Dalits</w:t>
      </w:r>
      <w:r w:rsidR="000F418F" w:rsidRPr="008269E4">
        <w:rPr>
          <w:rFonts w:ascii="Times New Roman" w:hAnsi="Times New Roman" w:cs="Times New Roman"/>
          <w:sz w:val="24"/>
          <w:szCs w:val="24"/>
        </w:rPr>
        <w:t xml:space="preserve">), </w:t>
      </w:r>
      <w:r w:rsidR="008B61E3" w:rsidRPr="008269E4">
        <w:rPr>
          <w:rFonts w:ascii="Times New Roman" w:hAnsi="Times New Roman" w:cs="Times New Roman"/>
          <w:sz w:val="24"/>
          <w:szCs w:val="24"/>
        </w:rPr>
        <w:t>Scheduled Tribes (STs</w:t>
      </w:r>
      <w:r w:rsidR="00453425" w:rsidRPr="008269E4">
        <w:rPr>
          <w:rFonts w:ascii="Times New Roman" w:hAnsi="Times New Roman" w:cs="Times New Roman"/>
          <w:sz w:val="24"/>
          <w:szCs w:val="24"/>
        </w:rPr>
        <w:t>/</w:t>
      </w:r>
      <w:proofErr w:type="spellStart"/>
      <w:r w:rsidR="008B61E3" w:rsidRPr="008269E4">
        <w:rPr>
          <w:rFonts w:ascii="Times New Roman" w:hAnsi="Times New Roman" w:cs="Times New Roman"/>
          <w:i/>
          <w:sz w:val="24"/>
          <w:szCs w:val="24"/>
        </w:rPr>
        <w:t>Adivasis</w:t>
      </w:r>
      <w:proofErr w:type="spellEnd"/>
      <w:r w:rsidR="008B61E3" w:rsidRPr="008269E4">
        <w:rPr>
          <w:rFonts w:ascii="Times New Roman" w:hAnsi="Times New Roman" w:cs="Times New Roman"/>
          <w:sz w:val="24"/>
          <w:szCs w:val="24"/>
        </w:rPr>
        <w:t xml:space="preserve">) and a residual “Other” category. </w:t>
      </w:r>
    </w:p>
    <w:p w14:paraId="03EA0907" w14:textId="77777777" w:rsidR="00391AB9" w:rsidRPr="008269E4" w:rsidRDefault="001326B5" w:rsidP="001326B5">
      <w:pPr>
        <w:jc w:val="both"/>
        <w:rPr>
          <w:rFonts w:ascii="Times New Roman" w:hAnsi="Times New Roman" w:cs="Times New Roman"/>
          <w:sz w:val="24"/>
          <w:szCs w:val="24"/>
        </w:rPr>
      </w:pPr>
      <w:r w:rsidRPr="008269E4">
        <w:rPr>
          <w:rFonts w:ascii="Times New Roman" w:hAnsi="Times New Roman" w:cs="Times New Roman"/>
          <w:sz w:val="24"/>
          <w:szCs w:val="24"/>
        </w:rPr>
        <w:t xml:space="preserve">IHDS </w:t>
      </w:r>
      <w:r w:rsidR="00C00E73" w:rsidRPr="008269E4">
        <w:rPr>
          <w:rFonts w:ascii="Times New Roman" w:hAnsi="Times New Roman" w:cs="Times New Roman"/>
          <w:sz w:val="24"/>
          <w:szCs w:val="24"/>
        </w:rPr>
        <w:t>obtains</w:t>
      </w:r>
      <w:r w:rsidRPr="008269E4">
        <w:rPr>
          <w:rFonts w:ascii="Times New Roman" w:hAnsi="Times New Roman" w:cs="Times New Roman"/>
          <w:sz w:val="24"/>
          <w:szCs w:val="24"/>
        </w:rPr>
        <w:t xml:space="preserve"> labour force participation data as part of its detailed income question. Work participation include</w:t>
      </w:r>
      <w:r w:rsidR="00C00E73" w:rsidRPr="008269E4">
        <w:rPr>
          <w:rFonts w:ascii="Times New Roman" w:hAnsi="Times New Roman" w:cs="Times New Roman"/>
          <w:sz w:val="24"/>
          <w:szCs w:val="24"/>
        </w:rPr>
        <w:t>s</w:t>
      </w:r>
      <w:r w:rsidRPr="008269E4">
        <w:rPr>
          <w:rFonts w:ascii="Times New Roman" w:hAnsi="Times New Roman" w:cs="Times New Roman"/>
          <w:sz w:val="24"/>
          <w:szCs w:val="24"/>
        </w:rPr>
        <w:t xml:space="preserve"> farm, business, and wages/salary. Within each income section, IHDS ask</w:t>
      </w:r>
      <w:r w:rsidR="00C00E73" w:rsidRPr="008269E4">
        <w:rPr>
          <w:rFonts w:ascii="Times New Roman" w:hAnsi="Times New Roman" w:cs="Times New Roman"/>
          <w:sz w:val="24"/>
          <w:szCs w:val="24"/>
        </w:rPr>
        <w:t>s</w:t>
      </w:r>
      <w:r w:rsidRPr="008269E4">
        <w:rPr>
          <w:rFonts w:ascii="Times New Roman" w:hAnsi="Times New Roman" w:cs="Times New Roman"/>
          <w:sz w:val="24"/>
          <w:szCs w:val="24"/>
        </w:rPr>
        <w:t xml:space="preserve"> who in the household participate</w:t>
      </w:r>
      <w:r w:rsidR="00925E91">
        <w:rPr>
          <w:rFonts w:ascii="Times New Roman" w:hAnsi="Times New Roman" w:cs="Times New Roman"/>
          <w:sz w:val="24"/>
          <w:szCs w:val="24"/>
        </w:rPr>
        <w:t>s</w:t>
      </w:r>
      <w:r w:rsidRPr="008269E4">
        <w:rPr>
          <w:rFonts w:ascii="Times New Roman" w:hAnsi="Times New Roman" w:cs="Times New Roman"/>
          <w:sz w:val="24"/>
          <w:szCs w:val="24"/>
        </w:rPr>
        <w:t xml:space="preserve"> in this activity and what their level of participation</w:t>
      </w:r>
      <w:r w:rsidR="00B279D9" w:rsidRPr="008269E4">
        <w:rPr>
          <w:rFonts w:ascii="Times New Roman" w:hAnsi="Times New Roman" w:cs="Times New Roman"/>
          <w:sz w:val="24"/>
          <w:szCs w:val="24"/>
        </w:rPr>
        <w:t xml:space="preserve"> is</w:t>
      </w:r>
      <w:r w:rsidRPr="008269E4">
        <w:rPr>
          <w:rFonts w:ascii="Times New Roman" w:hAnsi="Times New Roman" w:cs="Times New Roman"/>
          <w:sz w:val="24"/>
          <w:szCs w:val="24"/>
        </w:rPr>
        <w:t>.</w:t>
      </w:r>
      <w:r w:rsidR="00323881">
        <w:rPr>
          <w:rFonts w:ascii="Times New Roman" w:hAnsi="Times New Roman" w:cs="Times New Roman"/>
          <w:sz w:val="24"/>
          <w:szCs w:val="24"/>
        </w:rPr>
        <w:t xml:space="preserve"> </w:t>
      </w:r>
      <w:r w:rsidR="00C00E73" w:rsidRPr="008269E4">
        <w:rPr>
          <w:rFonts w:ascii="Times New Roman" w:hAnsi="Times New Roman" w:cs="Times New Roman"/>
          <w:sz w:val="24"/>
          <w:szCs w:val="24"/>
        </w:rPr>
        <w:t xml:space="preserve">Detailed </w:t>
      </w:r>
      <w:r w:rsidR="00C02DC4" w:rsidRPr="008269E4">
        <w:rPr>
          <w:rFonts w:ascii="Times New Roman" w:hAnsi="Times New Roman" w:cs="Times New Roman"/>
          <w:sz w:val="24"/>
          <w:szCs w:val="24"/>
        </w:rPr>
        <w:t>d</w:t>
      </w:r>
      <w:r w:rsidR="00C00E73" w:rsidRPr="008269E4">
        <w:rPr>
          <w:rFonts w:ascii="Times New Roman" w:hAnsi="Times New Roman" w:cs="Times New Roman"/>
          <w:sz w:val="24"/>
          <w:szCs w:val="24"/>
        </w:rPr>
        <w:t>emographic data are collected including gender, age and marital status, and household size and its composition.</w:t>
      </w:r>
      <w:r w:rsidR="00B279D9" w:rsidRPr="008269E4">
        <w:rPr>
          <w:rFonts w:ascii="Times New Roman" w:hAnsi="Times New Roman" w:cs="Times New Roman"/>
          <w:sz w:val="24"/>
          <w:szCs w:val="24"/>
        </w:rPr>
        <w:t xml:space="preserve"> The survey also</w:t>
      </w:r>
      <w:r w:rsidR="00391AB9" w:rsidRPr="008269E4">
        <w:rPr>
          <w:rFonts w:ascii="Times New Roman" w:hAnsi="Times New Roman" w:cs="Times New Roman"/>
          <w:sz w:val="24"/>
          <w:szCs w:val="24"/>
        </w:rPr>
        <w:t xml:space="preserve"> collects detailed </w:t>
      </w:r>
      <w:r w:rsidR="00925E91">
        <w:rPr>
          <w:rFonts w:ascii="Times New Roman" w:hAnsi="Times New Roman" w:cs="Times New Roman"/>
          <w:sz w:val="24"/>
          <w:szCs w:val="24"/>
        </w:rPr>
        <w:t>schooling</w:t>
      </w:r>
      <w:r w:rsidR="00391AB9" w:rsidRPr="008269E4">
        <w:rPr>
          <w:rFonts w:ascii="Times New Roman" w:hAnsi="Times New Roman" w:cs="Times New Roman"/>
          <w:sz w:val="24"/>
          <w:szCs w:val="24"/>
        </w:rPr>
        <w:t xml:space="preserve"> data. At the household level, the highest school attainment of adult women and adult men </w:t>
      </w:r>
      <w:r w:rsidR="0048315F" w:rsidRPr="008269E4">
        <w:rPr>
          <w:rFonts w:ascii="Times New Roman" w:hAnsi="Times New Roman" w:cs="Times New Roman"/>
          <w:sz w:val="24"/>
          <w:szCs w:val="24"/>
        </w:rPr>
        <w:t xml:space="preserve">are taken </w:t>
      </w:r>
      <w:r w:rsidR="00391AB9" w:rsidRPr="008269E4">
        <w:rPr>
          <w:rFonts w:ascii="Times New Roman" w:hAnsi="Times New Roman" w:cs="Times New Roman"/>
          <w:sz w:val="24"/>
          <w:szCs w:val="24"/>
        </w:rPr>
        <w:t>from individual education records</w:t>
      </w:r>
      <w:r w:rsidR="005172D2" w:rsidRPr="008269E4">
        <w:rPr>
          <w:rFonts w:ascii="Times New Roman" w:hAnsi="Times New Roman" w:cs="Times New Roman"/>
          <w:sz w:val="24"/>
          <w:szCs w:val="24"/>
        </w:rPr>
        <w:t xml:space="preserve">. Adults are defined as individuals 21 years or older. </w:t>
      </w:r>
      <w:r w:rsidR="0048315F" w:rsidRPr="008269E4">
        <w:rPr>
          <w:rFonts w:ascii="Times New Roman" w:hAnsi="Times New Roman" w:cs="Times New Roman"/>
          <w:sz w:val="24"/>
          <w:szCs w:val="24"/>
        </w:rPr>
        <w:t>Based on n</w:t>
      </w:r>
      <w:r w:rsidR="005172D2" w:rsidRPr="008269E4">
        <w:rPr>
          <w:rFonts w:ascii="Times New Roman" w:hAnsi="Times New Roman" w:cs="Times New Roman"/>
          <w:sz w:val="24"/>
          <w:szCs w:val="24"/>
        </w:rPr>
        <w:t xml:space="preserve">umber of years of </w:t>
      </w:r>
      <w:r w:rsidR="00961EB2" w:rsidRPr="008269E4">
        <w:rPr>
          <w:rFonts w:ascii="Times New Roman" w:hAnsi="Times New Roman" w:cs="Times New Roman"/>
          <w:sz w:val="24"/>
          <w:szCs w:val="24"/>
        </w:rPr>
        <w:t>schooling</w:t>
      </w:r>
      <w:r w:rsidR="0048315F" w:rsidRPr="008269E4">
        <w:rPr>
          <w:rFonts w:ascii="Times New Roman" w:hAnsi="Times New Roman" w:cs="Times New Roman"/>
          <w:sz w:val="24"/>
          <w:szCs w:val="24"/>
        </w:rPr>
        <w:t xml:space="preserve">, </w:t>
      </w:r>
      <w:r w:rsidR="00893A9F" w:rsidRPr="008269E4">
        <w:rPr>
          <w:rFonts w:ascii="Times New Roman" w:hAnsi="Times New Roman" w:cs="Times New Roman"/>
          <w:sz w:val="24"/>
          <w:szCs w:val="24"/>
        </w:rPr>
        <w:t>individuals</w:t>
      </w:r>
      <w:r w:rsidR="005172D2" w:rsidRPr="008269E4">
        <w:rPr>
          <w:rFonts w:ascii="Times New Roman" w:hAnsi="Times New Roman" w:cs="Times New Roman"/>
          <w:sz w:val="24"/>
          <w:szCs w:val="24"/>
        </w:rPr>
        <w:t xml:space="preserve"> are classified into illiterates, those with primary </w:t>
      </w:r>
      <w:r w:rsidR="00C02DC4" w:rsidRPr="008269E4">
        <w:rPr>
          <w:rFonts w:ascii="Times New Roman" w:hAnsi="Times New Roman" w:cs="Times New Roman"/>
          <w:sz w:val="24"/>
          <w:szCs w:val="24"/>
        </w:rPr>
        <w:t>schooling</w:t>
      </w:r>
      <w:r w:rsidR="005172D2" w:rsidRPr="008269E4">
        <w:rPr>
          <w:rFonts w:ascii="Times New Roman" w:hAnsi="Times New Roman" w:cs="Times New Roman"/>
          <w:sz w:val="24"/>
          <w:szCs w:val="24"/>
        </w:rPr>
        <w:t xml:space="preserve">, middle level </w:t>
      </w:r>
      <w:r w:rsidR="00C02DC4" w:rsidRPr="008269E4">
        <w:rPr>
          <w:rFonts w:ascii="Times New Roman" w:hAnsi="Times New Roman" w:cs="Times New Roman"/>
          <w:sz w:val="24"/>
          <w:szCs w:val="24"/>
        </w:rPr>
        <w:t>schooling</w:t>
      </w:r>
      <w:r w:rsidR="005172D2" w:rsidRPr="008269E4">
        <w:rPr>
          <w:rFonts w:ascii="Times New Roman" w:hAnsi="Times New Roman" w:cs="Times New Roman"/>
          <w:sz w:val="24"/>
          <w:szCs w:val="24"/>
        </w:rPr>
        <w:t>, matriculates and graduates</w:t>
      </w:r>
      <w:r w:rsidR="00453425" w:rsidRPr="008269E4">
        <w:rPr>
          <w:rFonts w:ascii="Times New Roman" w:hAnsi="Times New Roman" w:cs="Times New Roman"/>
          <w:sz w:val="24"/>
          <w:szCs w:val="24"/>
        </w:rPr>
        <w:t>, based on their years of schooling.</w:t>
      </w:r>
    </w:p>
    <w:p w14:paraId="4468FBCD" w14:textId="77777777" w:rsidR="001326B5" w:rsidRPr="008269E4" w:rsidRDefault="00B279D9" w:rsidP="001326B5">
      <w:pPr>
        <w:jc w:val="both"/>
        <w:rPr>
          <w:rFonts w:ascii="Times New Roman" w:hAnsi="Times New Roman" w:cs="Times New Roman"/>
          <w:sz w:val="24"/>
          <w:szCs w:val="24"/>
        </w:rPr>
      </w:pPr>
      <w:r w:rsidRPr="008269E4">
        <w:rPr>
          <w:rFonts w:ascii="Times New Roman" w:hAnsi="Times New Roman" w:cs="Times New Roman"/>
          <w:sz w:val="24"/>
          <w:szCs w:val="24"/>
        </w:rPr>
        <w:t>We have controlled for whether a household has any member suffering from t</w:t>
      </w:r>
      <w:r w:rsidR="001326B5" w:rsidRPr="008269E4">
        <w:rPr>
          <w:rFonts w:ascii="Times New Roman" w:hAnsi="Times New Roman" w:cs="Times New Roman"/>
          <w:sz w:val="24"/>
          <w:szCs w:val="24"/>
        </w:rPr>
        <w:t xml:space="preserve">he NCDs </w:t>
      </w:r>
      <w:r w:rsidRPr="008269E4">
        <w:rPr>
          <w:rFonts w:ascii="Times New Roman" w:hAnsi="Times New Roman" w:cs="Times New Roman"/>
          <w:sz w:val="24"/>
          <w:szCs w:val="24"/>
        </w:rPr>
        <w:t xml:space="preserve">which </w:t>
      </w:r>
      <w:r w:rsidR="001326B5" w:rsidRPr="008269E4">
        <w:rPr>
          <w:rFonts w:ascii="Times New Roman" w:hAnsi="Times New Roman" w:cs="Times New Roman"/>
          <w:sz w:val="24"/>
          <w:szCs w:val="24"/>
        </w:rPr>
        <w:t xml:space="preserve">include cataracts, high blood pressure, heart disease, type 2 diabetes, leprosy, cancer, asthma, epilepsy, and mental disorders. The number of cases of mental disorder and cancer are </w:t>
      </w:r>
      <w:r w:rsidR="00446DB3" w:rsidRPr="008269E4">
        <w:rPr>
          <w:rFonts w:ascii="Times New Roman" w:hAnsi="Times New Roman" w:cs="Times New Roman"/>
          <w:sz w:val="24"/>
          <w:szCs w:val="24"/>
        </w:rPr>
        <w:t>too</w:t>
      </w:r>
      <w:r w:rsidR="00323881">
        <w:rPr>
          <w:rFonts w:ascii="Times New Roman" w:hAnsi="Times New Roman" w:cs="Times New Roman"/>
          <w:sz w:val="24"/>
          <w:szCs w:val="24"/>
        </w:rPr>
        <w:t xml:space="preserve"> </w:t>
      </w:r>
      <w:r w:rsidR="001326B5" w:rsidRPr="008269E4">
        <w:rPr>
          <w:rFonts w:ascii="Times New Roman" w:hAnsi="Times New Roman" w:cs="Times New Roman"/>
          <w:sz w:val="24"/>
          <w:szCs w:val="24"/>
        </w:rPr>
        <w:t xml:space="preserve">small for detailed analysis. Disabilities in ADLs show the dependence of an individual on others, with need for assistance in daily life. The (reported) disabilities include (1) difficulty </w:t>
      </w:r>
      <w:r w:rsidR="001326B5" w:rsidRPr="008269E4">
        <w:rPr>
          <w:rFonts w:ascii="Times New Roman" w:hAnsi="Times New Roman" w:cs="Times New Roman"/>
          <w:sz w:val="24"/>
          <w:szCs w:val="24"/>
        </w:rPr>
        <w:lastRenderedPageBreak/>
        <w:t>walking; (2) difficulty using toilet facilities; (3) difficulty dressing; (4) difficulty with hearing; (5) difficulty speaking, (6) long sightedness/far sightedness; and (7) short sightedness.</w:t>
      </w:r>
    </w:p>
    <w:p w14:paraId="0A90D266" w14:textId="77777777" w:rsidR="00AE71B5" w:rsidRPr="008269E4" w:rsidRDefault="004B2763" w:rsidP="001326B5">
      <w:pPr>
        <w:jc w:val="both"/>
        <w:rPr>
          <w:rFonts w:ascii="Times New Roman" w:hAnsi="Times New Roman" w:cs="Times New Roman"/>
          <w:sz w:val="24"/>
          <w:szCs w:val="24"/>
        </w:rPr>
      </w:pPr>
      <w:r w:rsidRPr="008269E4">
        <w:rPr>
          <w:rFonts w:ascii="Times New Roman" w:hAnsi="Times New Roman" w:cs="Times New Roman"/>
          <w:sz w:val="24"/>
          <w:szCs w:val="24"/>
        </w:rPr>
        <w:t xml:space="preserve">Local conflicts </w:t>
      </w:r>
      <w:r w:rsidR="00C93391" w:rsidRPr="008269E4">
        <w:rPr>
          <w:rFonts w:ascii="Times New Roman" w:hAnsi="Times New Roman" w:cs="Times New Roman"/>
          <w:sz w:val="24"/>
          <w:szCs w:val="24"/>
        </w:rPr>
        <w:t xml:space="preserve">- </w:t>
      </w:r>
      <w:r w:rsidRPr="008269E4">
        <w:rPr>
          <w:rFonts w:ascii="Times New Roman" w:hAnsi="Times New Roman" w:cs="Times New Roman"/>
          <w:sz w:val="24"/>
          <w:szCs w:val="24"/>
        </w:rPr>
        <w:t xml:space="preserve">both minor and major- result in loss of property, livelihoods, injuries and not infrequently human lives. </w:t>
      </w:r>
      <w:r w:rsidR="001D453E" w:rsidRPr="008269E4">
        <w:rPr>
          <w:rFonts w:ascii="Times New Roman" w:hAnsi="Times New Roman" w:cs="Times New Roman"/>
          <w:sz w:val="24"/>
          <w:szCs w:val="24"/>
        </w:rPr>
        <w:t>L</w:t>
      </w:r>
      <w:r w:rsidR="00AE71B5" w:rsidRPr="008269E4">
        <w:rPr>
          <w:rFonts w:ascii="Times New Roman" w:hAnsi="Times New Roman" w:cs="Times New Roman"/>
          <w:sz w:val="24"/>
          <w:szCs w:val="24"/>
        </w:rPr>
        <w:t xml:space="preserve">ocal crime is </w:t>
      </w:r>
      <w:r w:rsidR="003B4A8A" w:rsidRPr="008269E4">
        <w:rPr>
          <w:rFonts w:ascii="Times New Roman" w:hAnsi="Times New Roman" w:cs="Times New Roman"/>
          <w:sz w:val="24"/>
          <w:szCs w:val="24"/>
        </w:rPr>
        <w:t>limited to</w:t>
      </w:r>
      <w:r w:rsidR="00AE71B5" w:rsidRPr="008269E4">
        <w:rPr>
          <w:rFonts w:ascii="Times New Roman" w:hAnsi="Times New Roman" w:cs="Times New Roman"/>
          <w:sz w:val="24"/>
          <w:szCs w:val="24"/>
        </w:rPr>
        <w:t xml:space="preserve"> whether a household reported a</w:t>
      </w:r>
      <w:r w:rsidR="005C1669" w:rsidRPr="008269E4">
        <w:rPr>
          <w:rFonts w:ascii="Times New Roman" w:hAnsi="Times New Roman" w:cs="Times New Roman"/>
          <w:sz w:val="24"/>
          <w:szCs w:val="24"/>
        </w:rPr>
        <w:t xml:space="preserve"> theft or whether something was stolen. </w:t>
      </w:r>
      <w:r w:rsidR="005A01C5" w:rsidRPr="008269E4">
        <w:rPr>
          <w:rFonts w:ascii="Times New Roman" w:hAnsi="Times New Roman" w:cs="Times New Roman"/>
          <w:sz w:val="24"/>
          <w:szCs w:val="24"/>
        </w:rPr>
        <w:t>However, the value of items stolen is not recorded.</w:t>
      </w:r>
    </w:p>
    <w:p w14:paraId="70E44E3F" w14:textId="77777777" w:rsidR="006070EA" w:rsidRPr="008269E4" w:rsidRDefault="00C93391" w:rsidP="001326B5">
      <w:pPr>
        <w:jc w:val="both"/>
        <w:rPr>
          <w:rFonts w:ascii="Times New Roman" w:hAnsi="Times New Roman" w:cs="Times New Roman"/>
          <w:sz w:val="24"/>
          <w:szCs w:val="24"/>
        </w:rPr>
      </w:pPr>
      <w:r w:rsidRPr="008269E4">
        <w:rPr>
          <w:rFonts w:ascii="Times New Roman" w:hAnsi="Times New Roman" w:cs="Times New Roman"/>
          <w:sz w:val="24"/>
          <w:szCs w:val="24"/>
        </w:rPr>
        <w:t>Net state domestic product (</w:t>
      </w:r>
      <w:r w:rsidR="00CB50E6" w:rsidRPr="008269E4">
        <w:rPr>
          <w:rFonts w:ascii="Times New Roman" w:hAnsi="Times New Roman" w:cs="Times New Roman"/>
          <w:sz w:val="24"/>
          <w:szCs w:val="24"/>
        </w:rPr>
        <w:t>N</w:t>
      </w:r>
      <w:r w:rsidR="006070EA" w:rsidRPr="008269E4">
        <w:rPr>
          <w:rFonts w:ascii="Times New Roman" w:hAnsi="Times New Roman" w:cs="Times New Roman"/>
          <w:sz w:val="24"/>
          <w:szCs w:val="24"/>
        </w:rPr>
        <w:t>SDP</w:t>
      </w:r>
      <w:r w:rsidRPr="008269E4">
        <w:rPr>
          <w:rFonts w:ascii="Times New Roman" w:hAnsi="Times New Roman" w:cs="Times New Roman"/>
          <w:sz w:val="24"/>
          <w:szCs w:val="24"/>
        </w:rPr>
        <w:t>)</w:t>
      </w:r>
      <w:r w:rsidR="006070EA" w:rsidRPr="008269E4">
        <w:rPr>
          <w:rFonts w:ascii="Times New Roman" w:hAnsi="Times New Roman" w:cs="Times New Roman"/>
          <w:sz w:val="24"/>
          <w:szCs w:val="24"/>
        </w:rPr>
        <w:t xml:space="preserve"> per capita at constant prices is obtained from state economic surveys.</w:t>
      </w:r>
      <w:r w:rsidR="00323881">
        <w:rPr>
          <w:rFonts w:ascii="Times New Roman" w:hAnsi="Times New Roman" w:cs="Times New Roman"/>
          <w:sz w:val="24"/>
          <w:szCs w:val="24"/>
        </w:rPr>
        <w:t xml:space="preserve"> </w:t>
      </w:r>
      <w:r w:rsidR="006070EA" w:rsidRPr="008269E4">
        <w:rPr>
          <w:rFonts w:ascii="Times New Roman" w:hAnsi="Times New Roman" w:cs="Times New Roman"/>
          <w:sz w:val="24"/>
          <w:szCs w:val="24"/>
        </w:rPr>
        <w:t>As noted in the literature survey</w:t>
      </w:r>
      <w:r w:rsidR="004D372C">
        <w:rPr>
          <w:rFonts w:ascii="Times New Roman" w:hAnsi="Times New Roman" w:cs="Times New Roman"/>
          <w:sz w:val="24"/>
          <w:szCs w:val="24"/>
        </w:rPr>
        <w:t>,</w:t>
      </w:r>
      <w:r w:rsidR="006070EA" w:rsidRPr="008269E4">
        <w:rPr>
          <w:rFonts w:ascii="Times New Roman" w:hAnsi="Times New Roman" w:cs="Times New Roman"/>
          <w:sz w:val="24"/>
          <w:szCs w:val="24"/>
        </w:rPr>
        <w:t xml:space="preserve"> the evidence on the role of income/wealth inequality is mixed. We have experimented with the Piketty measure of income inequality (Piketty, 201</w:t>
      </w:r>
      <w:r w:rsidR="00B25832" w:rsidRPr="008269E4">
        <w:rPr>
          <w:rFonts w:ascii="Times New Roman" w:hAnsi="Times New Roman" w:cs="Times New Roman"/>
          <w:sz w:val="24"/>
          <w:szCs w:val="24"/>
        </w:rPr>
        <w:t>4</w:t>
      </w:r>
      <w:r w:rsidR="006070EA" w:rsidRPr="008269E4">
        <w:rPr>
          <w:rFonts w:ascii="Times New Roman" w:hAnsi="Times New Roman" w:cs="Times New Roman"/>
          <w:sz w:val="24"/>
          <w:szCs w:val="24"/>
        </w:rPr>
        <w:t xml:space="preserve">). </w:t>
      </w:r>
      <w:r w:rsidR="003B4A8A" w:rsidRPr="008269E4">
        <w:rPr>
          <w:rFonts w:ascii="Times New Roman" w:hAnsi="Times New Roman" w:cs="Times New Roman"/>
          <w:sz w:val="24"/>
          <w:szCs w:val="24"/>
        </w:rPr>
        <w:t>W</w:t>
      </w:r>
      <w:r w:rsidR="006070EA" w:rsidRPr="008269E4">
        <w:rPr>
          <w:rFonts w:ascii="Times New Roman" w:hAnsi="Times New Roman" w:cs="Times New Roman"/>
          <w:sz w:val="24"/>
          <w:szCs w:val="24"/>
        </w:rPr>
        <w:t xml:space="preserve">e </w:t>
      </w:r>
      <w:r w:rsidR="003B4A8A" w:rsidRPr="008269E4">
        <w:rPr>
          <w:rFonts w:ascii="Times New Roman" w:hAnsi="Times New Roman" w:cs="Times New Roman"/>
          <w:sz w:val="24"/>
          <w:szCs w:val="24"/>
        </w:rPr>
        <w:t xml:space="preserve">use </w:t>
      </w:r>
      <w:r w:rsidRPr="008269E4">
        <w:rPr>
          <w:rFonts w:ascii="Times New Roman" w:hAnsi="Times New Roman" w:cs="Times New Roman"/>
          <w:sz w:val="24"/>
          <w:szCs w:val="24"/>
        </w:rPr>
        <w:t xml:space="preserve">a </w:t>
      </w:r>
      <w:r w:rsidR="006070EA" w:rsidRPr="008269E4">
        <w:rPr>
          <w:rFonts w:ascii="Times New Roman" w:hAnsi="Times New Roman" w:cs="Times New Roman"/>
          <w:sz w:val="24"/>
          <w:szCs w:val="24"/>
        </w:rPr>
        <w:t xml:space="preserve">ratio of share of the top 1 per cent </w:t>
      </w:r>
      <w:r w:rsidR="001D453E" w:rsidRPr="008269E4">
        <w:rPr>
          <w:rFonts w:ascii="Times New Roman" w:hAnsi="Times New Roman" w:cs="Times New Roman"/>
          <w:sz w:val="24"/>
          <w:szCs w:val="24"/>
        </w:rPr>
        <w:t>in total</w:t>
      </w:r>
      <w:r w:rsidR="006070EA" w:rsidRPr="008269E4">
        <w:rPr>
          <w:rFonts w:ascii="Times New Roman" w:hAnsi="Times New Roman" w:cs="Times New Roman"/>
          <w:sz w:val="24"/>
          <w:szCs w:val="24"/>
        </w:rPr>
        <w:t xml:space="preserve"> income to </w:t>
      </w:r>
      <w:r w:rsidR="00E808F3" w:rsidRPr="008269E4">
        <w:rPr>
          <w:rFonts w:ascii="Times New Roman" w:hAnsi="Times New Roman" w:cs="Times New Roman"/>
          <w:sz w:val="24"/>
          <w:szCs w:val="24"/>
        </w:rPr>
        <w:t xml:space="preserve">that of the bottom 50%.  </w:t>
      </w:r>
    </w:p>
    <w:p w14:paraId="019AB3C3" w14:textId="77777777" w:rsidR="006070EA" w:rsidRDefault="00701421" w:rsidP="001326B5">
      <w:pPr>
        <w:jc w:val="both"/>
        <w:rPr>
          <w:rFonts w:ascii="Times New Roman" w:hAnsi="Times New Roman" w:cs="Times New Roman"/>
          <w:sz w:val="24"/>
          <w:szCs w:val="24"/>
        </w:rPr>
      </w:pPr>
      <w:r w:rsidRPr="008269E4">
        <w:rPr>
          <w:rFonts w:ascii="Times New Roman" w:hAnsi="Times New Roman" w:cs="Times New Roman"/>
          <w:sz w:val="24"/>
          <w:szCs w:val="24"/>
        </w:rPr>
        <w:t xml:space="preserve">Not enough attention is given in the literature to </w:t>
      </w:r>
      <w:r w:rsidR="00AE09C3" w:rsidRPr="008269E4">
        <w:rPr>
          <w:rFonts w:ascii="Times New Roman" w:hAnsi="Times New Roman" w:cs="Times New Roman"/>
          <w:sz w:val="24"/>
          <w:szCs w:val="24"/>
        </w:rPr>
        <w:t xml:space="preserve">the relationship between </w:t>
      </w:r>
      <w:r w:rsidRPr="008269E4">
        <w:rPr>
          <w:rFonts w:ascii="Times New Roman" w:hAnsi="Times New Roman" w:cs="Times New Roman"/>
          <w:sz w:val="24"/>
          <w:szCs w:val="24"/>
        </w:rPr>
        <w:t xml:space="preserve">SWB and exposure to mass media. IHDS has detailed data on exposure to radios, newspapers and </w:t>
      </w:r>
      <w:r w:rsidR="00AE09C3" w:rsidRPr="008269E4">
        <w:rPr>
          <w:rFonts w:ascii="Times New Roman" w:hAnsi="Times New Roman" w:cs="Times New Roman"/>
          <w:sz w:val="24"/>
          <w:szCs w:val="24"/>
        </w:rPr>
        <w:t>TV</w:t>
      </w:r>
      <w:r w:rsidRPr="008269E4">
        <w:rPr>
          <w:rFonts w:ascii="Times New Roman" w:hAnsi="Times New Roman" w:cs="Times New Roman"/>
          <w:sz w:val="24"/>
          <w:szCs w:val="24"/>
        </w:rPr>
        <w:t xml:space="preserve"> by gender. Frequency of exposure </w:t>
      </w:r>
      <w:r w:rsidR="009A639F" w:rsidRPr="008269E4">
        <w:rPr>
          <w:rFonts w:ascii="Times New Roman" w:hAnsi="Times New Roman" w:cs="Times New Roman"/>
          <w:sz w:val="24"/>
          <w:szCs w:val="24"/>
        </w:rPr>
        <w:t xml:space="preserve">comprises three categories: </w:t>
      </w:r>
      <w:r w:rsidR="00B279D9" w:rsidRPr="008269E4">
        <w:rPr>
          <w:rFonts w:ascii="Times New Roman" w:hAnsi="Times New Roman" w:cs="Times New Roman"/>
          <w:sz w:val="24"/>
          <w:szCs w:val="24"/>
        </w:rPr>
        <w:t>‘</w:t>
      </w:r>
      <w:r w:rsidR="009A639F" w:rsidRPr="008269E4">
        <w:rPr>
          <w:rFonts w:ascii="Times New Roman" w:hAnsi="Times New Roman" w:cs="Times New Roman"/>
          <w:sz w:val="24"/>
          <w:szCs w:val="24"/>
        </w:rPr>
        <w:t>never</w:t>
      </w:r>
      <w:r w:rsidR="00B279D9" w:rsidRPr="008269E4">
        <w:rPr>
          <w:rFonts w:ascii="Times New Roman" w:hAnsi="Times New Roman" w:cs="Times New Roman"/>
          <w:sz w:val="24"/>
          <w:szCs w:val="24"/>
        </w:rPr>
        <w:t>’</w:t>
      </w:r>
      <w:r w:rsidR="009A639F" w:rsidRPr="008269E4">
        <w:rPr>
          <w:rFonts w:ascii="Times New Roman" w:hAnsi="Times New Roman" w:cs="Times New Roman"/>
          <w:sz w:val="24"/>
          <w:szCs w:val="24"/>
        </w:rPr>
        <w:t xml:space="preserve">, </w:t>
      </w:r>
      <w:r w:rsidR="00B279D9" w:rsidRPr="008269E4">
        <w:rPr>
          <w:rFonts w:ascii="Times New Roman" w:hAnsi="Times New Roman" w:cs="Times New Roman"/>
          <w:sz w:val="24"/>
          <w:szCs w:val="24"/>
        </w:rPr>
        <w:t>‘</w:t>
      </w:r>
      <w:r w:rsidR="009A639F" w:rsidRPr="008269E4">
        <w:rPr>
          <w:rFonts w:ascii="Times New Roman" w:hAnsi="Times New Roman" w:cs="Times New Roman"/>
          <w:sz w:val="24"/>
          <w:szCs w:val="24"/>
        </w:rPr>
        <w:t>sometimes</w:t>
      </w:r>
      <w:r w:rsidR="00B279D9" w:rsidRPr="008269E4">
        <w:rPr>
          <w:rFonts w:ascii="Times New Roman" w:hAnsi="Times New Roman" w:cs="Times New Roman"/>
          <w:sz w:val="24"/>
          <w:szCs w:val="24"/>
        </w:rPr>
        <w:t>’</w:t>
      </w:r>
      <w:r w:rsidR="009A639F" w:rsidRPr="008269E4">
        <w:rPr>
          <w:rFonts w:ascii="Times New Roman" w:hAnsi="Times New Roman" w:cs="Times New Roman"/>
          <w:sz w:val="24"/>
          <w:szCs w:val="24"/>
        </w:rPr>
        <w:t xml:space="preserve">, </w:t>
      </w:r>
      <w:r w:rsidR="008725F5">
        <w:rPr>
          <w:rFonts w:ascii="Times New Roman" w:hAnsi="Times New Roman" w:cs="Times New Roman"/>
          <w:sz w:val="24"/>
          <w:szCs w:val="24"/>
        </w:rPr>
        <w:t xml:space="preserve">or </w:t>
      </w:r>
      <w:r w:rsidR="00B279D9" w:rsidRPr="008269E4">
        <w:rPr>
          <w:rFonts w:ascii="Times New Roman" w:hAnsi="Times New Roman" w:cs="Times New Roman"/>
          <w:sz w:val="24"/>
          <w:szCs w:val="24"/>
        </w:rPr>
        <w:t>‘</w:t>
      </w:r>
      <w:r w:rsidR="009A639F" w:rsidRPr="008269E4">
        <w:rPr>
          <w:rFonts w:ascii="Times New Roman" w:hAnsi="Times New Roman" w:cs="Times New Roman"/>
          <w:sz w:val="24"/>
          <w:szCs w:val="24"/>
        </w:rPr>
        <w:t>regularly</w:t>
      </w:r>
      <w:r w:rsidR="00B279D9" w:rsidRPr="008269E4">
        <w:rPr>
          <w:rFonts w:ascii="Times New Roman" w:hAnsi="Times New Roman" w:cs="Times New Roman"/>
          <w:sz w:val="24"/>
          <w:szCs w:val="24"/>
        </w:rPr>
        <w:t>’</w:t>
      </w:r>
      <w:r w:rsidR="009A639F" w:rsidRPr="008269E4">
        <w:rPr>
          <w:rFonts w:ascii="Times New Roman" w:hAnsi="Times New Roman" w:cs="Times New Roman"/>
          <w:sz w:val="24"/>
          <w:szCs w:val="24"/>
        </w:rPr>
        <w:t>. We use regular exposure to each medium by gender (the variable takes the value 1 for regular exposure and 0 otherwise).</w:t>
      </w:r>
      <w:r w:rsidR="006070EA" w:rsidRPr="008269E4">
        <w:rPr>
          <w:rFonts w:ascii="Times New Roman" w:hAnsi="Times New Roman" w:cs="Times New Roman"/>
          <w:sz w:val="24"/>
          <w:szCs w:val="24"/>
        </w:rPr>
        <w:t>Precise definitions of the variables used in the econometric specifications with their means and standard deviations are given in Table 1.</w:t>
      </w:r>
    </w:p>
    <w:p w14:paraId="26EEF078" w14:textId="77777777" w:rsidR="00145C96" w:rsidRPr="00D10A97" w:rsidRDefault="00145C96" w:rsidP="00145C96">
      <w:pPr>
        <w:jc w:val="both"/>
        <w:rPr>
          <w:rFonts w:ascii="Times New Roman" w:hAnsi="Times New Roman" w:cs="Times New Roman"/>
          <w:sz w:val="24"/>
          <w:szCs w:val="24"/>
        </w:rPr>
      </w:pPr>
      <w:r w:rsidRPr="00D10A97">
        <w:rPr>
          <w:rFonts w:ascii="Times New Roman" w:hAnsi="Times New Roman" w:cs="Times New Roman"/>
          <w:sz w:val="24"/>
          <w:szCs w:val="24"/>
        </w:rPr>
        <w:t xml:space="preserve">In the total sample in 2012, the proportion of the worse-off is 9.70 %, of just the same 50.34 % and of the better-off 37.90 %. Hence proportion of just the same is highest with a considerably lower proportion of the better-off and still lower of the worse-off. </w:t>
      </w:r>
    </w:p>
    <w:p w14:paraId="378C0104" w14:textId="77777777" w:rsidR="00145C96" w:rsidRPr="00D10A97" w:rsidRDefault="00145C96" w:rsidP="00145C96">
      <w:pPr>
        <w:jc w:val="both"/>
        <w:rPr>
          <w:rFonts w:ascii="Times New Roman" w:hAnsi="Times New Roman" w:cs="Times New Roman"/>
          <w:sz w:val="24"/>
          <w:szCs w:val="24"/>
        </w:rPr>
      </w:pPr>
      <w:r w:rsidRPr="00D10A97">
        <w:rPr>
          <w:rFonts w:ascii="Times New Roman" w:hAnsi="Times New Roman" w:cs="Times New Roman"/>
          <w:sz w:val="24"/>
          <w:szCs w:val="24"/>
        </w:rPr>
        <w:t xml:space="preserve">As we </w:t>
      </w:r>
      <w:r w:rsidR="00925E91">
        <w:rPr>
          <w:rFonts w:ascii="Times New Roman" w:hAnsi="Times New Roman" w:cs="Times New Roman"/>
          <w:sz w:val="24"/>
          <w:szCs w:val="24"/>
        </w:rPr>
        <w:t>examine</w:t>
      </w:r>
      <w:r w:rsidRPr="00D10A97">
        <w:rPr>
          <w:rFonts w:ascii="Times New Roman" w:hAnsi="Times New Roman" w:cs="Times New Roman"/>
          <w:sz w:val="24"/>
          <w:szCs w:val="24"/>
        </w:rPr>
        <w:t xml:space="preserve"> the associations between </w:t>
      </w:r>
      <w:r w:rsidRPr="00D10A97">
        <w:rPr>
          <w:rFonts w:ascii="Times New Roman" w:hAnsi="Times New Roman" w:cs="Times New Roman"/>
          <w:i/>
          <w:sz w:val="24"/>
          <w:szCs w:val="24"/>
        </w:rPr>
        <w:t>∆</w:t>
      </w:r>
      <w:r w:rsidRPr="00D10A97">
        <w:rPr>
          <w:rFonts w:ascii="Times New Roman" w:hAnsi="Times New Roman" w:cs="Times New Roman"/>
          <w:sz w:val="24"/>
          <w:szCs w:val="24"/>
        </w:rPr>
        <w:t xml:space="preserve">SWB </w:t>
      </w:r>
      <w:proofErr w:type="gramStart"/>
      <w:r w:rsidRPr="00D10A97">
        <w:rPr>
          <w:rFonts w:ascii="Times New Roman" w:hAnsi="Times New Roman" w:cs="Times New Roman"/>
          <w:sz w:val="24"/>
          <w:szCs w:val="24"/>
        </w:rPr>
        <w:t>or</w:t>
      </w:r>
      <w:proofErr w:type="gramEnd"/>
      <w:r w:rsidRPr="00D10A97">
        <w:rPr>
          <w:rFonts w:ascii="Times New Roman" w:hAnsi="Times New Roman" w:cs="Times New Roman"/>
          <w:sz w:val="24"/>
          <w:szCs w:val="24"/>
        </w:rPr>
        <w:t xml:space="preserve"> </w:t>
      </w:r>
      <w:r w:rsidRPr="00D10A97">
        <w:rPr>
          <w:rFonts w:ascii="Times New Roman" w:hAnsi="Times New Roman" w:cs="Times New Roman"/>
          <w:i/>
          <w:sz w:val="24"/>
          <w:szCs w:val="24"/>
        </w:rPr>
        <w:t>∆</w:t>
      </w:r>
      <w:r w:rsidRPr="00D10A97">
        <w:rPr>
          <w:rFonts w:ascii="Times New Roman" w:hAnsi="Times New Roman" w:cs="Times New Roman"/>
          <w:sz w:val="24"/>
          <w:szCs w:val="24"/>
        </w:rPr>
        <w:t xml:space="preserve">OWB in Section 5, we only consider the relationships between </w:t>
      </w:r>
      <w:r w:rsidRPr="00D10A97">
        <w:rPr>
          <w:rFonts w:ascii="Times New Roman" w:hAnsi="Times New Roman" w:cs="Times New Roman"/>
          <w:i/>
          <w:sz w:val="24"/>
          <w:szCs w:val="24"/>
        </w:rPr>
        <w:t>∆</w:t>
      </w:r>
      <w:r w:rsidRPr="00D10A97">
        <w:rPr>
          <w:rFonts w:ascii="Times New Roman" w:hAnsi="Times New Roman" w:cs="Times New Roman"/>
          <w:sz w:val="24"/>
          <w:szCs w:val="24"/>
        </w:rPr>
        <w:t>SWB at the household level and age-group of household head in this section because the relationship between age and SWB has been identified as one of the key empirical issue</w:t>
      </w:r>
      <w:r w:rsidR="00925E91">
        <w:rPr>
          <w:rFonts w:ascii="Times New Roman" w:hAnsi="Times New Roman" w:cs="Times New Roman"/>
          <w:sz w:val="24"/>
          <w:szCs w:val="24"/>
        </w:rPr>
        <w:t>s</w:t>
      </w:r>
      <w:r w:rsidRPr="00D10A97">
        <w:rPr>
          <w:rFonts w:ascii="Times New Roman" w:hAnsi="Times New Roman" w:cs="Times New Roman"/>
          <w:sz w:val="24"/>
          <w:szCs w:val="24"/>
        </w:rPr>
        <w:t xml:space="preserve"> in the literature on SWB. ‘Age’ in our study comprises 5 age groups: 15-30 years, 31-50 years, 51-60 years, 61-70 years and &gt;70 years based on the age of the respondent. As shown below in Figure 1, the curve does not show any age pattern except a sharp plunge among 50-60 years old and then a gradual fall among the oldest (70 years +). It should be noted that the U shaped curve often derived in the literature reviewed in Section 2 (e.g., </w:t>
      </w:r>
      <w:proofErr w:type="spellStart"/>
      <w:r w:rsidRPr="00D10A97">
        <w:rPr>
          <w:rFonts w:ascii="Times New Roman" w:hAnsi="Times New Roman" w:cs="Times New Roman"/>
          <w:sz w:val="24"/>
          <w:szCs w:val="24"/>
        </w:rPr>
        <w:t>Blanchflower</w:t>
      </w:r>
      <w:proofErr w:type="spellEnd"/>
      <w:r w:rsidRPr="00D10A97">
        <w:rPr>
          <w:rFonts w:ascii="Times New Roman" w:hAnsi="Times New Roman" w:cs="Times New Roman"/>
          <w:sz w:val="24"/>
          <w:szCs w:val="24"/>
        </w:rPr>
        <w:t xml:space="preserve"> and Oswald, 2007) has been derived for the relationship between </w:t>
      </w:r>
      <w:r w:rsidRPr="00D10A97">
        <w:rPr>
          <w:rFonts w:ascii="Times New Roman" w:hAnsi="Times New Roman" w:cs="Times New Roman"/>
          <w:i/>
          <w:sz w:val="24"/>
          <w:szCs w:val="24"/>
        </w:rPr>
        <w:t xml:space="preserve">the </w:t>
      </w:r>
      <w:proofErr w:type="gramStart"/>
      <w:r w:rsidRPr="00D10A97">
        <w:rPr>
          <w:rFonts w:ascii="Times New Roman" w:hAnsi="Times New Roman" w:cs="Times New Roman"/>
          <w:i/>
          <w:sz w:val="24"/>
          <w:szCs w:val="24"/>
        </w:rPr>
        <w:t>level</w:t>
      </w:r>
      <w:proofErr w:type="gramEnd"/>
      <w:r w:rsidRPr="00D10A97">
        <w:rPr>
          <w:rFonts w:ascii="Times New Roman" w:hAnsi="Times New Roman" w:cs="Times New Roman"/>
          <w:sz w:val="24"/>
          <w:szCs w:val="24"/>
        </w:rPr>
        <w:t xml:space="preserve"> </w:t>
      </w:r>
    </w:p>
    <w:p w14:paraId="110FB822" w14:textId="77777777" w:rsidR="0013294E" w:rsidRPr="001E655A" w:rsidRDefault="0013294E" w:rsidP="0013294E">
      <w:pPr>
        <w:spacing w:after="0" w:line="240" w:lineRule="auto"/>
        <w:rPr>
          <w:rFonts w:ascii="Times New Roman" w:hAnsi="Times New Roman" w:cs="Times New Roman"/>
          <w:b/>
        </w:rPr>
      </w:pPr>
    </w:p>
    <w:p w14:paraId="231798AA" w14:textId="77777777" w:rsidR="00E9120F" w:rsidRDefault="001E655A" w:rsidP="00E9120F">
      <w:pPr>
        <w:jc w:val="both"/>
        <w:rPr>
          <w:rFonts w:ascii="Times New Roman" w:hAnsi="Times New Roman" w:cs="Times New Roman"/>
        </w:rPr>
      </w:pPr>
      <w:r w:rsidRPr="00A11455">
        <w:rPr>
          <w:rFonts w:ascii="Times New Roman" w:hAnsi="Times New Roman" w:cs="Times New Roman"/>
          <w:b/>
          <w:noProof/>
          <w:lang w:eastAsia="en-IN"/>
        </w:rPr>
        <w:lastRenderedPageBreak/>
        <w:drawing>
          <wp:inline distT="0" distB="0" distL="0" distR="0" wp14:anchorId="03D5B8F7" wp14:editId="77AC774E">
            <wp:extent cx="4368800" cy="2243667"/>
            <wp:effectExtent l="0" t="0" r="12700" b="234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B4880F5" w14:textId="77777777" w:rsidR="00F061DF" w:rsidRDefault="009A3C8A" w:rsidP="008269E4">
      <w:pPr>
        <w:rPr>
          <w:rFonts w:ascii="Times New Roman" w:hAnsi="Times New Roman" w:cs="Times New Roman"/>
          <w:sz w:val="20"/>
          <w:szCs w:val="20"/>
        </w:rPr>
      </w:pPr>
      <w:r w:rsidRPr="00F061DF">
        <w:rPr>
          <w:rFonts w:ascii="Times New Roman" w:hAnsi="Times New Roman" w:cs="Times New Roman"/>
          <w:sz w:val="20"/>
          <w:szCs w:val="20"/>
        </w:rPr>
        <w:t>Note</w:t>
      </w:r>
      <w:r w:rsidR="001E655A" w:rsidRPr="00F061DF">
        <w:rPr>
          <w:rFonts w:ascii="Times New Roman" w:hAnsi="Times New Roman" w:cs="Times New Roman"/>
          <w:sz w:val="20"/>
          <w:szCs w:val="20"/>
        </w:rPr>
        <w:t xml:space="preserve">: </w:t>
      </w:r>
      <w:r w:rsidR="00B07374" w:rsidRPr="00F061DF">
        <w:rPr>
          <w:rFonts w:ascii="Times New Roman" w:hAnsi="Times New Roman" w:cs="Times New Roman"/>
          <w:sz w:val="20"/>
          <w:szCs w:val="20"/>
        </w:rPr>
        <w:sym w:font="Symbol" w:char="F044"/>
      </w:r>
      <w:r w:rsidRPr="00F061DF">
        <w:rPr>
          <w:rFonts w:ascii="Times New Roman" w:hAnsi="Times New Roman" w:cs="Times New Roman"/>
          <w:sz w:val="20"/>
          <w:szCs w:val="20"/>
        </w:rPr>
        <w:t xml:space="preserve">SWB </w:t>
      </w:r>
      <w:r w:rsidR="004C4B70" w:rsidRPr="00F061DF">
        <w:rPr>
          <w:rFonts w:ascii="Times New Roman" w:hAnsi="Times New Roman" w:cs="Times New Roman"/>
          <w:sz w:val="20"/>
          <w:szCs w:val="20"/>
        </w:rPr>
        <w:t xml:space="preserve">denotes </w:t>
      </w:r>
      <w:r w:rsidR="001E655A" w:rsidRPr="00F061DF">
        <w:rPr>
          <w:rFonts w:ascii="Times New Roman" w:hAnsi="Times New Roman" w:cs="Times New Roman"/>
          <w:sz w:val="20"/>
          <w:szCs w:val="20"/>
        </w:rPr>
        <w:t xml:space="preserve">the </w:t>
      </w:r>
      <w:r w:rsidR="004C4B70" w:rsidRPr="00F061DF">
        <w:rPr>
          <w:rFonts w:ascii="Times New Roman" w:hAnsi="Times New Roman" w:cs="Times New Roman"/>
          <w:sz w:val="20"/>
          <w:szCs w:val="20"/>
        </w:rPr>
        <w:t>change in subjective economic well-being</w:t>
      </w:r>
      <w:r w:rsidR="00D04AE6" w:rsidRPr="00F061DF">
        <w:rPr>
          <w:rFonts w:ascii="Times New Roman" w:hAnsi="Times New Roman" w:cs="Times New Roman"/>
          <w:sz w:val="20"/>
          <w:szCs w:val="20"/>
        </w:rPr>
        <w:t>.</w:t>
      </w:r>
      <w:r w:rsidR="004D372C" w:rsidRPr="00F061DF">
        <w:rPr>
          <w:rFonts w:ascii="Times New Roman" w:hAnsi="Times New Roman" w:cs="Times New Roman"/>
          <w:sz w:val="20"/>
          <w:szCs w:val="20"/>
        </w:rPr>
        <w:t xml:space="preserve"> </w:t>
      </w:r>
      <w:r w:rsidR="00F061DF">
        <w:rPr>
          <w:rFonts w:ascii="Times New Roman" w:hAnsi="Times New Roman" w:cs="Times New Roman"/>
          <w:sz w:val="20"/>
          <w:szCs w:val="20"/>
        </w:rPr>
        <w:t>Source: Authors’ computations.</w:t>
      </w:r>
    </w:p>
    <w:p w14:paraId="0788109F" w14:textId="77777777" w:rsidR="00F061DF" w:rsidRPr="008269E4" w:rsidRDefault="00F061DF" w:rsidP="008269E4">
      <w:pPr>
        <w:rPr>
          <w:rFonts w:ascii="Times New Roman" w:hAnsi="Times New Roman" w:cs="Times New Roman"/>
          <w:sz w:val="16"/>
          <w:szCs w:val="16"/>
        </w:rPr>
      </w:pPr>
    </w:p>
    <w:p w14:paraId="09F26088" w14:textId="77777777" w:rsidR="007A4441" w:rsidRPr="007A4441" w:rsidRDefault="007A4441" w:rsidP="007A4441">
      <w:pPr>
        <w:jc w:val="both"/>
        <w:rPr>
          <w:rFonts w:ascii="Times New Roman" w:hAnsi="Times New Roman" w:cs="Times New Roman"/>
          <w:sz w:val="24"/>
          <w:szCs w:val="24"/>
        </w:rPr>
      </w:pPr>
      <w:proofErr w:type="gramStart"/>
      <w:r w:rsidRPr="007A4441">
        <w:rPr>
          <w:rFonts w:ascii="Times New Roman" w:hAnsi="Times New Roman" w:cs="Times New Roman"/>
          <w:sz w:val="24"/>
          <w:szCs w:val="24"/>
        </w:rPr>
        <w:t>of</w:t>
      </w:r>
      <w:proofErr w:type="gramEnd"/>
      <w:r w:rsidRPr="007A4441">
        <w:rPr>
          <w:rFonts w:ascii="Times New Roman" w:hAnsi="Times New Roman" w:cs="Times New Roman"/>
          <w:sz w:val="24"/>
          <w:szCs w:val="24"/>
        </w:rPr>
        <w:t xml:space="preserve"> SWB and age. Hence we do not expect the U-shaped or the inverted U-shaped in the relationship between </w:t>
      </w:r>
      <w:r w:rsidRPr="007A4441">
        <w:rPr>
          <w:rFonts w:ascii="Times New Roman" w:hAnsi="Times New Roman" w:cs="Times New Roman"/>
          <w:i/>
          <w:sz w:val="24"/>
          <w:szCs w:val="24"/>
        </w:rPr>
        <w:t>∆</w:t>
      </w:r>
      <w:r w:rsidRPr="007A4441">
        <w:rPr>
          <w:rFonts w:ascii="Times New Roman" w:hAnsi="Times New Roman" w:cs="Times New Roman"/>
          <w:sz w:val="24"/>
          <w:szCs w:val="24"/>
        </w:rPr>
        <w:t>SWB and age.</w:t>
      </w:r>
    </w:p>
    <w:p w14:paraId="326E00CC" w14:textId="77777777" w:rsidR="00783638" w:rsidRPr="008269E4" w:rsidRDefault="0049054F" w:rsidP="00783638">
      <w:pPr>
        <w:jc w:val="center"/>
        <w:rPr>
          <w:rFonts w:ascii="Times New Roman" w:hAnsi="Times New Roman" w:cs="Times New Roman"/>
          <w:b/>
          <w:sz w:val="24"/>
          <w:szCs w:val="24"/>
        </w:rPr>
      </w:pPr>
      <w:r w:rsidRPr="008269E4">
        <w:rPr>
          <w:rFonts w:ascii="Times New Roman" w:hAnsi="Times New Roman" w:cs="Times New Roman"/>
          <w:b/>
          <w:sz w:val="24"/>
          <w:szCs w:val="24"/>
        </w:rPr>
        <w:t>4</w:t>
      </w:r>
      <w:r w:rsidR="004B2763" w:rsidRPr="008269E4">
        <w:rPr>
          <w:rFonts w:ascii="Times New Roman" w:hAnsi="Times New Roman" w:cs="Times New Roman"/>
          <w:b/>
          <w:sz w:val="24"/>
          <w:szCs w:val="24"/>
        </w:rPr>
        <w:t xml:space="preserve">. </w:t>
      </w:r>
      <w:r w:rsidR="00783638" w:rsidRPr="008269E4">
        <w:rPr>
          <w:rFonts w:ascii="Times New Roman" w:hAnsi="Times New Roman" w:cs="Times New Roman"/>
          <w:b/>
          <w:sz w:val="24"/>
          <w:szCs w:val="24"/>
        </w:rPr>
        <w:t>Models</w:t>
      </w:r>
    </w:p>
    <w:p w14:paraId="41215F36" w14:textId="6329C647" w:rsidR="00783638" w:rsidRPr="008269E4" w:rsidRDefault="00783638" w:rsidP="00783638">
      <w:pPr>
        <w:jc w:val="both"/>
        <w:rPr>
          <w:rFonts w:ascii="Times New Roman" w:hAnsi="Times New Roman" w:cs="Times New Roman"/>
          <w:sz w:val="24"/>
          <w:szCs w:val="24"/>
        </w:rPr>
      </w:pPr>
      <w:r w:rsidRPr="008269E4">
        <w:rPr>
          <w:rFonts w:ascii="Times New Roman" w:hAnsi="Times New Roman" w:cs="Times New Roman"/>
          <w:sz w:val="24"/>
          <w:szCs w:val="24"/>
        </w:rPr>
        <w:t xml:space="preserve">We have employed multiple regression and ordered </w:t>
      </w:r>
      <w:proofErr w:type="spellStart"/>
      <w:r w:rsidRPr="008269E4">
        <w:rPr>
          <w:rFonts w:ascii="Times New Roman" w:hAnsi="Times New Roman" w:cs="Times New Roman"/>
          <w:sz w:val="24"/>
          <w:szCs w:val="24"/>
        </w:rPr>
        <w:t>probit</w:t>
      </w:r>
      <w:proofErr w:type="spellEnd"/>
      <w:r w:rsidR="005D7277">
        <w:rPr>
          <w:rFonts w:ascii="Times New Roman" w:hAnsi="Times New Roman" w:cs="Times New Roman"/>
          <w:sz w:val="24"/>
          <w:szCs w:val="24"/>
        </w:rPr>
        <w:t xml:space="preserve"> models</w:t>
      </w:r>
      <w:r w:rsidRPr="008269E4">
        <w:rPr>
          <w:rFonts w:ascii="Times New Roman" w:hAnsi="Times New Roman" w:cs="Times New Roman"/>
          <w:sz w:val="24"/>
          <w:szCs w:val="24"/>
        </w:rPr>
        <w:t xml:space="preserve">. Their salient features are described below. </w:t>
      </w:r>
    </w:p>
    <w:p w14:paraId="384E70EF" w14:textId="77777777" w:rsidR="00294ECD" w:rsidRPr="008269E4" w:rsidRDefault="00783638" w:rsidP="00783638">
      <w:pPr>
        <w:numPr>
          <w:ilvl w:val="0"/>
          <w:numId w:val="1"/>
        </w:numPr>
        <w:jc w:val="center"/>
        <w:rPr>
          <w:rFonts w:ascii="Times New Roman" w:hAnsi="Times New Roman" w:cs="Times New Roman"/>
          <w:b/>
          <w:sz w:val="24"/>
          <w:szCs w:val="24"/>
        </w:rPr>
      </w:pPr>
      <w:r w:rsidRPr="008269E4">
        <w:rPr>
          <w:rFonts w:ascii="Times New Roman" w:hAnsi="Times New Roman" w:cs="Times New Roman"/>
          <w:b/>
          <w:sz w:val="24"/>
          <w:szCs w:val="24"/>
        </w:rPr>
        <w:t>Multiple Regression Model</w:t>
      </w:r>
    </w:p>
    <w:p w14:paraId="344F6441" w14:textId="77777777" w:rsidR="00004C01" w:rsidRPr="008269E4" w:rsidRDefault="00783638" w:rsidP="00783638">
      <w:pPr>
        <w:jc w:val="both"/>
        <w:rPr>
          <w:rFonts w:ascii="Times New Roman" w:hAnsi="Times New Roman" w:cs="Times New Roman"/>
          <w:sz w:val="24"/>
          <w:szCs w:val="24"/>
        </w:rPr>
      </w:pPr>
      <w:r w:rsidRPr="008269E4">
        <w:rPr>
          <w:rFonts w:ascii="Times New Roman" w:hAnsi="Times New Roman" w:cs="Times New Roman"/>
          <w:sz w:val="24"/>
          <w:szCs w:val="24"/>
        </w:rPr>
        <w:t xml:space="preserve">We first estimate a multiple regression model </w:t>
      </w:r>
      <w:r w:rsidR="002E3F66" w:rsidRPr="008269E4">
        <w:rPr>
          <w:rFonts w:ascii="Times New Roman" w:hAnsi="Times New Roman" w:cs="Times New Roman"/>
          <w:sz w:val="24"/>
          <w:szCs w:val="24"/>
        </w:rPr>
        <w:t>where</w:t>
      </w:r>
      <w:r w:rsidR="004D372C">
        <w:rPr>
          <w:rFonts w:ascii="Times New Roman" w:hAnsi="Times New Roman" w:cs="Times New Roman"/>
          <w:sz w:val="24"/>
          <w:szCs w:val="24"/>
        </w:rPr>
        <w:t xml:space="preserve"> </w:t>
      </w:r>
      <w:r w:rsidR="0034212E" w:rsidRPr="008269E4">
        <w:rPr>
          <w:rFonts w:ascii="Times New Roman" w:hAnsi="Times New Roman" w:cs="Times New Roman"/>
          <w:sz w:val="24"/>
          <w:szCs w:val="24"/>
        </w:rPr>
        <w:t>the</w:t>
      </w:r>
      <w:r w:rsidR="002E3F66" w:rsidRPr="008269E4">
        <w:rPr>
          <w:rFonts w:ascii="Times New Roman" w:hAnsi="Times New Roman" w:cs="Times New Roman"/>
          <w:sz w:val="24"/>
          <w:szCs w:val="24"/>
        </w:rPr>
        <w:t xml:space="preserve"> dependent variable,</w:t>
      </w:r>
      <w:r w:rsidR="004D372C">
        <w:rPr>
          <w:rFonts w:ascii="Times New Roman" w:hAnsi="Times New Roman" w:cs="Times New Roman"/>
          <w:sz w:val="24"/>
          <w:szCs w:val="24"/>
        </w:rPr>
        <w:t xml:space="preserve"> </w:t>
      </w:r>
      <w:r w:rsidR="002E52A4" w:rsidRPr="008269E4">
        <w:rPr>
          <w:rFonts w:ascii="Times New Roman" w:hAnsi="Times New Roman" w:cs="Times New Roman"/>
          <w:sz w:val="24"/>
          <w:szCs w:val="24"/>
        </w:rPr>
        <w:t>∆</w:t>
      </w:r>
      <w:r w:rsidRPr="008269E4">
        <w:rPr>
          <w:rFonts w:ascii="Times New Roman" w:hAnsi="Times New Roman" w:cs="Times New Roman"/>
          <w:sz w:val="24"/>
          <w:szCs w:val="24"/>
        </w:rPr>
        <w:t>SWB</w:t>
      </w:r>
      <w:r w:rsidR="002E52A4" w:rsidRPr="008269E4">
        <w:rPr>
          <w:rFonts w:ascii="Times New Roman" w:hAnsi="Times New Roman" w:cs="Times New Roman"/>
          <w:sz w:val="24"/>
          <w:szCs w:val="24"/>
        </w:rPr>
        <w:t xml:space="preserve"> (</w:t>
      </w:r>
      <w:r w:rsidRPr="008269E4">
        <w:rPr>
          <w:rFonts w:ascii="Times New Roman" w:hAnsi="Times New Roman" w:cs="Times New Roman"/>
          <w:sz w:val="24"/>
          <w:szCs w:val="24"/>
        </w:rPr>
        <w:t xml:space="preserve">0, 1, </w:t>
      </w:r>
      <w:proofErr w:type="gramStart"/>
      <w:r w:rsidRPr="008269E4">
        <w:rPr>
          <w:rFonts w:ascii="Times New Roman" w:hAnsi="Times New Roman" w:cs="Times New Roman"/>
          <w:sz w:val="24"/>
          <w:szCs w:val="24"/>
        </w:rPr>
        <w:t>2</w:t>
      </w:r>
      <w:proofErr w:type="gramEnd"/>
      <w:r w:rsidR="002E52A4" w:rsidRPr="008269E4">
        <w:rPr>
          <w:rFonts w:ascii="Times New Roman" w:hAnsi="Times New Roman" w:cs="Times New Roman"/>
          <w:sz w:val="24"/>
          <w:szCs w:val="24"/>
        </w:rPr>
        <w:t>),</w:t>
      </w:r>
      <w:r w:rsidR="002E3F66" w:rsidRPr="008269E4">
        <w:rPr>
          <w:rFonts w:ascii="Times New Roman" w:hAnsi="Times New Roman" w:cs="Times New Roman"/>
          <w:sz w:val="24"/>
          <w:szCs w:val="24"/>
        </w:rPr>
        <w:t xml:space="preserve"> corresponding to ‘worse-off’, ‘just the same’ or ‘better-off’- </w:t>
      </w:r>
      <w:r w:rsidR="00287FFB" w:rsidRPr="008269E4">
        <w:rPr>
          <w:rFonts w:ascii="Times New Roman" w:hAnsi="Times New Roman" w:cs="Times New Roman"/>
          <w:sz w:val="24"/>
          <w:szCs w:val="24"/>
        </w:rPr>
        <w:t xml:space="preserve">are </w:t>
      </w:r>
      <w:r w:rsidR="002E3F66" w:rsidRPr="008269E4">
        <w:rPr>
          <w:rFonts w:ascii="Times New Roman" w:hAnsi="Times New Roman" w:cs="Times New Roman"/>
          <w:sz w:val="24"/>
          <w:szCs w:val="24"/>
        </w:rPr>
        <w:t xml:space="preserve">estimated by </w:t>
      </w:r>
      <w:r w:rsidRPr="008269E4">
        <w:rPr>
          <w:rFonts w:ascii="Times New Roman" w:hAnsi="Times New Roman" w:cs="Times New Roman"/>
          <w:sz w:val="24"/>
          <w:szCs w:val="24"/>
        </w:rPr>
        <w:t>a set of explanatory variables</w:t>
      </w:r>
      <w:r w:rsidR="002E3F66" w:rsidRPr="008269E4">
        <w:rPr>
          <w:rFonts w:ascii="Times New Roman" w:hAnsi="Times New Roman" w:cs="Times New Roman"/>
          <w:sz w:val="24"/>
          <w:szCs w:val="24"/>
        </w:rPr>
        <w:t xml:space="preserve"> using OLS</w:t>
      </w:r>
      <w:r w:rsidR="00F64FBB" w:rsidRPr="008269E4">
        <w:rPr>
          <w:rFonts w:ascii="Times New Roman" w:hAnsi="Times New Roman" w:cs="Times New Roman"/>
          <w:sz w:val="24"/>
          <w:szCs w:val="24"/>
        </w:rPr>
        <w:t>.</w:t>
      </w:r>
      <w:r w:rsidR="00AE2859" w:rsidRPr="008269E4">
        <w:rPr>
          <w:rStyle w:val="FootnoteReference"/>
          <w:rFonts w:ascii="Times New Roman" w:hAnsi="Times New Roman" w:cs="Times New Roman"/>
          <w:sz w:val="24"/>
          <w:szCs w:val="24"/>
        </w:rPr>
        <w:footnoteReference w:id="12"/>
      </w:r>
      <w:r w:rsidR="00F64FBB" w:rsidRPr="008269E4">
        <w:rPr>
          <w:rFonts w:ascii="Times New Roman" w:hAnsi="Times New Roman" w:cs="Times New Roman"/>
          <w:sz w:val="24"/>
          <w:szCs w:val="24"/>
        </w:rPr>
        <w:t xml:space="preserve"> The explanatory variables include</w:t>
      </w:r>
      <w:r w:rsidR="004D372C">
        <w:rPr>
          <w:rFonts w:ascii="Times New Roman" w:hAnsi="Times New Roman" w:cs="Times New Roman"/>
          <w:sz w:val="24"/>
          <w:szCs w:val="24"/>
        </w:rPr>
        <w:t xml:space="preserve"> </w:t>
      </w:r>
      <w:r w:rsidR="00F64FBB" w:rsidRPr="008269E4">
        <w:rPr>
          <w:rFonts w:ascii="Times New Roman" w:hAnsi="Times New Roman" w:cs="Times New Roman"/>
          <w:sz w:val="24"/>
          <w:szCs w:val="24"/>
        </w:rPr>
        <w:t xml:space="preserve">the </w:t>
      </w:r>
      <w:r w:rsidRPr="008269E4">
        <w:rPr>
          <w:rFonts w:ascii="Times New Roman" w:hAnsi="Times New Roman" w:cs="Times New Roman"/>
          <w:sz w:val="24"/>
          <w:szCs w:val="24"/>
        </w:rPr>
        <w:t>age</w:t>
      </w:r>
      <w:r w:rsidR="001F10C2" w:rsidRPr="008269E4">
        <w:rPr>
          <w:rFonts w:ascii="Times New Roman" w:hAnsi="Times New Roman" w:cs="Times New Roman"/>
          <w:sz w:val="24"/>
          <w:szCs w:val="24"/>
        </w:rPr>
        <w:t xml:space="preserve"> of the </w:t>
      </w:r>
      <w:r w:rsidR="00287FFB" w:rsidRPr="008269E4">
        <w:rPr>
          <w:rFonts w:ascii="Times New Roman" w:hAnsi="Times New Roman" w:cs="Times New Roman"/>
          <w:sz w:val="24"/>
          <w:szCs w:val="24"/>
        </w:rPr>
        <w:t xml:space="preserve">household head </w:t>
      </w:r>
      <w:r w:rsidR="001F10C2" w:rsidRPr="008269E4">
        <w:rPr>
          <w:rFonts w:ascii="Times New Roman" w:hAnsi="Times New Roman" w:cs="Times New Roman"/>
          <w:sz w:val="24"/>
          <w:szCs w:val="24"/>
        </w:rPr>
        <w:t>and its squared term</w:t>
      </w:r>
      <w:r w:rsidRPr="008269E4">
        <w:rPr>
          <w:rFonts w:ascii="Times New Roman" w:hAnsi="Times New Roman" w:cs="Times New Roman"/>
          <w:sz w:val="24"/>
          <w:szCs w:val="24"/>
        </w:rPr>
        <w:t>, log per capita expenditure</w:t>
      </w:r>
      <w:r w:rsidR="002E52A4" w:rsidRPr="008269E4">
        <w:rPr>
          <w:rFonts w:ascii="Times New Roman" w:hAnsi="Times New Roman" w:cs="Times New Roman"/>
          <w:sz w:val="24"/>
          <w:szCs w:val="24"/>
        </w:rPr>
        <w:t xml:space="preserve"> in the initial year</w:t>
      </w:r>
      <w:r w:rsidRPr="008269E4">
        <w:rPr>
          <w:rFonts w:ascii="Times New Roman" w:hAnsi="Times New Roman" w:cs="Times New Roman"/>
          <w:sz w:val="24"/>
          <w:szCs w:val="24"/>
          <w:vertAlign w:val="superscript"/>
        </w:rPr>
        <w:footnoteReference w:id="13"/>
      </w:r>
      <w:r w:rsidRPr="008269E4">
        <w:rPr>
          <w:rFonts w:ascii="Times New Roman" w:hAnsi="Times New Roman" w:cs="Times New Roman"/>
          <w:sz w:val="24"/>
          <w:szCs w:val="24"/>
        </w:rPr>
        <w:t xml:space="preserve">, </w:t>
      </w:r>
      <w:r w:rsidR="002E52A4" w:rsidRPr="008269E4">
        <w:rPr>
          <w:rFonts w:ascii="Times New Roman" w:hAnsi="Times New Roman" w:cs="Times New Roman"/>
          <w:sz w:val="24"/>
          <w:szCs w:val="24"/>
        </w:rPr>
        <w:t xml:space="preserve">and </w:t>
      </w:r>
      <w:r w:rsidR="002E3F66" w:rsidRPr="008269E4">
        <w:rPr>
          <w:rFonts w:ascii="Times New Roman" w:hAnsi="Times New Roman" w:cs="Times New Roman"/>
          <w:sz w:val="24"/>
          <w:szCs w:val="24"/>
        </w:rPr>
        <w:t xml:space="preserve">the </w:t>
      </w:r>
      <w:r w:rsidRPr="008269E4">
        <w:rPr>
          <w:rFonts w:ascii="Times New Roman" w:hAnsi="Times New Roman" w:cs="Times New Roman"/>
          <w:sz w:val="24"/>
          <w:szCs w:val="24"/>
        </w:rPr>
        <w:t xml:space="preserve">ratio of per capita expenditure </w:t>
      </w:r>
      <w:r w:rsidR="001F10C2" w:rsidRPr="008269E4">
        <w:rPr>
          <w:rFonts w:ascii="Times New Roman" w:hAnsi="Times New Roman" w:cs="Times New Roman"/>
          <w:sz w:val="24"/>
          <w:szCs w:val="24"/>
        </w:rPr>
        <w:t xml:space="preserve">of the household </w:t>
      </w:r>
      <w:r w:rsidRPr="008269E4">
        <w:rPr>
          <w:rFonts w:ascii="Times New Roman" w:hAnsi="Times New Roman" w:cs="Times New Roman"/>
          <w:sz w:val="24"/>
          <w:szCs w:val="24"/>
        </w:rPr>
        <w:t xml:space="preserve">to the </w:t>
      </w:r>
      <w:r w:rsidR="001F10C2" w:rsidRPr="008269E4">
        <w:rPr>
          <w:rFonts w:ascii="Times New Roman" w:hAnsi="Times New Roman" w:cs="Times New Roman"/>
          <w:sz w:val="24"/>
          <w:szCs w:val="24"/>
        </w:rPr>
        <w:t xml:space="preserve">maximum value </w:t>
      </w:r>
      <w:r w:rsidR="00AA7711" w:rsidRPr="008269E4">
        <w:rPr>
          <w:rFonts w:ascii="Times New Roman" w:hAnsi="Times New Roman" w:cs="Times New Roman"/>
          <w:sz w:val="24"/>
          <w:szCs w:val="24"/>
        </w:rPr>
        <w:t xml:space="preserve">in </w:t>
      </w:r>
      <w:r w:rsidRPr="008269E4">
        <w:rPr>
          <w:rFonts w:ascii="Times New Roman" w:hAnsi="Times New Roman" w:cs="Times New Roman"/>
          <w:sz w:val="24"/>
          <w:szCs w:val="24"/>
        </w:rPr>
        <w:t>the primary sampling unit (PSU</w:t>
      </w:r>
      <w:r w:rsidR="002E52A4" w:rsidRPr="008269E4">
        <w:rPr>
          <w:rFonts w:ascii="Times New Roman" w:hAnsi="Times New Roman" w:cs="Times New Roman"/>
          <w:sz w:val="24"/>
          <w:szCs w:val="24"/>
        </w:rPr>
        <w:t>)</w:t>
      </w:r>
      <w:r w:rsidR="00F64FBB" w:rsidRPr="008269E4">
        <w:rPr>
          <w:rFonts w:ascii="Times New Roman" w:hAnsi="Times New Roman" w:cs="Times New Roman"/>
          <w:sz w:val="24"/>
          <w:szCs w:val="24"/>
        </w:rPr>
        <w:t>. The last</w:t>
      </w:r>
      <w:r w:rsidR="004D372C">
        <w:rPr>
          <w:rFonts w:ascii="Times New Roman" w:hAnsi="Times New Roman" w:cs="Times New Roman"/>
          <w:sz w:val="24"/>
          <w:szCs w:val="24"/>
        </w:rPr>
        <w:t xml:space="preserve"> </w:t>
      </w:r>
      <w:r w:rsidR="00F64FBB" w:rsidRPr="008269E4">
        <w:rPr>
          <w:rFonts w:ascii="Times New Roman" w:hAnsi="Times New Roman" w:cs="Times New Roman"/>
          <w:sz w:val="24"/>
          <w:szCs w:val="24"/>
        </w:rPr>
        <w:t>variable capture</w:t>
      </w:r>
      <w:r w:rsidR="002E52A4" w:rsidRPr="008269E4">
        <w:rPr>
          <w:rFonts w:ascii="Times New Roman" w:hAnsi="Times New Roman" w:cs="Times New Roman"/>
          <w:sz w:val="24"/>
          <w:szCs w:val="24"/>
        </w:rPr>
        <w:t>s</w:t>
      </w:r>
      <w:r w:rsidR="00F64FBB" w:rsidRPr="008269E4">
        <w:rPr>
          <w:rFonts w:ascii="Times New Roman" w:hAnsi="Times New Roman" w:cs="Times New Roman"/>
          <w:sz w:val="24"/>
          <w:szCs w:val="24"/>
        </w:rPr>
        <w:t xml:space="preserve"> the relative consumption level of the household compared to the richest household within a village </w:t>
      </w:r>
      <w:r w:rsidR="00262065" w:rsidRPr="008269E4">
        <w:rPr>
          <w:rFonts w:ascii="Times New Roman" w:hAnsi="Times New Roman" w:cs="Times New Roman"/>
          <w:sz w:val="24"/>
          <w:szCs w:val="24"/>
        </w:rPr>
        <w:t>(</w:t>
      </w:r>
      <w:r w:rsidR="00F64FBB" w:rsidRPr="008269E4">
        <w:rPr>
          <w:rFonts w:ascii="Times New Roman" w:hAnsi="Times New Roman" w:cs="Times New Roman"/>
          <w:sz w:val="24"/>
          <w:szCs w:val="24"/>
        </w:rPr>
        <w:t>or a corresponding geographical unit</w:t>
      </w:r>
      <w:r w:rsidR="00262065" w:rsidRPr="008269E4">
        <w:rPr>
          <w:rFonts w:ascii="Times New Roman" w:hAnsi="Times New Roman" w:cs="Times New Roman"/>
          <w:sz w:val="24"/>
          <w:szCs w:val="24"/>
        </w:rPr>
        <w:t>)</w:t>
      </w:r>
      <w:r w:rsidR="00F64FBB" w:rsidRPr="008269E4">
        <w:rPr>
          <w:rFonts w:ascii="Times New Roman" w:hAnsi="Times New Roman" w:cs="Times New Roman"/>
          <w:sz w:val="24"/>
          <w:szCs w:val="24"/>
        </w:rPr>
        <w:t>. The model also controls for</w:t>
      </w:r>
      <w:r w:rsidR="004D372C">
        <w:rPr>
          <w:rFonts w:ascii="Times New Roman" w:hAnsi="Times New Roman" w:cs="Times New Roman"/>
          <w:sz w:val="24"/>
          <w:szCs w:val="24"/>
        </w:rPr>
        <w:t xml:space="preserve"> </w:t>
      </w:r>
      <w:r w:rsidR="00F5029A" w:rsidRPr="008269E4">
        <w:rPr>
          <w:rFonts w:ascii="Times New Roman" w:hAnsi="Times New Roman" w:cs="Times New Roman"/>
          <w:sz w:val="24"/>
          <w:szCs w:val="24"/>
        </w:rPr>
        <w:t>demographic</w:t>
      </w:r>
      <w:r w:rsidR="001F1D8F" w:rsidRPr="008269E4">
        <w:rPr>
          <w:rFonts w:ascii="Times New Roman" w:hAnsi="Times New Roman" w:cs="Times New Roman"/>
          <w:sz w:val="24"/>
          <w:szCs w:val="24"/>
        </w:rPr>
        <w:t xml:space="preserve"> characteristics</w:t>
      </w:r>
      <w:r w:rsidR="00F64FBB" w:rsidRPr="008269E4">
        <w:rPr>
          <w:rFonts w:ascii="Times New Roman" w:hAnsi="Times New Roman" w:cs="Times New Roman"/>
          <w:sz w:val="24"/>
          <w:szCs w:val="24"/>
        </w:rPr>
        <w:t xml:space="preserve"> such as </w:t>
      </w:r>
      <w:r w:rsidRPr="008269E4">
        <w:rPr>
          <w:rFonts w:ascii="Times New Roman" w:hAnsi="Times New Roman" w:cs="Times New Roman"/>
          <w:sz w:val="24"/>
          <w:szCs w:val="24"/>
        </w:rPr>
        <w:t>gender</w:t>
      </w:r>
      <w:r w:rsidR="00F64FBB" w:rsidRPr="008269E4">
        <w:rPr>
          <w:rFonts w:ascii="Times New Roman" w:hAnsi="Times New Roman" w:cs="Times New Roman"/>
          <w:sz w:val="24"/>
          <w:szCs w:val="24"/>
        </w:rPr>
        <w:t xml:space="preserve"> of the </w:t>
      </w:r>
      <w:r w:rsidR="001F1D8F" w:rsidRPr="008269E4">
        <w:rPr>
          <w:rFonts w:ascii="Times New Roman" w:hAnsi="Times New Roman" w:cs="Times New Roman"/>
          <w:sz w:val="24"/>
          <w:szCs w:val="24"/>
        </w:rPr>
        <w:t>household head</w:t>
      </w:r>
      <w:r w:rsidRPr="008269E4">
        <w:rPr>
          <w:rFonts w:ascii="Times New Roman" w:hAnsi="Times New Roman" w:cs="Times New Roman"/>
          <w:sz w:val="24"/>
          <w:szCs w:val="24"/>
        </w:rPr>
        <w:t xml:space="preserve">, caste, marital status, </w:t>
      </w:r>
      <w:r w:rsidR="00F64FBB" w:rsidRPr="008269E4">
        <w:rPr>
          <w:rFonts w:ascii="Times New Roman" w:hAnsi="Times New Roman" w:cs="Times New Roman"/>
          <w:sz w:val="24"/>
          <w:szCs w:val="24"/>
        </w:rPr>
        <w:t xml:space="preserve">and </w:t>
      </w:r>
      <w:r w:rsidRPr="008269E4">
        <w:rPr>
          <w:rFonts w:ascii="Times New Roman" w:hAnsi="Times New Roman" w:cs="Times New Roman"/>
          <w:sz w:val="24"/>
          <w:szCs w:val="24"/>
        </w:rPr>
        <w:t>religion</w:t>
      </w:r>
      <w:r w:rsidR="00F64FBB" w:rsidRPr="008269E4">
        <w:rPr>
          <w:rFonts w:ascii="Times New Roman" w:hAnsi="Times New Roman" w:cs="Times New Roman"/>
          <w:sz w:val="24"/>
          <w:szCs w:val="24"/>
        </w:rPr>
        <w:t xml:space="preserve">. To reflect the structure of the economy and society between urban and rural areas, we include a dummy variable on whether a household is in </w:t>
      </w:r>
      <w:r w:rsidR="00F5029A" w:rsidRPr="008269E4">
        <w:rPr>
          <w:rFonts w:ascii="Times New Roman" w:hAnsi="Times New Roman" w:cs="Times New Roman"/>
          <w:sz w:val="24"/>
          <w:szCs w:val="24"/>
        </w:rPr>
        <w:t xml:space="preserve">a </w:t>
      </w:r>
      <w:r w:rsidRPr="008269E4">
        <w:rPr>
          <w:rFonts w:ascii="Times New Roman" w:hAnsi="Times New Roman" w:cs="Times New Roman"/>
          <w:sz w:val="24"/>
          <w:szCs w:val="24"/>
        </w:rPr>
        <w:t>rural or urban</w:t>
      </w:r>
      <w:r w:rsidR="00F64FBB" w:rsidRPr="008269E4">
        <w:rPr>
          <w:rFonts w:ascii="Times New Roman" w:hAnsi="Times New Roman" w:cs="Times New Roman"/>
          <w:sz w:val="24"/>
          <w:szCs w:val="24"/>
        </w:rPr>
        <w:t xml:space="preserve"> area. Also, we include the variables on </w:t>
      </w:r>
      <w:r w:rsidRPr="008269E4">
        <w:rPr>
          <w:rFonts w:ascii="Times New Roman" w:hAnsi="Times New Roman" w:cs="Times New Roman"/>
          <w:sz w:val="24"/>
          <w:szCs w:val="24"/>
        </w:rPr>
        <w:t xml:space="preserve">employment </w:t>
      </w:r>
      <w:r w:rsidR="00F64FBB" w:rsidRPr="008269E4">
        <w:rPr>
          <w:rFonts w:ascii="Times New Roman" w:hAnsi="Times New Roman" w:cs="Times New Roman"/>
          <w:sz w:val="24"/>
          <w:szCs w:val="24"/>
        </w:rPr>
        <w:t xml:space="preserve">in terms </w:t>
      </w:r>
      <w:r w:rsidR="00F64FBB" w:rsidRPr="008269E4">
        <w:rPr>
          <w:rFonts w:ascii="Times New Roman" w:hAnsi="Times New Roman" w:cs="Times New Roman"/>
          <w:sz w:val="24"/>
          <w:szCs w:val="24"/>
        </w:rPr>
        <w:lastRenderedPageBreak/>
        <w:t xml:space="preserve">of </w:t>
      </w:r>
      <w:r w:rsidR="00EA63FC" w:rsidRPr="008269E4">
        <w:rPr>
          <w:rFonts w:ascii="Times New Roman" w:hAnsi="Times New Roman" w:cs="Times New Roman"/>
          <w:sz w:val="24"/>
          <w:szCs w:val="24"/>
        </w:rPr>
        <w:t xml:space="preserve">both participation and </w:t>
      </w:r>
      <w:r w:rsidRPr="008269E4">
        <w:rPr>
          <w:rFonts w:ascii="Times New Roman" w:hAnsi="Times New Roman" w:cs="Times New Roman"/>
          <w:sz w:val="24"/>
          <w:szCs w:val="24"/>
        </w:rPr>
        <w:t>duration</w:t>
      </w:r>
      <w:r w:rsidR="00F64FBB" w:rsidRPr="008269E4">
        <w:rPr>
          <w:rFonts w:ascii="Times New Roman" w:hAnsi="Times New Roman" w:cs="Times New Roman"/>
          <w:sz w:val="24"/>
          <w:szCs w:val="24"/>
        </w:rPr>
        <w:t xml:space="preserve">. Other important </w:t>
      </w:r>
      <w:r w:rsidR="00E246E7" w:rsidRPr="008269E4">
        <w:rPr>
          <w:rFonts w:ascii="Times New Roman" w:hAnsi="Times New Roman" w:cs="Times New Roman"/>
          <w:sz w:val="24"/>
          <w:szCs w:val="24"/>
        </w:rPr>
        <w:t>factors</w:t>
      </w:r>
      <w:r w:rsidR="00F64FBB" w:rsidRPr="008269E4">
        <w:rPr>
          <w:rFonts w:ascii="Times New Roman" w:hAnsi="Times New Roman" w:cs="Times New Roman"/>
          <w:sz w:val="24"/>
          <w:szCs w:val="24"/>
        </w:rPr>
        <w:t xml:space="preserve"> are health or disability conditions. We include dummy variables on (</w:t>
      </w:r>
      <w:proofErr w:type="spellStart"/>
      <w:r w:rsidR="00F64FBB" w:rsidRPr="008269E4">
        <w:rPr>
          <w:rFonts w:ascii="Times New Roman" w:hAnsi="Times New Roman" w:cs="Times New Roman"/>
          <w:sz w:val="24"/>
          <w:szCs w:val="24"/>
        </w:rPr>
        <w:t>i</w:t>
      </w:r>
      <w:proofErr w:type="spellEnd"/>
      <w:r w:rsidR="00F64FBB" w:rsidRPr="008269E4">
        <w:rPr>
          <w:rFonts w:ascii="Times New Roman" w:hAnsi="Times New Roman" w:cs="Times New Roman"/>
          <w:sz w:val="24"/>
          <w:szCs w:val="24"/>
        </w:rPr>
        <w:t xml:space="preserve">) </w:t>
      </w:r>
      <w:r w:rsidRPr="008269E4">
        <w:rPr>
          <w:rFonts w:ascii="Times New Roman" w:hAnsi="Times New Roman" w:cs="Times New Roman"/>
          <w:sz w:val="24"/>
          <w:szCs w:val="24"/>
        </w:rPr>
        <w:t>whether a household member suffered from NCD</w:t>
      </w:r>
      <w:r w:rsidR="00F5029A" w:rsidRPr="008269E4">
        <w:rPr>
          <w:rFonts w:ascii="Times New Roman" w:hAnsi="Times New Roman" w:cs="Times New Roman"/>
          <w:sz w:val="24"/>
          <w:szCs w:val="24"/>
        </w:rPr>
        <w:t>,</w:t>
      </w:r>
      <w:r w:rsidR="004D372C">
        <w:rPr>
          <w:rFonts w:ascii="Times New Roman" w:hAnsi="Times New Roman" w:cs="Times New Roman"/>
          <w:sz w:val="24"/>
          <w:szCs w:val="24"/>
        </w:rPr>
        <w:t xml:space="preserve"> </w:t>
      </w:r>
      <w:r w:rsidR="00F64FBB" w:rsidRPr="008269E4">
        <w:rPr>
          <w:rFonts w:ascii="Times New Roman" w:hAnsi="Times New Roman" w:cs="Times New Roman"/>
          <w:sz w:val="24"/>
          <w:szCs w:val="24"/>
        </w:rPr>
        <w:t xml:space="preserve">and (ii) </w:t>
      </w:r>
      <w:r w:rsidRPr="008269E4">
        <w:rPr>
          <w:rFonts w:ascii="Times New Roman" w:hAnsi="Times New Roman" w:cs="Times New Roman"/>
          <w:sz w:val="24"/>
          <w:szCs w:val="24"/>
        </w:rPr>
        <w:t>whether there was a disabled member</w:t>
      </w:r>
      <w:r w:rsidR="00F64FBB" w:rsidRPr="008269E4">
        <w:rPr>
          <w:rFonts w:ascii="Times New Roman" w:hAnsi="Times New Roman" w:cs="Times New Roman"/>
          <w:sz w:val="24"/>
          <w:szCs w:val="24"/>
        </w:rPr>
        <w:t xml:space="preserve">. </w:t>
      </w:r>
      <w:r w:rsidR="00262065" w:rsidRPr="008269E4">
        <w:rPr>
          <w:rFonts w:ascii="Times New Roman" w:hAnsi="Times New Roman" w:cs="Times New Roman"/>
          <w:sz w:val="24"/>
          <w:szCs w:val="24"/>
        </w:rPr>
        <w:t>Other covariates are</w:t>
      </w:r>
      <w:r w:rsidR="004D372C">
        <w:rPr>
          <w:rFonts w:ascii="Times New Roman" w:hAnsi="Times New Roman" w:cs="Times New Roman"/>
          <w:sz w:val="24"/>
          <w:szCs w:val="24"/>
        </w:rPr>
        <w:t xml:space="preserve"> </w:t>
      </w:r>
      <w:r w:rsidR="00262065" w:rsidRPr="008269E4">
        <w:rPr>
          <w:rFonts w:ascii="Times New Roman" w:hAnsi="Times New Roman" w:cs="Times New Roman"/>
          <w:sz w:val="24"/>
          <w:szCs w:val="24"/>
        </w:rPr>
        <w:t xml:space="preserve">whether there was a </w:t>
      </w:r>
      <w:r w:rsidR="00EA63FC" w:rsidRPr="008269E4">
        <w:rPr>
          <w:rFonts w:ascii="Times New Roman" w:hAnsi="Times New Roman" w:cs="Times New Roman"/>
          <w:sz w:val="24"/>
          <w:szCs w:val="24"/>
        </w:rPr>
        <w:t>conflict</w:t>
      </w:r>
      <w:r w:rsidR="004D372C">
        <w:rPr>
          <w:rFonts w:ascii="Times New Roman" w:hAnsi="Times New Roman" w:cs="Times New Roman"/>
          <w:sz w:val="24"/>
          <w:szCs w:val="24"/>
        </w:rPr>
        <w:t xml:space="preserve"> </w:t>
      </w:r>
      <w:r w:rsidR="00262065" w:rsidRPr="008269E4">
        <w:rPr>
          <w:rFonts w:ascii="Times New Roman" w:hAnsi="Times New Roman" w:cs="Times New Roman"/>
          <w:sz w:val="24"/>
          <w:szCs w:val="24"/>
        </w:rPr>
        <w:t>in the</w:t>
      </w:r>
      <w:r w:rsidR="004D372C">
        <w:rPr>
          <w:rFonts w:ascii="Times New Roman" w:hAnsi="Times New Roman" w:cs="Times New Roman"/>
          <w:sz w:val="24"/>
          <w:szCs w:val="24"/>
        </w:rPr>
        <w:t xml:space="preserve"> </w:t>
      </w:r>
      <w:proofErr w:type="gramStart"/>
      <w:r w:rsidR="00262065" w:rsidRPr="008269E4">
        <w:rPr>
          <w:rFonts w:ascii="Times New Roman" w:hAnsi="Times New Roman" w:cs="Times New Roman"/>
          <w:sz w:val="24"/>
          <w:szCs w:val="24"/>
        </w:rPr>
        <w:t>village</w:t>
      </w:r>
      <w:r w:rsidR="006B56FE" w:rsidRPr="008269E4">
        <w:rPr>
          <w:rFonts w:ascii="Times New Roman" w:hAnsi="Times New Roman" w:cs="Times New Roman"/>
          <w:sz w:val="24"/>
          <w:szCs w:val="24"/>
        </w:rPr>
        <w:t>,</w:t>
      </w:r>
      <w:proofErr w:type="gramEnd"/>
      <w:r w:rsidR="004D372C">
        <w:rPr>
          <w:rFonts w:ascii="Times New Roman" w:hAnsi="Times New Roman" w:cs="Times New Roman"/>
          <w:sz w:val="24"/>
          <w:szCs w:val="24"/>
        </w:rPr>
        <w:t xml:space="preserve"> </w:t>
      </w:r>
      <w:r w:rsidRPr="008269E4">
        <w:rPr>
          <w:rFonts w:ascii="Times New Roman" w:hAnsi="Times New Roman" w:cs="Times New Roman"/>
          <w:sz w:val="24"/>
          <w:szCs w:val="24"/>
        </w:rPr>
        <w:t>exposure to mass media by gender</w:t>
      </w:r>
      <w:r w:rsidR="006B56FE" w:rsidRPr="008269E4">
        <w:rPr>
          <w:rFonts w:ascii="Times New Roman" w:hAnsi="Times New Roman" w:cs="Times New Roman"/>
          <w:sz w:val="24"/>
          <w:szCs w:val="24"/>
        </w:rPr>
        <w:t xml:space="preserve">, whether any household member experienced a theft and whether </w:t>
      </w:r>
      <w:r w:rsidR="004A5762" w:rsidRPr="008269E4">
        <w:rPr>
          <w:rFonts w:ascii="Times New Roman" w:hAnsi="Times New Roman" w:cs="Times New Roman"/>
          <w:sz w:val="24"/>
          <w:szCs w:val="24"/>
        </w:rPr>
        <w:t xml:space="preserve">received remittances. </w:t>
      </w:r>
      <w:r w:rsidR="00262065" w:rsidRPr="008269E4">
        <w:rPr>
          <w:rFonts w:ascii="Times New Roman" w:hAnsi="Times New Roman" w:cs="Times New Roman"/>
          <w:sz w:val="24"/>
          <w:szCs w:val="24"/>
        </w:rPr>
        <w:t xml:space="preserve">The model also controls for the </w:t>
      </w:r>
      <w:r w:rsidRPr="008269E4">
        <w:rPr>
          <w:rFonts w:ascii="Times New Roman" w:hAnsi="Times New Roman" w:cs="Times New Roman"/>
          <w:sz w:val="24"/>
          <w:szCs w:val="24"/>
        </w:rPr>
        <w:t>net state</w:t>
      </w:r>
      <w:r w:rsidR="00262065" w:rsidRPr="008269E4">
        <w:rPr>
          <w:rFonts w:ascii="Times New Roman" w:hAnsi="Times New Roman" w:cs="Times New Roman"/>
          <w:sz w:val="24"/>
          <w:szCs w:val="24"/>
        </w:rPr>
        <w:t>-level</w:t>
      </w:r>
      <w:r w:rsidRPr="008269E4">
        <w:rPr>
          <w:rFonts w:ascii="Times New Roman" w:hAnsi="Times New Roman" w:cs="Times New Roman"/>
          <w:sz w:val="24"/>
          <w:szCs w:val="24"/>
        </w:rPr>
        <w:t xml:space="preserve"> domestic product per capita and its square</w:t>
      </w:r>
      <w:r w:rsidR="00262065" w:rsidRPr="008269E4">
        <w:rPr>
          <w:rFonts w:ascii="Times New Roman" w:hAnsi="Times New Roman" w:cs="Times New Roman"/>
          <w:sz w:val="24"/>
          <w:szCs w:val="24"/>
        </w:rPr>
        <w:t>d term</w:t>
      </w:r>
      <w:r w:rsidRPr="008269E4">
        <w:rPr>
          <w:rFonts w:ascii="Times New Roman" w:hAnsi="Times New Roman" w:cs="Times New Roman"/>
          <w:sz w:val="24"/>
          <w:szCs w:val="24"/>
        </w:rPr>
        <w:t xml:space="preserve">, and </w:t>
      </w:r>
      <w:r w:rsidR="00262065" w:rsidRPr="008269E4">
        <w:rPr>
          <w:rFonts w:ascii="Times New Roman" w:hAnsi="Times New Roman" w:cs="Times New Roman"/>
          <w:sz w:val="24"/>
          <w:szCs w:val="24"/>
        </w:rPr>
        <w:t xml:space="preserve">the </w:t>
      </w:r>
      <w:r w:rsidRPr="008269E4">
        <w:rPr>
          <w:rFonts w:ascii="Times New Roman" w:hAnsi="Times New Roman" w:cs="Times New Roman"/>
          <w:sz w:val="24"/>
          <w:szCs w:val="24"/>
        </w:rPr>
        <w:t>Piketty measure of income inequality</w:t>
      </w:r>
      <w:r w:rsidR="00262065" w:rsidRPr="008269E4">
        <w:rPr>
          <w:rFonts w:ascii="Times New Roman" w:hAnsi="Times New Roman" w:cs="Times New Roman"/>
          <w:sz w:val="24"/>
          <w:szCs w:val="24"/>
        </w:rPr>
        <w:t xml:space="preserve"> (i.e., the ratio of share</w:t>
      </w:r>
      <w:r w:rsidR="001F1D8F" w:rsidRPr="008269E4">
        <w:rPr>
          <w:rFonts w:ascii="Times New Roman" w:hAnsi="Times New Roman" w:cs="Times New Roman"/>
          <w:sz w:val="24"/>
          <w:szCs w:val="24"/>
        </w:rPr>
        <w:t xml:space="preserve"> of</w:t>
      </w:r>
      <w:r w:rsidR="00262065" w:rsidRPr="008269E4">
        <w:rPr>
          <w:rFonts w:ascii="Times New Roman" w:hAnsi="Times New Roman" w:cs="Times New Roman"/>
          <w:sz w:val="24"/>
          <w:szCs w:val="24"/>
        </w:rPr>
        <w:t xml:space="preserve"> top 1% to </w:t>
      </w:r>
      <w:r w:rsidR="001F1D8F" w:rsidRPr="008269E4">
        <w:rPr>
          <w:rFonts w:ascii="Times New Roman" w:hAnsi="Times New Roman" w:cs="Times New Roman"/>
          <w:sz w:val="24"/>
          <w:szCs w:val="24"/>
        </w:rPr>
        <w:t xml:space="preserve">that of </w:t>
      </w:r>
      <w:r w:rsidR="00262065" w:rsidRPr="008269E4">
        <w:rPr>
          <w:rFonts w:ascii="Times New Roman" w:hAnsi="Times New Roman" w:cs="Times New Roman"/>
          <w:sz w:val="24"/>
          <w:szCs w:val="24"/>
        </w:rPr>
        <w:t>bottom 50%</w:t>
      </w:r>
      <w:r w:rsidR="001F1D8F" w:rsidRPr="008269E4">
        <w:rPr>
          <w:rFonts w:ascii="Times New Roman" w:hAnsi="Times New Roman" w:cs="Times New Roman"/>
          <w:sz w:val="24"/>
          <w:szCs w:val="24"/>
        </w:rPr>
        <w:t xml:space="preserve"> in total income</w:t>
      </w:r>
      <w:r w:rsidR="00262065" w:rsidRPr="008269E4">
        <w:rPr>
          <w:rFonts w:ascii="Times New Roman" w:hAnsi="Times New Roman" w:cs="Times New Roman"/>
          <w:sz w:val="24"/>
          <w:szCs w:val="24"/>
        </w:rPr>
        <w:t>)</w:t>
      </w:r>
      <w:r w:rsidRPr="008269E4">
        <w:rPr>
          <w:rFonts w:ascii="Times New Roman" w:hAnsi="Times New Roman" w:cs="Times New Roman"/>
          <w:sz w:val="24"/>
          <w:szCs w:val="24"/>
        </w:rPr>
        <w:t xml:space="preserve">. </w:t>
      </w:r>
    </w:p>
    <w:p w14:paraId="64C5ECE0" w14:textId="4A3ED8E5" w:rsidR="00884E53" w:rsidRPr="008269E4" w:rsidRDefault="006B56FE" w:rsidP="00783638">
      <w:pPr>
        <w:jc w:val="both"/>
        <w:rPr>
          <w:rFonts w:ascii="Times New Roman" w:hAnsi="Times New Roman" w:cs="Times New Roman"/>
          <w:sz w:val="24"/>
          <w:szCs w:val="24"/>
        </w:rPr>
      </w:pPr>
      <w:r w:rsidRPr="008269E4">
        <w:rPr>
          <w:rFonts w:ascii="Times New Roman" w:hAnsi="Times New Roman" w:cs="Times New Roman"/>
          <w:sz w:val="24"/>
          <w:szCs w:val="24"/>
        </w:rPr>
        <w:t xml:space="preserve">Because </w:t>
      </w:r>
      <w:r w:rsidR="00884E53" w:rsidRPr="008269E4">
        <w:rPr>
          <w:rFonts w:ascii="Times New Roman" w:hAnsi="Times New Roman" w:cs="Times New Roman"/>
          <w:sz w:val="24"/>
          <w:szCs w:val="24"/>
        </w:rPr>
        <w:t>∆</w:t>
      </w:r>
      <w:r w:rsidR="00783638" w:rsidRPr="008269E4">
        <w:rPr>
          <w:rFonts w:ascii="Times New Roman" w:hAnsi="Times New Roman" w:cs="Times New Roman"/>
          <w:sz w:val="24"/>
          <w:szCs w:val="24"/>
        </w:rPr>
        <w:t xml:space="preserve">SWB </w:t>
      </w:r>
      <w:r w:rsidRPr="008269E4">
        <w:rPr>
          <w:rFonts w:ascii="Times New Roman" w:hAnsi="Times New Roman" w:cs="Times New Roman"/>
          <w:sz w:val="24"/>
          <w:szCs w:val="24"/>
        </w:rPr>
        <w:t>is the perceived change of economic well-being during the last 7 years</w:t>
      </w:r>
      <w:r w:rsidR="008A7E47">
        <w:rPr>
          <w:rFonts w:ascii="Times New Roman" w:hAnsi="Times New Roman" w:cs="Times New Roman"/>
          <w:sz w:val="24"/>
          <w:szCs w:val="24"/>
        </w:rPr>
        <w:t xml:space="preserve"> or </w:t>
      </w:r>
      <w:r w:rsidR="005D7277">
        <w:rPr>
          <w:rFonts w:ascii="Times New Roman" w:hAnsi="Times New Roman" w:cs="Times New Roman"/>
          <w:sz w:val="24"/>
          <w:szCs w:val="24"/>
        </w:rPr>
        <w:t xml:space="preserve">between 2005 and </w:t>
      </w:r>
      <w:r w:rsidR="008A7E47">
        <w:rPr>
          <w:rFonts w:ascii="Times New Roman" w:hAnsi="Times New Roman" w:cs="Times New Roman"/>
          <w:sz w:val="24"/>
          <w:szCs w:val="24"/>
        </w:rPr>
        <w:t>2012</w:t>
      </w:r>
      <w:r w:rsidRPr="008269E4">
        <w:rPr>
          <w:rFonts w:ascii="Times New Roman" w:hAnsi="Times New Roman" w:cs="Times New Roman"/>
          <w:sz w:val="24"/>
          <w:szCs w:val="24"/>
        </w:rPr>
        <w:t xml:space="preserve">, all the </w:t>
      </w:r>
      <w:r w:rsidR="00783638" w:rsidRPr="008269E4">
        <w:rPr>
          <w:rFonts w:ascii="Times New Roman" w:hAnsi="Times New Roman" w:cs="Times New Roman"/>
          <w:sz w:val="24"/>
          <w:szCs w:val="24"/>
        </w:rPr>
        <w:t xml:space="preserve">explanatory variables are </w:t>
      </w:r>
      <w:r w:rsidRPr="008269E4">
        <w:rPr>
          <w:rFonts w:ascii="Times New Roman" w:hAnsi="Times New Roman" w:cs="Times New Roman"/>
          <w:sz w:val="24"/>
          <w:szCs w:val="24"/>
        </w:rPr>
        <w:t>based on the survey questions in</w:t>
      </w:r>
      <w:r w:rsidR="00783638" w:rsidRPr="008269E4">
        <w:rPr>
          <w:rFonts w:ascii="Times New Roman" w:hAnsi="Times New Roman" w:cs="Times New Roman"/>
          <w:sz w:val="24"/>
          <w:szCs w:val="24"/>
        </w:rPr>
        <w:t xml:space="preserve"> 2005</w:t>
      </w:r>
      <w:r w:rsidRPr="008269E4">
        <w:rPr>
          <w:rFonts w:ascii="Times New Roman" w:hAnsi="Times New Roman" w:cs="Times New Roman"/>
          <w:sz w:val="24"/>
          <w:szCs w:val="24"/>
        </w:rPr>
        <w:t xml:space="preserve"> to partially address the issue of r</w:t>
      </w:r>
      <w:r w:rsidR="00783638" w:rsidRPr="008269E4">
        <w:rPr>
          <w:rFonts w:ascii="Times New Roman" w:hAnsi="Times New Roman" w:cs="Times New Roman"/>
          <w:sz w:val="24"/>
          <w:szCs w:val="24"/>
        </w:rPr>
        <w:t xml:space="preserve">everse causation from </w:t>
      </w:r>
      <w:r w:rsidR="00884E53" w:rsidRPr="008269E4">
        <w:rPr>
          <w:rFonts w:ascii="Times New Roman" w:hAnsi="Times New Roman" w:cs="Times New Roman"/>
          <w:sz w:val="24"/>
          <w:szCs w:val="24"/>
        </w:rPr>
        <w:t>∆</w:t>
      </w:r>
      <w:r w:rsidR="00783638" w:rsidRPr="008269E4">
        <w:rPr>
          <w:rFonts w:ascii="Times New Roman" w:hAnsi="Times New Roman" w:cs="Times New Roman"/>
          <w:sz w:val="24"/>
          <w:szCs w:val="24"/>
        </w:rPr>
        <w:t>SWB to</w:t>
      </w:r>
      <w:r w:rsidRPr="008269E4">
        <w:rPr>
          <w:rFonts w:ascii="Times New Roman" w:hAnsi="Times New Roman" w:cs="Times New Roman"/>
          <w:sz w:val="24"/>
          <w:szCs w:val="24"/>
        </w:rPr>
        <w:t>, for instance,</w:t>
      </w:r>
      <w:r w:rsidR="004D372C">
        <w:rPr>
          <w:rFonts w:ascii="Times New Roman" w:hAnsi="Times New Roman" w:cs="Times New Roman"/>
          <w:sz w:val="24"/>
          <w:szCs w:val="24"/>
        </w:rPr>
        <w:t xml:space="preserve"> </w:t>
      </w:r>
      <w:r w:rsidR="00783638" w:rsidRPr="008269E4">
        <w:rPr>
          <w:rFonts w:ascii="Times New Roman" w:hAnsi="Times New Roman" w:cs="Times New Roman"/>
          <w:sz w:val="24"/>
          <w:szCs w:val="24"/>
        </w:rPr>
        <w:t xml:space="preserve">health or income/expenditure. </w:t>
      </w:r>
    </w:p>
    <w:p w14:paraId="181D305C" w14:textId="285A9A3C" w:rsidR="00884E53" w:rsidRPr="008269E4" w:rsidRDefault="00884E53" w:rsidP="00783638">
      <w:pPr>
        <w:jc w:val="both"/>
        <w:rPr>
          <w:rFonts w:ascii="Times New Roman" w:hAnsi="Times New Roman" w:cs="Times New Roman"/>
          <w:sz w:val="24"/>
          <w:szCs w:val="24"/>
        </w:rPr>
      </w:pPr>
      <w:r w:rsidRPr="008269E4">
        <w:rPr>
          <w:rFonts w:ascii="Times New Roman" w:hAnsi="Times New Roman" w:cs="Times New Roman"/>
          <w:sz w:val="24"/>
          <w:szCs w:val="24"/>
        </w:rPr>
        <w:t xml:space="preserve">In another specification, ∆SWB, a dependent variable, is replaced by ∆OWB (0, 1, 2), which indicates ‘worse-off’, ‘roughly the same’ or ‘better-off’ based on the ranking of the growth of real per capita household expenditure and with the frequency distribution identical to ∆SWB. </w:t>
      </w:r>
    </w:p>
    <w:p w14:paraId="32D4EAE0" w14:textId="77777777" w:rsidR="00783638" w:rsidRPr="008269E4" w:rsidRDefault="00800B4E" w:rsidP="00783638">
      <w:pPr>
        <w:jc w:val="both"/>
        <w:rPr>
          <w:rFonts w:ascii="Times New Roman" w:hAnsi="Times New Roman" w:cs="Times New Roman"/>
          <w:sz w:val="24"/>
          <w:szCs w:val="24"/>
        </w:rPr>
      </w:pPr>
      <w:r w:rsidRPr="008269E4">
        <w:rPr>
          <w:rFonts w:ascii="Times New Roman" w:hAnsi="Times New Roman" w:cs="Times New Roman"/>
          <w:sz w:val="24"/>
          <w:szCs w:val="24"/>
        </w:rPr>
        <w:t xml:space="preserve">A standard </w:t>
      </w:r>
      <w:r w:rsidR="00B131AC" w:rsidRPr="008269E4">
        <w:rPr>
          <w:rFonts w:ascii="Times New Roman" w:hAnsi="Times New Roman" w:cs="Times New Roman"/>
          <w:sz w:val="24"/>
          <w:szCs w:val="24"/>
        </w:rPr>
        <w:t xml:space="preserve">OLS model is expressed as: </w:t>
      </w:r>
    </w:p>
    <w:p w14:paraId="2D4368B8" w14:textId="77777777" w:rsidR="00783638" w:rsidRPr="008269E4" w:rsidRDefault="009C0C62" w:rsidP="00783638">
      <w:pPr>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β+</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m:t>
            </m:r>
          </m:sub>
        </m:sSub>
      </m:oMath>
      <w:r w:rsidR="00783638" w:rsidRPr="008269E4">
        <w:rPr>
          <w:rFonts w:ascii="Times New Roman" w:hAnsi="Times New Roman" w:cs="Times New Roman"/>
          <w:sz w:val="24"/>
          <w:szCs w:val="24"/>
        </w:rPr>
        <w:t xml:space="preserve">   …….      (1)</w:t>
      </w:r>
    </w:p>
    <w:p w14:paraId="0E15306A" w14:textId="77777777" w:rsidR="00712D48" w:rsidRDefault="004D372C" w:rsidP="003D2965">
      <w:pPr>
        <w:jc w:val="both"/>
        <w:rPr>
          <w:rFonts w:ascii="Times New Roman" w:hAnsi="Times New Roman" w:cs="Times New Roman"/>
          <w:sz w:val="24"/>
          <w:szCs w:val="24"/>
        </w:rPr>
      </w:pPr>
      <w:proofErr w:type="gramStart"/>
      <w:r>
        <w:rPr>
          <w:rFonts w:ascii="Times New Roman" w:hAnsi="Times New Roman" w:cs="Times New Roman"/>
          <w:sz w:val="24"/>
          <w:szCs w:val="24"/>
        </w:rPr>
        <w:t>w</w:t>
      </w:r>
      <w:r w:rsidR="00783638" w:rsidRPr="008269E4">
        <w:rPr>
          <w:rFonts w:ascii="Times New Roman" w:hAnsi="Times New Roman" w:cs="Times New Roman"/>
          <w:sz w:val="24"/>
          <w:szCs w:val="24"/>
        </w:rPr>
        <w:t>here</w:t>
      </w:r>
      <w:proofErr w:type="gramEnd"/>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oMath>
      <w:r w:rsidR="00A034B6" w:rsidRPr="008269E4">
        <w:rPr>
          <w:rFonts w:ascii="Times New Roman" w:hAnsi="Times New Roman" w:cs="Times New Roman"/>
          <w:sz w:val="24"/>
          <w:szCs w:val="24"/>
        </w:rPr>
        <w:t xml:space="preserve"> is </w:t>
      </w:r>
      <w:r w:rsidR="00B131AC" w:rsidRPr="008269E4">
        <w:rPr>
          <w:rFonts w:ascii="Times New Roman" w:hAnsi="Times New Roman" w:cs="Times New Roman"/>
          <w:sz w:val="24"/>
          <w:szCs w:val="24"/>
        </w:rPr>
        <w:t xml:space="preserve">a </w:t>
      </w:r>
      <w:r w:rsidR="00800B4E" w:rsidRPr="008269E4">
        <w:rPr>
          <w:rFonts w:ascii="Times New Roman" w:hAnsi="Times New Roman" w:cs="Times New Roman"/>
          <w:sz w:val="24"/>
          <w:szCs w:val="24"/>
        </w:rPr>
        <w:t xml:space="preserve">vector, </w:t>
      </w:r>
      <w:r w:rsidR="00A034B6" w:rsidRPr="008269E4">
        <w:rPr>
          <w:rFonts w:ascii="Times New Roman" w:hAnsi="Times New Roman" w:cs="Times New Roman"/>
          <w:sz w:val="24"/>
          <w:szCs w:val="24"/>
        </w:rPr>
        <w:t>∆SWB or ∆OWB (0, 1, 2)</w:t>
      </w:r>
      <w:r w:rsidR="00B131AC" w:rsidRPr="008269E4">
        <w:rPr>
          <w:rFonts w:ascii="Times New Roman" w:hAnsi="Times New Roman" w:cs="Times New Roman"/>
          <w:sz w:val="24"/>
          <w:szCs w:val="24"/>
        </w:rPr>
        <w:t xml:space="preserve">, the change in subjective or objective well-being from 2005 to 2012, and </w:t>
      </w:r>
      <m:oMath>
        <m:r>
          <w:rPr>
            <w:rFonts w:ascii="Cambria Math" w:hAnsi="Cambria Math" w:cs="Times New Roman"/>
            <w:sz w:val="24"/>
            <w:szCs w:val="24"/>
          </w:rPr>
          <m:t>i</m:t>
        </m:r>
      </m:oMath>
      <w:r w:rsidR="00800B4E" w:rsidRPr="008269E4">
        <w:rPr>
          <w:rFonts w:ascii="Times New Roman" w:eastAsiaTheme="minorEastAsia" w:hAnsi="Times New Roman" w:cs="Times New Roman"/>
          <w:sz w:val="24"/>
          <w:szCs w:val="24"/>
        </w:rPr>
        <w:t xml:space="preserve"> stands </w:t>
      </w:r>
      <w:r w:rsidR="008A7E47">
        <w:rPr>
          <w:rFonts w:ascii="Times New Roman" w:eastAsiaTheme="minorEastAsia" w:hAnsi="Times New Roman" w:cs="Times New Roman"/>
          <w:sz w:val="24"/>
          <w:szCs w:val="24"/>
        </w:rPr>
        <w:t xml:space="preserve">for </w:t>
      </w:r>
      <w:r w:rsidR="00A034B6" w:rsidRPr="008269E4">
        <w:rPr>
          <w:rFonts w:ascii="Times New Roman" w:eastAsiaTheme="minorEastAsia" w:hAnsi="Times New Roman" w:cs="Times New Roman"/>
          <w:sz w:val="24"/>
          <w:szCs w:val="24"/>
        </w:rPr>
        <w:t>t</w:t>
      </w:r>
      <w:r w:rsidR="00800B4E" w:rsidRPr="008269E4">
        <w:rPr>
          <w:rFonts w:ascii="Times New Roman" w:eastAsiaTheme="minorEastAsia" w:hAnsi="Times New Roman" w:cs="Times New Roman"/>
          <w:sz w:val="24"/>
          <w:szCs w:val="24"/>
        </w:rPr>
        <w:t xml:space="preserve">he household head </w:t>
      </w:r>
      <w:r w:rsidR="00A034B6" w:rsidRPr="008269E4">
        <w:rPr>
          <w:rFonts w:ascii="Times New Roman" w:eastAsiaTheme="minorEastAsia" w:hAnsi="Times New Roman" w:cs="Times New Roman"/>
          <w:sz w:val="24"/>
          <w:szCs w:val="24"/>
        </w:rPr>
        <w:t xml:space="preserve">(1, …., 27,958).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00A034B6" w:rsidRPr="008269E4">
        <w:rPr>
          <w:rFonts w:ascii="Times New Roman" w:eastAsiaTheme="minorEastAsia" w:hAnsi="Times New Roman" w:cs="Times New Roman"/>
          <w:sz w:val="24"/>
          <w:szCs w:val="24"/>
        </w:rPr>
        <w:t xml:space="preserve"> </w:t>
      </w:r>
      <w:proofErr w:type="gramStart"/>
      <w:r w:rsidR="00A034B6" w:rsidRPr="008269E4">
        <w:rPr>
          <w:rFonts w:ascii="Times New Roman" w:eastAsiaTheme="minorEastAsia" w:hAnsi="Times New Roman" w:cs="Times New Roman"/>
          <w:sz w:val="24"/>
          <w:szCs w:val="24"/>
        </w:rPr>
        <w:t>denotes</w:t>
      </w:r>
      <w:proofErr w:type="gramEnd"/>
      <w:r w:rsidR="00A034B6" w:rsidRPr="008269E4">
        <w:rPr>
          <w:rFonts w:ascii="Times New Roman" w:eastAsiaTheme="minorEastAsia" w:hAnsi="Times New Roman" w:cs="Times New Roman"/>
          <w:sz w:val="24"/>
          <w:szCs w:val="24"/>
        </w:rPr>
        <w:t xml:space="preserve"> a </w:t>
      </w:r>
      <w:r w:rsidR="00800B4E" w:rsidRPr="008269E4">
        <w:rPr>
          <w:rFonts w:ascii="Times New Roman" w:eastAsiaTheme="minorEastAsia" w:hAnsi="Times New Roman" w:cs="Times New Roman"/>
          <w:sz w:val="24"/>
          <w:szCs w:val="24"/>
        </w:rPr>
        <w:t>matrix</w:t>
      </w:r>
      <w:r w:rsidR="00B131AC" w:rsidRPr="008269E4">
        <w:rPr>
          <w:rFonts w:ascii="Times New Roman" w:eastAsiaTheme="minorEastAsia" w:hAnsi="Times New Roman" w:cs="Times New Roman"/>
          <w:sz w:val="24"/>
          <w:szCs w:val="24"/>
        </w:rPr>
        <w:t xml:space="preserve"> containing the intercept and a number of explan</w:t>
      </w:r>
      <w:r w:rsidR="00865528" w:rsidRPr="008269E4">
        <w:rPr>
          <w:rFonts w:ascii="Times New Roman" w:eastAsiaTheme="minorEastAsia" w:hAnsi="Times New Roman" w:cs="Times New Roman"/>
          <w:sz w:val="24"/>
          <w:szCs w:val="24"/>
        </w:rPr>
        <w:t xml:space="preserve">atory variables described above and </w:t>
      </w:r>
      <m:oMath>
        <m:r>
          <w:rPr>
            <w:rFonts w:ascii="Cambria Math" w:hAnsi="Cambria Math" w:cs="Times New Roman"/>
            <w:sz w:val="24"/>
            <w:szCs w:val="24"/>
          </w:rPr>
          <m:t>β</m:t>
        </m:r>
      </m:oMath>
      <w:r w:rsidR="00865528" w:rsidRPr="008269E4">
        <w:rPr>
          <w:rFonts w:ascii="Times New Roman" w:eastAsiaTheme="minorEastAsia" w:hAnsi="Times New Roman" w:cs="Times New Roman"/>
          <w:sz w:val="24"/>
          <w:szCs w:val="24"/>
        </w:rPr>
        <w:t xml:space="preserve">is a vector of coefficients to be estimated.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00783638" w:rsidRPr="008269E4">
        <w:rPr>
          <w:rFonts w:ascii="Times New Roman" w:hAnsi="Times New Roman" w:cs="Times New Roman"/>
          <w:sz w:val="24"/>
          <w:szCs w:val="24"/>
        </w:rPr>
        <w:t>includ</w:t>
      </w:r>
      <w:r w:rsidR="00B131AC" w:rsidRPr="008269E4">
        <w:rPr>
          <w:rFonts w:ascii="Times New Roman" w:hAnsi="Times New Roman" w:cs="Times New Roman"/>
          <w:sz w:val="24"/>
          <w:szCs w:val="24"/>
        </w:rPr>
        <w:t>es</w:t>
      </w:r>
      <w:r w:rsidR="00783638" w:rsidRPr="008269E4">
        <w:rPr>
          <w:rFonts w:ascii="Times New Roman" w:hAnsi="Times New Roman" w:cs="Times New Roman"/>
          <w:sz w:val="24"/>
          <w:szCs w:val="24"/>
        </w:rPr>
        <w:t xml:space="preserve"> household characteristics  (such as age, log of  expenditure per capita</w:t>
      </w:r>
      <w:r w:rsidR="00B131AC" w:rsidRPr="008269E4">
        <w:rPr>
          <w:rFonts w:ascii="Times New Roman" w:hAnsi="Times New Roman" w:cs="Times New Roman"/>
          <w:sz w:val="24"/>
          <w:szCs w:val="24"/>
        </w:rPr>
        <w:t xml:space="preserve"> in 2005</w:t>
      </w:r>
      <w:r w:rsidR="00783638" w:rsidRPr="008269E4">
        <w:rPr>
          <w:rFonts w:ascii="Times New Roman" w:hAnsi="Times New Roman" w:cs="Times New Roman"/>
          <w:sz w:val="24"/>
          <w:szCs w:val="24"/>
        </w:rPr>
        <w:t xml:space="preserve">,religion, caste, gender, location, household size, whether suffering from </w:t>
      </w:r>
      <w:r w:rsidR="00B131AC" w:rsidRPr="008269E4">
        <w:rPr>
          <w:rFonts w:ascii="Times New Roman" w:hAnsi="Times New Roman" w:cs="Times New Roman"/>
          <w:sz w:val="24"/>
          <w:szCs w:val="24"/>
        </w:rPr>
        <w:t>a</w:t>
      </w:r>
      <w:r w:rsidR="008A7E47">
        <w:rPr>
          <w:rFonts w:ascii="Times New Roman" w:hAnsi="Times New Roman" w:cs="Times New Roman"/>
          <w:sz w:val="24"/>
          <w:szCs w:val="24"/>
        </w:rPr>
        <w:t>n</w:t>
      </w:r>
      <w:r>
        <w:rPr>
          <w:rFonts w:ascii="Times New Roman" w:hAnsi="Times New Roman" w:cs="Times New Roman"/>
          <w:sz w:val="24"/>
          <w:szCs w:val="24"/>
        </w:rPr>
        <w:t xml:space="preserve"> </w:t>
      </w:r>
      <w:r w:rsidR="00783638" w:rsidRPr="008269E4">
        <w:rPr>
          <w:rFonts w:ascii="Times New Roman" w:hAnsi="Times New Roman" w:cs="Times New Roman"/>
          <w:sz w:val="24"/>
          <w:szCs w:val="24"/>
        </w:rPr>
        <w:t>NCD, a disability, whether experience</w:t>
      </w:r>
      <w:r w:rsidR="002716A2" w:rsidRPr="008269E4">
        <w:rPr>
          <w:rFonts w:ascii="Times New Roman" w:hAnsi="Times New Roman" w:cs="Times New Roman"/>
          <w:sz w:val="24"/>
          <w:szCs w:val="24"/>
        </w:rPr>
        <w:t>s</w:t>
      </w:r>
      <w:r w:rsidR="00783638" w:rsidRPr="008269E4">
        <w:rPr>
          <w:rFonts w:ascii="Times New Roman" w:hAnsi="Times New Roman" w:cs="Times New Roman"/>
          <w:sz w:val="24"/>
          <w:szCs w:val="24"/>
        </w:rPr>
        <w:t xml:space="preserve"> a theft, whether receive</w:t>
      </w:r>
      <w:r w:rsidR="002716A2" w:rsidRPr="008269E4">
        <w:rPr>
          <w:rFonts w:ascii="Times New Roman" w:hAnsi="Times New Roman" w:cs="Times New Roman"/>
          <w:sz w:val="24"/>
          <w:szCs w:val="24"/>
        </w:rPr>
        <w:t>s</w:t>
      </w:r>
      <w:r w:rsidR="00783638" w:rsidRPr="008269E4">
        <w:rPr>
          <w:rFonts w:ascii="Times New Roman" w:hAnsi="Times New Roman" w:cs="Times New Roman"/>
          <w:sz w:val="24"/>
          <w:szCs w:val="24"/>
        </w:rPr>
        <w:t xml:space="preserve"> a remittance, and whether </w:t>
      </w:r>
      <w:r w:rsidR="002716A2" w:rsidRPr="008269E4">
        <w:rPr>
          <w:rFonts w:ascii="Times New Roman" w:hAnsi="Times New Roman" w:cs="Times New Roman"/>
          <w:sz w:val="24"/>
          <w:szCs w:val="24"/>
        </w:rPr>
        <w:t xml:space="preserve">adult men and women are </w:t>
      </w:r>
      <w:r w:rsidR="00783638" w:rsidRPr="008269E4">
        <w:rPr>
          <w:rFonts w:ascii="Times New Roman" w:hAnsi="Times New Roman" w:cs="Times New Roman"/>
          <w:sz w:val="24"/>
          <w:szCs w:val="24"/>
        </w:rPr>
        <w:t>exposed to mass media</w:t>
      </w:r>
      <w:r w:rsidR="00B131AC" w:rsidRPr="008269E4">
        <w:rPr>
          <w:rFonts w:ascii="Times New Roman" w:hAnsi="Times New Roman" w:cs="Times New Roman"/>
          <w:sz w:val="24"/>
          <w:szCs w:val="24"/>
        </w:rPr>
        <w:t xml:space="preserve"> in 2005</w:t>
      </w:r>
      <w:r w:rsidR="00783638" w:rsidRPr="008269E4">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00B131AC" w:rsidRPr="008269E4">
        <w:rPr>
          <w:rFonts w:ascii="Times New Roman" w:eastAsiaTheme="minorEastAsia" w:hAnsi="Times New Roman" w:cs="Times New Roman"/>
          <w:sz w:val="24"/>
          <w:szCs w:val="24"/>
        </w:rPr>
        <w:t xml:space="preserve"> </w:t>
      </w:r>
      <w:proofErr w:type="gramStart"/>
      <w:r w:rsidR="00B131AC" w:rsidRPr="008269E4">
        <w:rPr>
          <w:rFonts w:ascii="Times New Roman" w:eastAsiaTheme="minorEastAsia" w:hAnsi="Times New Roman" w:cs="Times New Roman"/>
          <w:sz w:val="24"/>
          <w:szCs w:val="24"/>
        </w:rPr>
        <w:t>also</w:t>
      </w:r>
      <w:proofErr w:type="gramEnd"/>
      <w:r w:rsidR="00B131AC" w:rsidRPr="008269E4">
        <w:rPr>
          <w:rFonts w:ascii="Times New Roman" w:eastAsiaTheme="minorEastAsia" w:hAnsi="Times New Roman" w:cs="Times New Roman"/>
          <w:sz w:val="24"/>
          <w:szCs w:val="24"/>
        </w:rPr>
        <w:t xml:space="preserve"> includes</w:t>
      </w:r>
      <w:r w:rsidR="00783638" w:rsidRPr="008269E4">
        <w:rPr>
          <w:rFonts w:ascii="Times New Roman" w:hAnsi="Times New Roman" w:cs="Times New Roman"/>
          <w:sz w:val="24"/>
          <w:szCs w:val="24"/>
        </w:rPr>
        <w:t xml:space="preserve"> the Piketty measure of inequality </w:t>
      </w:r>
      <w:r w:rsidR="00800B4E" w:rsidRPr="008269E4">
        <w:rPr>
          <w:rFonts w:ascii="Times New Roman" w:hAnsi="Times New Roman" w:cs="Times New Roman"/>
          <w:sz w:val="24"/>
          <w:szCs w:val="24"/>
        </w:rPr>
        <w:t xml:space="preserve">at the state level </w:t>
      </w:r>
      <w:r w:rsidR="00FE2F80">
        <w:rPr>
          <w:rFonts w:ascii="Times New Roman" w:hAnsi="Times New Roman" w:cs="Times New Roman"/>
          <w:sz w:val="24"/>
          <w:szCs w:val="24"/>
        </w:rPr>
        <w:t xml:space="preserve">(ratio of share of the </w:t>
      </w:r>
      <w:r w:rsidR="00783638" w:rsidRPr="008269E4">
        <w:rPr>
          <w:rFonts w:ascii="Times New Roman" w:hAnsi="Times New Roman" w:cs="Times New Roman"/>
          <w:sz w:val="24"/>
          <w:szCs w:val="24"/>
        </w:rPr>
        <w:t>top 1 %</w:t>
      </w:r>
      <w:r w:rsidR="00630237" w:rsidRPr="008269E4">
        <w:rPr>
          <w:rFonts w:ascii="Times New Roman" w:hAnsi="Times New Roman" w:cs="Times New Roman"/>
          <w:sz w:val="24"/>
          <w:szCs w:val="24"/>
        </w:rPr>
        <w:t xml:space="preserve"> in total income to that of the bottom 50 %</w:t>
      </w:r>
      <w:r w:rsidR="00783638" w:rsidRPr="008269E4">
        <w:rPr>
          <w:rFonts w:ascii="Times New Roman" w:hAnsi="Times New Roman" w:cs="Times New Roman"/>
          <w:sz w:val="24"/>
          <w:szCs w:val="24"/>
        </w:rPr>
        <w:t>)</w:t>
      </w:r>
      <w:r w:rsidR="00800B4E" w:rsidRPr="008269E4">
        <w:rPr>
          <w:rFonts w:ascii="Times New Roman" w:hAnsi="Times New Roman" w:cs="Times New Roman"/>
          <w:sz w:val="24"/>
          <w:szCs w:val="24"/>
        </w:rPr>
        <w:t xml:space="preserve"> in 2005</w:t>
      </w:r>
      <w:r w:rsidR="00783638" w:rsidRPr="008269E4">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m:t>
            </m:r>
          </m:sub>
        </m:sSub>
      </m:oMath>
      <w:r w:rsidR="00B131AC" w:rsidRPr="008269E4">
        <w:rPr>
          <w:rFonts w:ascii="Times New Roman" w:hAnsi="Times New Roman" w:cs="Times New Roman"/>
          <w:sz w:val="24"/>
          <w:szCs w:val="24"/>
        </w:rPr>
        <w:t xml:space="preserve"> is</w:t>
      </w:r>
      <w:r w:rsidR="00800B4E" w:rsidRPr="008269E4">
        <w:rPr>
          <w:rFonts w:ascii="Times New Roman" w:hAnsi="Times New Roman" w:cs="Times New Roman"/>
          <w:sz w:val="24"/>
          <w:szCs w:val="24"/>
        </w:rPr>
        <w:t xml:space="preserve">a vector of the </w:t>
      </w:r>
      <w:r w:rsidR="00783638" w:rsidRPr="008269E4">
        <w:rPr>
          <w:rFonts w:ascii="Times New Roman" w:hAnsi="Times New Roman" w:cs="Times New Roman"/>
          <w:sz w:val="24"/>
          <w:szCs w:val="24"/>
        </w:rPr>
        <w:t xml:space="preserve">error term assumed to be independent and identically distributed. </w:t>
      </w:r>
      <w:r w:rsidR="00800B4E" w:rsidRPr="008269E4">
        <w:rPr>
          <w:rFonts w:ascii="Times New Roman" w:hAnsi="Times New Roman" w:cs="Times New Roman"/>
          <w:sz w:val="24"/>
          <w:szCs w:val="24"/>
        </w:rPr>
        <w:t xml:space="preserve">We have applied the Huber–White robust standard errors to address the heteroscedasticity as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oMath>
      <w:r w:rsidR="00800B4E" w:rsidRPr="008269E4">
        <w:rPr>
          <w:rFonts w:ascii="Times New Roman" w:hAnsi="Times New Roman" w:cs="Times New Roman"/>
          <w:sz w:val="24"/>
          <w:szCs w:val="24"/>
        </w:rPr>
        <w:t xml:space="preserve"> is a discrete measure. As noted earlier, </w:t>
      </w:r>
      <w:r w:rsidR="00EB57EA" w:rsidRPr="008269E4">
        <w:rPr>
          <w:rFonts w:ascii="Times New Roman" w:hAnsi="Times New Roman" w:cs="Times New Roman"/>
          <w:sz w:val="24"/>
          <w:szCs w:val="24"/>
        </w:rPr>
        <w:t xml:space="preserve">our </w:t>
      </w:r>
      <w:r w:rsidR="00800B4E" w:rsidRPr="008269E4">
        <w:rPr>
          <w:rFonts w:ascii="Times New Roman" w:hAnsi="Times New Roman" w:cs="Times New Roman"/>
          <w:sz w:val="24"/>
          <w:szCs w:val="24"/>
        </w:rPr>
        <w:t xml:space="preserve">application of </w:t>
      </w:r>
      <w:r w:rsidR="00EB57EA" w:rsidRPr="008269E4">
        <w:rPr>
          <w:rFonts w:ascii="Times New Roman" w:hAnsi="Times New Roman" w:cs="Times New Roman"/>
          <w:sz w:val="24"/>
          <w:szCs w:val="24"/>
        </w:rPr>
        <w:t xml:space="preserve">the standard robust </w:t>
      </w:r>
      <w:r w:rsidR="00800B4E" w:rsidRPr="008269E4">
        <w:rPr>
          <w:rFonts w:ascii="Times New Roman" w:hAnsi="Times New Roman" w:cs="Times New Roman"/>
          <w:sz w:val="24"/>
          <w:szCs w:val="24"/>
        </w:rPr>
        <w:t xml:space="preserve">OLS to a discrete dependent variable is </w:t>
      </w:r>
      <w:r w:rsidR="00EB57EA" w:rsidRPr="008269E4">
        <w:rPr>
          <w:rFonts w:ascii="Times New Roman" w:hAnsi="Times New Roman" w:cs="Times New Roman"/>
          <w:sz w:val="24"/>
          <w:szCs w:val="24"/>
        </w:rPr>
        <w:t xml:space="preserve">justified on the grounds of a well-known argument where robust OLS performs well for the binary dependent variable (Angrist and </w:t>
      </w:r>
      <w:proofErr w:type="spellStart"/>
      <w:r w:rsidR="00EB57EA" w:rsidRPr="008269E4">
        <w:rPr>
          <w:rFonts w:ascii="Times New Roman" w:hAnsi="Times New Roman" w:cs="Times New Roman"/>
          <w:sz w:val="24"/>
          <w:szCs w:val="24"/>
        </w:rPr>
        <w:t>Pischke</w:t>
      </w:r>
      <w:proofErr w:type="spellEnd"/>
      <w:r w:rsidR="00EB57EA" w:rsidRPr="008269E4">
        <w:rPr>
          <w:rFonts w:ascii="Times New Roman" w:hAnsi="Times New Roman" w:cs="Times New Roman"/>
          <w:sz w:val="24"/>
          <w:szCs w:val="24"/>
        </w:rPr>
        <w:t xml:space="preserve">, 2008).     </w:t>
      </w:r>
    </w:p>
    <w:p w14:paraId="5DEF169E" w14:textId="77777777" w:rsidR="00712D48" w:rsidRPr="00D10A97" w:rsidRDefault="00712D48" w:rsidP="008269E4">
      <w:pPr>
        <w:numPr>
          <w:ilvl w:val="0"/>
          <w:numId w:val="1"/>
        </w:numPr>
        <w:ind w:left="0" w:firstLine="0"/>
        <w:jc w:val="center"/>
        <w:rPr>
          <w:rFonts w:ascii="Times New Roman" w:hAnsi="Times New Roman" w:cs="Times New Roman"/>
          <w:b/>
          <w:sz w:val="24"/>
          <w:szCs w:val="24"/>
        </w:rPr>
      </w:pPr>
      <w:r w:rsidRPr="00D10A97">
        <w:rPr>
          <w:rFonts w:ascii="Times New Roman" w:hAnsi="Times New Roman" w:cs="Times New Roman"/>
          <w:b/>
          <w:sz w:val="24"/>
          <w:szCs w:val="24"/>
        </w:rPr>
        <w:t xml:space="preserve">Ordered </w:t>
      </w:r>
      <w:proofErr w:type="spellStart"/>
      <w:r w:rsidRPr="00D10A97">
        <w:rPr>
          <w:rFonts w:ascii="Times New Roman" w:hAnsi="Times New Roman" w:cs="Times New Roman"/>
          <w:b/>
          <w:sz w:val="24"/>
          <w:szCs w:val="24"/>
        </w:rPr>
        <w:t>Probit</w:t>
      </w:r>
      <w:proofErr w:type="spellEnd"/>
    </w:p>
    <w:p w14:paraId="38438982" w14:textId="77777777" w:rsidR="00712D48" w:rsidRPr="00D10A97" w:rsidRDefault="00712D48" w:rsidP="00712D48">
      <w:pPr>
        <w:jc w:val="both"/>
        <w:rPr>
          <w:rFonts w:ascii="Times New Roman" w:hAnsi="Times New Roman" w:cs="Times New Roman"/>
          <w:sz w:val="24"/>
          <w:szCs w:val="24"/>
        </w:rPr>
      </w:pPr>
      <w:r w:rsidRPr="00D10A97">
        <w:rPr>
          <w:rFonts w:ascii="Times New Roman" w:hAnsi="Times New Roman" w:cs="Times New Roman"/>
          <w:sz w:val="24"/>
          <w:szCs w:val="24"/>
        </w:rPr>
        <w:t xml:space="preserve">As a robustness check, we have applied the ordered </w:t>
      </w:r>
      <w:proofErr w:type="spellStart"/>
      <w:r w:rsidRPr="00D10A97">
        <w:rPr>
          <w:rFonts w:ascii="Times New Roman" w:hAnsi="Times New Roman" w:cs="Times New Roman"/>
          <w:sz w:val="24"/>
          <w:szCs w:val="24"/>
        </w:rPr>
        <w:t>probit</w:t>
      </w:r>
      <w:proofErr w:type="spellEnd"/>
      <w:r w:rsidRPr="00D10A97">
        <w:rPr>
          <w:rFonts w:ascii="Times New Roman" w:hAnsi="Times New Roman" w:cs="Times New Roman"/>
          <w:sz w:val="24"/>
          <w:szCs w:val="24"/>
        </w:rPr>
        <w:t xml:space="preserve"> as well</w:t>
      </w:r>
      <w:r w:rsidR="008A7E47">
        <w:rPr>
          <w:rFonts w:ascii="Times New Roman" w:hAnsi="Times New Roman" w:cs="Times New Roman"/>
          <w:sz w:val="24"/>
          <w:szCs w:val="24"/>
        </w:rPr>
        <w:t>,</w:t>
      </w:r>
      <w:r w:rsidRPr="00D10A97">
        <w:rPr>
          <w:rFonts w:ascii="Times New Roman" w:hAnsi="Times New Roman" w:cs="Times New Roman"/>
          <w:sz w:val="24"/>
          <w:szCs w:val="24"/>
        </w:rPr>
        <w:t xml:space="preserve"> as </w:t>
      </w:r>
      <w:r w:rsidR="008A7E47">
        <w:rPr>
          <w:rFonts w:ascii="Times New Roman" w:hAnsi="Times New Roman" w:cs="Times New Roman"/>
          <w:sz w:val="24"/>
          <w:szCs w:val="24"/>
        </w:rPr>
        <w:t>the</w:t>
      </w:r>
      <w:r w:rsidRPr="00D10A97">
        <w:rPr>
          <w:rFonts w:ascii="Times New Roman" w:hAnsi="Times New Roman" w:cs="Times New Roman"/>
          <w:sz w:val="24"/>
          <w:szCs w:val="24"/>
        </w:rPr>
        <w:t xml:space="preserve"> dependent variable is an ordered discrete variable. It has two merits: it yields separate estimation of the three cases of ∆SWB or ∆OWB - whether worse-off or just the same or better-off between 2005 and 2012. Also, the prediction of the OLS model can be outside the range between 0 and 2, though we are not using the predictions in our study. Once we convert the coefficients to marginal effects</w:t>
      </w:r>
      <w:r w:rsidR="007F09D0">
        <w:rPr>
          <w:rFonts w:ascii="Times New Roman" w:hAnsi="Times New Roman" w:cs="Times New Roman"/>
          <w:sz w:val="24"/>
          <w:szCs w:val="24"/>
        </w:rPr>
        <w:t>/associations</w:t>
      </w:r>
      <w:r w:rsidRPr="00D10A97">
        <w:rPr>
          <w:rFonts w:ascii="Times New Roman" w:hAnsi="Times New Roman" w:cs="Times New Roman"/>
          <w:sz w:val="24"/>
          <w:szCs w:val="24"/>
        </w:rPr>
        <w:t xml:space="preserve"> evaluated at means, the estimates are fully comparable between OLS and ordered-</w:t>
      </w:r>
      <w:proofErr w:type="spellStart"/>
      <w:r w:rsidRPr="00D10A97">
        <w:rPr>
          <w:rFonts w:ascii="Times New Roman" w:hAnsi="Times New Roman" w:cs="Times New Roman"/>
          <w:sz w:val="24"/>
          <w:szCs w:val="24"/>
        </w:rPr>
        <w:t>probit</w:t>
      </w:r>
      <w:proofErr w:type="spellEnd"/>
      <w:r w:rsidRPr="00D10A97">
        <w:rPr>
          <w:rFonts w:ascii="Times New Roman" w:hAnsi="Times New Roman" w:cs="Times New Roman"/>
          <w:sz w:val="24"/>
          <w:szCs w:val="24"/>
        </w:rPr>
        <w:t>. More specifically, the coefficient estimates of OLS are equivalent to the average differences of marginal effects</w:t>
      </w:r>
      <w:r w:rsidR="007F09D0">
        <w:rPr>
          <w:rFonts w:ascii="Times New Roman" w:hAnsi="Times New Roman" w:cs="Times New Roman"/>
          <w:sz w:val="24"/>
          <w:szCs w:val="24"/>
        </w:rPr>
        <w:t>/associations</w:t>
      </w:r>
      <w:r w:rsidRPr="00D10A97">
        <w:rPr>
          <w:rFonts w:ascii="Times New Roman" w:hAnsi="Times New Roman" w:cs="Times New Roman"/>
          <w:sz w:val="24"/>
          <w:szCs w:val="24"/>
        </w:rPr>
        <w:t xml:space="preserve"> for the three cases. </w:t>
      </w:r>
    </w:p>
    <w:p w14:paraId="11FF1F77" w14:textId="77777777" w:rsidR="00712D48" w:rsidRPr="00D10A97" w:rsidRDefault="00712D48" w:rsidP="00712D48">
      <w:pPr>
        <w:jc w:val="both"/>
        <w:rPr>
          <w:rFonts w:ascii="Times New Roman" w:hAnsi="Times New Roman" w:cs="Times New Roman"/>
          <w:sz w:val="24"/>
          <w:szCs w:val="24"/>
        </w:rPr>
      </w:pPr>
      <w:r w:rsidRPr="00D10A97">
        <w:rPr>
          <w:rFonts w:ascii="Times New Roman" w:hAnsi="Times New Roman" w:cs="Times New Roman"/>
          <w:sz w:val="24"/>
          <w:szCs w:val="24"/>
        </w:rPr>
        <w:lastRenderedPageBreak/>
        <w:t xml:space="preserve">In the </w:t>
      </w:r>
      <w:proofErr w:type="spellStart"/>
      <w:r w:rsidRPr="00D10A97">
        <w:rPr>
          <w:rFonts w:ascii="Times New Roman" w:hAnsi="Times New Roman" w:cs="Times New Roman"/>
          <w:sz w:val="24"/>
          <w:szCs w:val="24"/>
        </w:rPr>
        <w:t>probit</w:t>
      </w:r>
      <w:proofErr w:type="spellEnd"/>
      <w:r w:rsidRPr="00D10A97">
        <w:rPr>
          <w:rFonts w:ascii="Times New Roman" w:hAnsi="Times New Roman" w:cs="Times New Roman"/>
          <w:sz w:val="24"/>
          <w:szCs w:val="24"/>
        </w:rPr>
        <w:t xml:space="preserve"> model, the inverse standard normal distribution of the probability is modelled as a linear combination of the predictors. The </w:t>
      </w:r>
      <w:r w:rsidRPr="00D10A97">
        <w:rPr>
          <w:rFonts w:ascii="Times New Roman" w:hAnsi="Times New Roman" w:cs="Times New Roman"/>
          <w:bCs/>
          <w:sz w:val="24"/>
          <w:szCs w:val="24"/>
        </w:rPr>
        <w:t xml:space="preserve">ordered </w:t>
      </w:r>
      <w:proofErr w:type="spellStart"/>
      <w:r w:rsidRPr="00D10A97">
        <w:rPr>
          <w:rFonts w:ascii="Times New Roman" w:hAnsi="Times New Roman" w:cs="Times New Roman"/>
          <w:bCs/>
          <w:sz w:val="24"/>
          <w:szCs w:val="24"/>
        </w:rPr>
        <w:t>probit</w:t>
      </w:r>
      <w:proofErr w:type="spellEnd"/>
      <w:r w:rsidRPr="00D10A97">
        <w:rPr>
          <w:rFonts w:ascii="Times New Roman" w:hAnsi="Times New Roman" w:cs="Times New Roman"/>
          <w:bCs/>
          <w:sz w:val="24"/>
          <w:szCs w:val="24"/>
        </w:rPr>
        <w:t xml:space="preserve"> (OP</w:t>
      </w:r>
      <w:r w:rsidRPr="00D10A97">
        <w:rPr>
          <w:rFonts w:ascii="Times New Roman" w:hAnsi="Times New Roman" w:cs="Times New Roman"/>
          <w:b/>
          <w:bCs/>
          <w:sz w:val="24"/>
          <w:szCs w:val="24"/>
        </w:rPr>
        <w:t xml:space="preserve">) </w:t>
      </w:r>
      <w:r w:rsidRPr="00D10A97">
        <w:rPr>
          <w:rFonts w:ascii="Times New Roman" w:hAnsi="Times New Roman" w:cs="Times New Roman"/>
          <w:bCs/>
          <w:sz w:val="24"/>
          <w:szCs w:val="24"/>
        </w:rPr>
        <w:t xml:space="preserve">model </w:t>
      </w:r>
      <w:r w:rsidRPr="00D10A97">
        <w:rPr>
          <w:rFonts w:ascii="Times New Roman" w:hAnsi="Times New Roman" w:cs="Times New Roman"/>
          <w:sz w:val="24"/>
          <w:szCs w:val="24"/>
        </w:rPr>
        <w:t xml:space="preserve">is a generalization of the </w:t>
      </w:r>
      <w:proofErr w:type="spellStart"/>
      <w:r w:rsidRPr="00D10A97">
        <w:rPr>
          <w:rFonts w:ascii="Times New Roman" w:hAnsi="Times New Roman" w:cs="Times New Roman"/>
          <w:bCs/>
          <w:sz w:val="24"/>
          <w:szCs w:val="24"/>
        </w:rPr>
        <w:t>probit</w:t>
      </w:r>
      <w:proofErr w:type="spellEnd"/>
      <w:r w:rsidRPr="00D10A97">
        <w:rPr>
          <w:rFonts w:ascii="Times New Roman" w:hAnsi="Times New Roman" w:cs="Times New Roman"/>
          <w:bCs/>
          <w:sz w:val="24"/>
          <w:szCs w:val="24"/>
        </w:rPr>
        <w:t xml:space="preserve"> </w:t>
      </w:r>
      <w:r w:rsidRPr="00D10A97">
        <w:rPr>
          <w:rFonts w:ascii="Times New Roman" w:hAnsi="Times New Roman" w:cs="Times New Roman"/>
          <w:sz w:val="24"/>
          <w:szCs w:val="24"/>
        </w:rPr>
        <w:t>model to the case of more than two outcomes of an ordinal dependent variable (a dependent variable for which the potential values have a natural ordering, as in worse-off, just the same, and better off).</w:t>
      </w:r>
    </w:p>
    <w:p w14:paraId="0366C68A" w14:textId="77777777" w:rsidR="00712D48" w:rsidRPr="00D10A97" w:rsidRDefault="00712D48" w:rsidP="00712D48">
      <w:pPr>
        <w:jc w:val="both"/>
        <w:rPr>
          <w:rFonts w:ascii="Times New Roman" w:hAnsi="Times New Roman" w:cs="Times New Roman"/>
          <w:sz w:val="24"/>
          <w:szCs w:val="24"/>
        </w:rPr>
      </w:pPr>
      <w:r w:rsidRPr="00D10A97">
        <w:rPr>
          <w:rFonts w:ascii="Times New Roman" w:hAnsi="Times New Roman" w:cs="Times New Roman"/>
          <w:sz w:val="24"/>
          <w:szCs w:val="24"/>
        </w:rPr>
        <w:t xml:space="preserve">To avoid repetition, we present below an algebraic exposition of a basic ordered </w:t>
      </w:r>
      <w:proofErr w:type="spellStart"/>
      <w:r w:rsidRPr="00D10A97">
        <w:rPr>
          <w:rFonts w:ascii="Times New Roman" w:hAnsi="Times New Roman" w:cs="Times New Roman"/>
          <w:sz w:val="24"/>
          <w:szCs w:val="24"/>
        </w:rPr>
        <w:t>probit</w:t>
      </w:r>
      <w:proofErr w:type="spellEnd"/>
      <w:r w:rsidRPr="00D10A97">
        <w:rPr>
          <w:rFonts w:ascii="Times New Roman" w:hAnsi="Times New Roman" w:cs="Times New Roman"/>
          <w:sz w:val="24"/>
          <w:szCs w:val="24"/>
        </w:rPr>
        <w:t xml:space="preserve"> model (Greene, 2018). Let us begin with a latent variable specification. </w:t>
      </w:r>
    </w:p>
    <w:p w14:paraId="18DB595A" w14:textId="77777777" w:rsidR="00712D48" w:rsidRPr="000773C5" w:rsidRDefault="009C0C62" w:rsidP="00712D48">
      <w:pPr>
        <w:jc w:val="both"/>
        <w:rPr>
          <w:rFonts w:ascii="Times New Roman" w:hAnsi="Times New Roman" w:cs="Times New Roman"/>
          <w:sz w:val="24"/>
          <w:szCs w:val="24"/>
        </w:rPr>
      </w:pPr>
      <m:oMathPara>
        <m:oMathParaPr>
          <m:jc m:val="left"/>
        </m:oMathParaPr>
        <m:oMath>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oMath>
      </m:oMathPara>
    </w:p>
    <w:p w14:paraId="31FF9488" w14:textId="77777777" w:rsidR="00712D48" w:rsidRPr="00D10A97" w:rsidRDefault="009C0C62" w:rsidP="00712D48">
      <w:pPr>
        <w:jc w:val="both"/>
        <w:rPr>
          <w:rFonts w:ascii="Times New Roman" w:eastAsiaTheme="minorEastAsia"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oMath>
      <w:r w:rsidR="00712D48" w:rsidRPr="00D10A97">
        <w:rPr>
          <w:rFonts w:ascii="Times New Roman" w:hAnsi="Times New Roman" w:cs="Times New Roman"/>
          <w:sz w:val="24"/>
          <w:szCs w:val="24"/>
        </w:rPr>
        <w:t xml:space="preserve"> </w:t>
      </w:r>
      <w:proofErr w:type="gramStart"/>
      <w:r w:rsidR="00712D48" w:rsidRPr="00D10A97">
        <w:rPr>
          <w:rFonts w:ascii="Times New Roman" w:hAnsi="Times New Roman" w:cs="Times New Roman"/>
          <w:sz w:val="24"/>
          <w:szCs w:val="24"/>
        </w:rPr>
        <w:t>is</w:t>
      </w:r>
      <w:proofErr w:type="gramEnd"/>
      <w:r w:rsidR="00712D48" w:rsidRPr="00D10A97">
        <w:rPr>
          <w:rFonts w:ascii="Times New Roman" w:hAnsi="Times New Roman" w:cs="Times New Roman"/>
          <w:sz w:val="24"/>
          <w:szCs w:val="24"/>
        </w:rPr>
        <w:t xml:space="preserve"> unobserved. What we do observe is </w:t>
      </w:r>
    </w:p>
    <w:p w14:paraId="34F20025" w14:textId="77777777" w:rsidR="00712D48" w:rsidRPr="00D10A97" w:rsidRDefault="009C0C62" w:rsidP="00712D48">
      <w:pPr>
        <w:jc w:val="both"/>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=0</m:t>
        </m:r>
      </m:oMath>
      <w:r w:rsidR="00712D48" w:rsidRPr="00D10A97">
        <w:rPr>
          <w:rFonts w:ascii="Times New Roman" w:hAnsi="Times New Roman" w:cs="Times New Roman"/>
          <w:sz w:val="24"/>
          <w:szCs w:val="24"/>
        </w:rPr>
        <w:t xml:space="preserve"> </w:t>
      </w:r>
      <w:proofErr w:type="gramStart"/>
      <w:r w:rsidR="00712D48" w:rsidRPr="00D10A97">
        <w:rPr>
          <w:rFonts w:ascii="Times New Roman" w:hAnsi="Times New Roman" w:cs="Times New Roman"/>
          <w:sz w:val="24"/>
          <w:szCs w:val="24"/>
        </w:rPr>
        <w:t>if</w:t>
      </w:r>
      <w:proofErr w:type="gramEnd"/>
      <w:r w:rsidR="00712D48" w:rsidRPr="00D10A97">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≤0</m:t>
        </m:r>
      </m:oMath>
    </w:p>
    <w:p w14:paraId="42FC6402" w14:textId="77777777" w:rsidR="00712D48" w:rsidRPr="00D10A97" w:rsidRDefault="009C0C62" w:rsidP="00712D48">
      <w:pPr>
        <w:jc w:val="both"/>
        <w:rPr>
          <w:rFonts w:ascii="Times New Roman" w:eastAsiaTheme="minorEastAsia"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=1</m:t>
        </m:r>
      </m:oMath>
      <w:r w:rsidR="00712D48" w:rsidRPr="00D10A97">
        <w:rPr>
          <w:rFonts w:ascii="Times New Roman" w:hAnsi="Times New Roman" w:cs="Times New Roman"/>
          <w:sz w:val="24"/>
          <w:szCs w:val="24"/>
        </w:rPr>
        <w:t xml:space="preserve"> </w:t>
      </w:r>
      <w:proofErr w:type="gramStart"/>
      <w:r w:rsidR="00712D48" w:rsidRPr="00D10A97">
        <w:rPr>
          <w:rFonts w:ascii="Times New Roman" w:hAnsi="Times New Roman" w:cs="Times New Roman"/>
          <w:sz w:val="24"/>
          <w:szCs w:val="24"/>
        </w:rPr>
        <w:t>if</w:t>
      </w:r>
      <w:proofErr w:type="gramEnd"/>
      <w:r w:rsidR="00712D48" w:rsidRPr="00D10A97">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0&lt;y</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≤μ</m:t>
        </m:r>
      </m:oMath>
    </w:p>
    <w:p w14:paraId="67956F06" w14:textId="77777777" w:rsidR="00712D48" w:rsidRPr="00D10A97" w:rsidRDefault="009C0C62" w:rsidP="00712D48">
      <w:pPr>
        <w:jc w:val="both"/>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=2</m:t>
        </m:r>
      </m:oMath>
      <w:r w:rsidR="00712D48" w:rsidRPr="00D10A97">
        <w:rPr>
          <w:rFonts w:ascii="Times New Roman" w:hAnsi="Times New Roman" w:cs="Times New Roman"/>
          <w:sz w:val="24"/>
          <w:szCs w:val="24"/>
        </w:rPr>
        <w:t xml:space="preserve"> </w:t>
      </w:r>
      <w:proofErr w:type="gramStart"/>
      <w:r w:rsidR="00712D48" w:rsidRPr="00D10A97">
        <w:rPr>
          <w:rFonts w:ascii="Times New Roman" w:hAnsi="Times New Roman" w:cs="Times New Roman"/>
          <w:sz w:val="24"/>
          <w:szCs w:val="24"/>
        </w:rPr>
        <w:t>if</w:t>
      </w:r>
      <w:proofErr w:type="gramEnd"/>
      <w:r w:rsidR="00712D48" w:rsidRPr="00D10A97">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μ&lt;y</m:t>
            </m:r>
          </m:e>
          <m:sub>
            <m:r>
              <w:rPr>
                <w:rFonts w:ascii="Cambria Math" w:hAnsi="Cambria Math" w:cs="Times New Roman"/>
                <w:sz w:val="24"/>
                <w:szCs w:val="24"/>
              </w:rPr>
              <m:t>i</m:t>
            </m:r>
          </m:sub>
          <m:sup>
            <m:r>
              <w:rPr>
                <w:rFonts w:ascii="Cambria Math" w:hAnsi="Cambria Math" w:cs="Times New Roman"/>
                <w:sz w:val="24"/>
                <w:szCs w:val="24"/>
              </w:rPr>
              <m:t>*</m:t>
            </m:r>
          </m:sup>
        </m:sSubSup>
      </m:oMath>
    </w:p>
    <w:p w14:paraId="6AD13243" w14:textId="1B1CCC31" w:rsidR="00712D48" w:rsidRPr="00D10A97" w:rsidRDefault="00712D48" w:rsidP="00712D48">
      <w:pPr>
        <w:jc w:val="both"/>
        <w:rPr>
          <w:rFonts w:ascii="Times New Roman" w:hAnsi="Times New Roman" w:cs="Times New Roman"/>
          <w:sz w:val="24"/>
          <w:szCs w:val="24"/>
        </w:rPr>
      </w:pPr>
      <m:oMath>
        <m:r>
          <w:rPr>
            <w:rFonts w:ascii="Cambria Math" w:hAnsi="Cambria Math" w:cs="Times New Roman"/>
            <w:sz w:val="24"/>
            <w:szCs w:val="24"/>
          </w:rPr>
          <m:t>μ</m:t>
        </m:r>
      </m:oMath>
      <w:proofErr w:type="gramStart"/>
      <w:r w:rsidRPr="00D10A97">
        <w:rPr>
          <w:rFonts w:ascii="Times New Roman" w:hAnsi="Times New Roman" w:cs="Times New Roman"/>
          <w:sz w:val="24"/>
          <w:szCs w:val="24"/>
        </w:rPr>
        <w:t>is</w:t>
      </w:r>
      <w:proofErr w:type="gramEnd"/>
      <w:r w:rsidRPr="00D10A97">
        <w:rPr>
          <w:rFonts w:ascii="Times New Roman" w:hAnsi="Times New Roman" w:cs="Times New Roman"/>
          <w:sz w:val="24"/>
          <w:szCs w:val="24"/>
        </w:rPr>
        <w:t xml:space="preserve"> an unknown parameter to be estimated with </w:t>
      </w:r>
      <m:oMath>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oMath>
      <w:r w:rsidRPr="00D10A97">
        <w:rPr>
          <w:rFonts w:ascii="Times New Roman" w:hAnsi="Times New Roman" w:cs="Times New Roman"/>
          <w:sz w:val="24"/>
          <w:szCs w:val="24"/>
        </w:rPr>
        <w:t xml:space="preserve">. The respondents have their own preferences which depend on certain measurable factors, represented </w:t>
      </w:r>
      <w:proofErr w:type="gramStart"/>
      <w:r w:rsidRPr="00D10A97">
        <w:rPr>
          <w:rFonts w:ascii="Times New Roman" w:hAnsi="Times New Roman" w:cs="Times New Roman"/>
          <w:sz w:val="24"/>
          <w:szCs w:val="24"/>
        </w:rPr>
        <w:t>by</w:t>
      </w:r>
      <w:r w:rsidR="00386203">
        <w:rPr>
          <w:rFonts w:ascii="Times New Roman" w:hAnsi="Times New Roman" w:cs="Times New Roman"/>
          <w:sz w:val="24"/>
          <w:szCs w:val="24"/>
        </w:rPr>
        <w:t xml:space="preserve"> </w:t>
      </w:r>
      <w:proofErr w:type="gramEnd"/>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D10A97">
        <w:rPr>
          <w:rFonts w:ascii="Times New Roman" w:hAnsi="Times New Roman" w:cs="Times New Roman"/>
          <w:sz w:val="24"/>
          <w:szCs w:val="24"/>
        </w:rPr>
        <w:t>, such as age, gender, and income/expenditure, and some unmeasurable factors distributed independently of the observed factors. The essential ingredient is the mapping from an underlying, naturally ordered preference scale to a discrete ordered observed outcome in terms of the perceived change in the economic well-being, or ∆SWB. Given only three possible answers, the respondents choose the cell that most closely represents their preferences (Greene, 2018).</w:t>
      </w:r>
    </w:p>
    <w:p w14:paraId="7682228E" w14:textId="77777777" w:rsidR="00712D48" w:rsidRPr="00D10A97" w:rsidRDefault="00712D48" w:rsidP="00712D48">
      <w:pPr>
        <w:jc w:val="both"/>
        <w:rPr>
          <w:rFonts w:ascii="Times New Roman" w:hAnsi="Times New Roman" w:cs="Times New Roman"/>
          <w:sz w:val="24"/>
          <w:szCs w:val="24"/>
        </w:rPr>
      </w:pPr>
      <w:r w:rsidRPr="00D10A97">
        <w:rPr>
          <w:rFonts w:ascii="Times New Roman" w:hAnsi="Times New Roman" w:cs="Times New Roman"/>
          <w:sz w:val="24"/>
          <w:szCs w:val="24"/>
        </w:rPr>
        <w:t xml:space="preserve">It is assumed that </w:t>
      </w:r>
      <m:oMath>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 xml:space="preserve">i </m:t>
            </m:r>
          </m:sub>
        </m:sSub>
      </m:oMath>
      <w:r w:rsidRPr="00D10A97">
        <w:rPr>
          <w:rFonts w:ascii="Times New Roman" w:hAnsi="Times New Roman" w:cs="Times New Roman"/>
          <w:sz w:val="24"/>
          <w:szCs w:val="24"/>
        </w:rPr>
        <w:t xml:space="preserve">is normally distributed. The mean and variance are </w:t>
      </w:r>
      <w:r w:rsidR="007F09D0">
        <w:rPr>
          <w:rFonts w:ascii="Times New Roman" w:hAnsi="Times New Roman" w:cs="Times New Roman"/>
          <w:sz w:val="24"/>
          <w:szCs w:val="24"/>
        </w:rPr>
        <w:t>normalised</w:t>
      </w:r>
      <w:r w:rsidRPr="00D10A97">
        <w:rPr>
          <w:rFonts w:ascii="Times New Roman" w:hAnsi="Times New Roman" w:cs="Times New Roman"/>
          <w:sz w:val="24"/>
          <w:szCs w:val="24"/>
        </w:rPr>
        <w:t xml:space="preserve"> to be zero and one, respectively. With the normal distribution, the following probabilities are obtained:</w:t>
      </w:r>
    </w:p>
    <w:p w14:paraId="7974A947" w14:textId="77777777" w:rsidR="00712D48" w:rsidRPr="00D10A97" w:rsidRDefault="00712D48" w:rsidP="00712D48">
      <w:pPr>
        <w:adjustRightInd w:val="0"/>
        <w:snapToGrid w:val="0"/>
        <w:spacing w:line="240" w:lineRule="auto"/>
        <w:jc w:val="both"/>
        <w:rPr>
          <w:rFonts w:ascii="Times New Roman" w:hAnsi="Times New Roman" w:cs="Times New Roman"/>
          <w:sz w:val="24"/>
          <w:szCs w:val="24"/>
        </w:rPr>
      </w:pPr>
      <m:oMathPara>
        <m:oMathParaPr>
          <m:jc m:val="left"/>
        </m:oMathParaPr>
        <m:oMath>
          <m:r>
            <w:rPr>
              <w:rFonts w:ascii="Cambria Math" w:eastAsiaTheme="minorEastAsia" w:hAnsi="Cambria Math" w:cs="Times New Roman"/>
              <w:sz w:val="24"/>
              <w:szCs w:val="24"/>
            </w:rPr>
            <m:t>Prob</m:t>
          </m:r>
          <m:d>
            <m:dPr>
              <m:ctrlPr>
                <w:rPr>
                  <w:rFonts w:ascii="Cambria Math" w:eastAsiaTheme="minorEastAsia" w:hAnsi="Cambria Math" w:cs="Times New Roman"/>
                  <w:i/>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=0</m:t>
              </m:r>
            </m:e>
          </m:d>
          <m:r>
            <w:rPr>
              <w:rFonts w:ascii="Cambria Math" w:hAnsi="Cambria Math" w:cs="Times New Roman"/>
              <w:sz w:val="24"/>
              <w:szCs w:val="24"/>
            </w:rPr>
            <m:t>=</m:t>
          </m:r>
          <m:r>
            <m:rPr>
              <m:sty m:val="p"/>
            </m:rPr>
            <w:rPr>
              <w:rFonts w:ascii="Cambria Math" w:hAnsi="Cambria Math" w:cs="Times New Roman"/>
              <w:sz w:val="24"/>
              <w:szCs w:val="24"/>
            </w:rPr>
            <m:t>Φ</m:t>
          </m:r>
          <m:d>
            <m:dPr>
              <m:ctrlPr>
                <w:rPr>
                  <w:rFonts w:ascii="Cambria Math" w:hAnsi="Cambria Math" w:cs="Times New Roman"/>
                  <w:i/>
                  <w:sz w:val="24"/>
                  <w:szCs w:val="24"/>
                </w:rPr>
              </m:ctrlPr>
            </m:dPr>
            <m:e>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d>
        </m:oMath>
      </m:oMathPara>
    </w:p>
    <w:p w14:paraId="0B8F0733" w14:textId="77777777" w:rsidR="00712D48" w:rsidRPr="00D10A97" w:rsidRDefault="00712D48" w:rsidP="00712D48">
      <w:pPr>
        <w:adjustRightInd w:val="0"/>
        <w:snapToGrid w:val="0"/>
        <w:spacing w:line="240" w:lineRule="auto"/>
        <w:jc w:val="both"/>
        <w:rPr>
          <w:rFonts w:ascii="Times New Roman" w:hAnsi="Times New Roman" w:cs="Times New Roman"/>
          <w:sz w:val="24"/>
          <w:szCs w:val="24"/>
        </w:rPr>
      </w:pPr>
      <m:oMathPara>
        <m:oMathParaPr>
          <m:jc m:val="left"/>
        </m:oMathParaPr>
        <m:oMath>
          <m:r>
            <w:rPr>
              <w:rFonts w:ascii="Cambria Math" w:eastAsiaTheme="minorEastAsia" w:hAnsi="Cambria Math" w:cs="Times New Roman"/>
              <w:sz w:val="24"/>
              <w:szCs w:val="24"/>
            </w:rPr>
            <m:t>Pro</m:t>
          </m:r>
          <m:r>
            <w:rPr>
              <w:rFonts w:ascii="Cambria Math" w:eastAsiaTheme="minorEastAsia" w:hAnsi="Cambria Math" w:cs="Times New Roman"/>
              <w:sz w:val="24"/>
              <w:szCs w:val="24"/>
            </w:rPr>
            <m:t>b</m:t>
          </m:r>
          <m:d>
            <m:dPr>
              <m:ctrlPr>
                <w:rPr>
                  <w:rFonts w:ascii="Cambria Math" w:eastAsiaTheme="minorEastAsia" w:hAnsi="Cambria Math" w:cs="Times New Roman"/>
                  <w:i/>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=1</m:t>
              </m:r>
            </m:e>
          </m:d>
          <m:r>
            <w:rPr>
              <w:rFonts w:ascii="Cambria Math" w:hAnsi="Cambria Math" w:cs="Times New Roman"/>
              <w:sz w:val="24"/>
              <w:szCs w:val="24"/>
            </w:rPr>
            <m:t>=</m:t>
          </m:r>
          <m:r>
            <m:rPr>
              <m:sty m:val="p"/>
            </m:rPr>
            <w:rPr>
              <w:rFonts w:ascii="Cambria Math" w:hAnsi="Cambria Math" w:cs="Times New Roman"/>
              <w:sz w:val="24"/>
              <w:szCs w:val="24"/>
            </w:rPr>
            <m:t>Φ</m:t>
          </m:r>
          <m:d>
            <m:dPr>
              <m:ctrlPr>
                <w:rPr>
                  <w:rFonts w:ascii="Cambria Math" w:hAnsi="Cambria Math" w:cs="Times New Roman"/>
                  <w:i/>
                  <w:sz w:val="24"/>
                  <w:szCs w:val="24"/>
                </w:rPr>
              </m:ctrlPr>
            </m:dPr>
            <m:e>
              <m:r>
                <m:rPr>
                  <m:sty m:val="p"/>
                </m:rPr>
                <w:rPr>
                  <w:rFonts w:ascii="Cambria Math" w:hAnsi="Cambria Math" w:cs="Times New Roman"/>
                  <w:sz w:val="24"/>
                  <w:szCs w:val="24"/>
                </w:rPr>
                <m:t>Φ</m:t>
              </m:r>
              <m:d>
                <m:dPr>
                  <m:ctrlPr>
                    <w:rPr>
                      <w:rFonts w:ascii="Cambria Math" w:hAnsi="Cambria Math" w:cs="Times New Roman"/>
                      <w:sz w:val="24"/>
                      <w:szCs w:val="24"/>
                    </w:rPr>
                  </m:ctrlPr>
                </m:dPr>
                <m:e>
                  <m:r>
                    <w:rPr>
                      <w:rFonts w:ascii="Cambria Math" w:hAnsi="Cambria Math" w:cs="Times New Roman"/>
                      <w:sz w:val="24"/>
                      <w:szCs w:val="24"/>
                    </w:rPr>
                    <m:t>μ-</m:t>
                  </m:r>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d>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d>
          <m:r>
            <w:rPr>
              <w:rFonts w:ascii="Cambria Math" w:hAnsi="Cambria Math" w:cs="Times New Roman"/>
              <w:sz w:val="24"/>
              <w:szCs w:val="24"/>
            </w:rPr>
            <m:t>-</m:t>
          </m:r>
          <m:r>
            <m:rPr>
              <m:sty m:val="p"/>
            </m:rPr>
            <w:rPr>
              <w:rFonts w:ascii="Cambria Math" w:hAnsi="Cambria Math" w:cs="Times New Roman"/>
              <w:sz w:val="24"/>
              <w:szCs w:val="24"/>
            </w:rPr>
            <m:t>Φ</m:t>
          </m:r>
          <m:d>
            <m:dPr>
              <m:ctrlPr>
                <w:rPr>
                  <w:rFonts w:ascii="Cambria Math" w:hAnsi="Cambria Math" w:cs="Times New Roman"/>
                  <w:i/>
                  <w:sz w:val="24"/>
                  <w:szCs w:val="24"/>
                </w:rPr>
              </m:ctrlPr>
            </m:dPr>
            <m:e>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d>
        </m:oMath>
      </m:oMathPara>
    </w:p>
    <w:p w14:paraId="0913F37E" w14:textId="77777777" w:rsidR="00712D48" w:rsidRPr="00D10A97" w:rsidRDefault="00712D48" w:rsidP="00712D48">
      <w:pPr>
        <w:adjustRightInd w:val="0"/>
        <w:snapToGrid w:val="0"/>
        <w:spacing w:line="240" w:lineRule="auto"/>
        <w:jc w:val="both"/>
        <w:rPr>
          <w:rFonts w:ascii="Times New Roman" w:hAnsi="Times New Roman" w:cs="Times New Roman"/>
          <w:sz w:val="24"/>
          <w:szCs w:val="24"/>
        </w:rPr>
      </w:pPr>
      <m:oMathPara>
        <m:oMathParaPr>
          <m:jc m:val="left"/>
        </m:oMathParaPr>
        <m:oMath>
          <m:r>
            <w:rPr>
              <w:rFonts w:ascii="Cambria Math" w:eastAsiaTheme="minorEastAsia" w:hAnsi="Cambria Math" w:cs="Times New Roman"/>
              <w:sz w:val="24"/>
              <w:szCs w:val="24"/>
            </w:rPr>
            <m:t>Prob</m:t>
          </m:r>
          <m:d>
            <m:dPr>
              <m:ctrlPr>
                <w:rPr>
                  <w:rFonts w:ascii="Cambria Math" w:eastAsiaTheme="minorEastAsia" w:hAnsi="Cambria Math" w:cs="Times New Roman"/>
                  <w:i/>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=2</m:t>
              </m:r>
            </m:e>
          </m:d>
          <m:r>
            <w:rPr>
              <w:rFonts w:ascii="Cambria Math" w:hAnsi="Cambria Math" w:cs="Times New Roman"/>
              <w:sz w:val="24"/>
              <w:szCs w:val="24"/>
            </w:rPr>
            <m:t>=1-</m:t>
          </m:r>
          <m:r>
            <m:rPr>
              <m:sty m:val="p"/>
            </m:rPr>
            <w:rPr>
              <w:rFonts w:ascii="Cambria Math" w:hAnsi="Cambria Math" w:cs="Times New Roman"/>
              <w:sz w:val="24"/>
              <w:szCs w:val="24"/>
            </w:rPr>
            <m:t>Φ</m:t>
          </m:r>
          <m:d>
            <m:dPr>
              <m:ctrlPr>
                <w:rPr>
                  <w:rFonts w:ascii="Cambria Math" w:hAnsi="Cambria Math" w:cs="Times New Roman"/>
                  <w:sz w:val="24"/>
                  <w:szCs w:val="24"/>
                </w:rPr>
              </m:ctrlPr>
            </m:dPr>
            <m:e>
              <m:r>
                <w:rPr>
                  <w:rFonts w:ascii="Cambria Math" w:hAnsi="Cambria Math" w:cs="Times New Roman"/>
                  <w:sz w:val="24"/>
                  <w:szCs w:val="24"/>
                </w:rPr>
                <m:t>μ-</m:t>
              </m:r>
              <m:sSup>
                <m:sSupPr>
                  <m:ctrlPr>
                    <w:rPr>
                      <w:rFonts w:ascii="Cambria Math" w:hAnsi="Cambria Math" w:cs="Times New Roman"/>
                      <w:i/>
                      <w:sz w:val="24"/>
                      <w:szCs w:val="24"/>
                    </w:rPr>
                  </m:ctrlPr>
                </m:sSupPr>
                <m:e>
                  <m:r>
                    <w:rPr>
                      <w:rFonts w:ascii="Cambria Math" w:hAnsi="Cambria Math" w:cs="Times New Roman"/>
                      <w:sz w:val="24"/>
                      <w:szCs w:val="24"/>
                    </w:rPr>
                    <m:t>β</m:t>
                  </m:r>
                </m:e>
                <m:sup>
                  <m:r>
                    <w:rPr>
                      <w:rFonts w:ascii="Cambria Math" w:hAnsi="Cambria Math" w:cs="Times New Roman"/>
                      <w:sz w:val="24"/>
                      <w:szCs w:val="24"/>
                    </w:rPr>
                    <m:t>'</m:t>
                  </m:r>
                </m:sup>
              </m:s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d>
        </m:oMath>
      </m:oMathPara>
    </w:p>
    <w:p w14:paraId="5D70D295" w14:textId="77777777" w:rsidR="00712D48" w:rsidRPr="00D10A97" w:rsidRDefault="00712D48" w:rsidP="00712D48">
      <w:pPr>
        <w:jc w:val="both"/>
        <w:rPr>
          <w:rFonts w:ascii="Times New Roman" w:hAnsi="Times New Roman" w:cs="Times New Roman"/>
          <w:sz w:val="24"/>
          <w:szCs w:val="24"/>
        </w:rPr>
      </w:pPr>
      <w:r w:rsidRPr="00D10A97">
        <w:rPr>
          <w:rFonts w:ascii="Times New Roman" w:hAnsi="Times New Roman" w:cs="Times New Roman"/>
          <w:sz w:val="24"/>
          <w:szCs w:val="24"/>
        </w:rPr>
        <w:t xml:space="preserve">In order for all probabilities to be positive, it must be </w:t>
      </w:r>
      <w:r w:rsidRPr="00D10A97">
        <w:rPr>
          <w:rFonts w:ascii="Cambria Math" w:hAnsi="Cambria Math" w:cs="Cambria Math"/>
          <w:sz w:val="24"/>
          <w:szCs w:val="24"/>
        </w:rPr>
        <w:t xml:space="preserve">𝜇&gt;0. </w:t>
      </w:r>
      <w:r w:rsidRPr="00D10A97">
        <w:rPr>
          <w:rFonts w:ascii="Times New Roman" w:hAnsi="Times New Roman" w:cs="Times New Roman"/>
          <w:sz w:val="24"/>
          <w:szCs w:val="24"/>
        </w:rPr>
        <w:t>The marginal effects</w:t>
      </w:r>
      <w:r w:rsidR="0066390E">
        <w:rPr>
          <w:rFonts w:ascii="Times New Roman" w:hAnsi="Times New Roman" w:cs="Times New Roman"/>
          <w:sz w:val="24"/>
          <w:szCs w:val="24"/>
        </w:rPr>
        <w:t>/associations</w:t>
      </w:r>
      <w:r w:rsidRPr="00D10A97">
        <w:rPr>
          <w:rFonts w:ascii="Times New Roman" w:hAnsi="Times New Roman" w:cs="Times New Roman"/>
          <w:sz w:val="24"/>
          <w:szCs w:val="24"/>
        </w:rPr>
        <w:t xml:space="preserve"> are different from the ordered </w:t>
      </w:r>
      <w:proofErr w:type="spellStart"/>
      <w:r w:rsidRPr="00D10A97">
        <w:rPr>
          <w:rFonts w:ascii="Times New Roman" w:hAnsi="Times New Roman" w:cs="Times New Roman"/>
          <w:sz w:val="24"/>
          <w:szCs w:val="24"/>
        </w:rPr>
        <w:t>probit</w:t>
      </w:r>
      <w:proofErr w:type="spellEnd"/>
      <w:r w:rsidRPr="00D10A97">
        <w:rPr>
          <w:rFonts w:ascii="Times New Roman" w:hAnsi="Times New Roman" w:cs="Times New Roman"/>
          <w:sz w:val="24"/>
          <w:szCs w:val="24"/>
        </w:rPr>
        <w:t xml:space="preserve"> (OP) regression coefficients. Both the sign and magnitude of marginal effects vary with the ordered outcome. As Greene (2018) offers a detailed account of how the marginal effects are calculated, we have refrained from an exposition here. There are mainly two ways of calculating the marginal effects. The first is to derive the marginal effects for all the explanatory variables in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D10A97">
        <w:rPr>
          <w:rFonts w:ascii="Times New Roman" w:hAnsi="Times New Roman" w:cs="Times New Roman"/>
          <w:sz w:val="24"/>
          <w:szCs w:val="24"/>
        </w:rPr>
        <w:t>for each observation (for i=1</w:t>
      </w:r>
      <w:proofErr w:type="gramStart"/>
      <w:r w:rsidRPr="00D10A97">
        <w:rPr>
          <w:rFonts w:ascii="Times New Roman" w:hAnsi="Times New Roman" w:cs="Times New Roman"/>
          <w:sz w:val="24"/>
          <w:szCs w:val="24"/>
        </w:rPr>
        <w:t>, ….,</w:t>
      </w:r>
      <w:proofErr w:type="gramEnd"/>
      <w:r w:rsidRPr="00D10A97">
        <w:rPr>
          <w:rFonts w:ascii="Times New Roman" w:hAnsi="Times New Roman" w:cs="Times New Roman"/>
          <w:sz w:val="24"/>
          <w:szCs w:val="24"/>
        </w:rPr>
        <w:t xml:space="preserve"> 27,958) and take the averages for each explanatory variable. The second is to compute the marginal effect corresponding to each coefficient for a particular explanatory variable by assuming that all the other explanatory variables take the mean</w:t>
      </w:r>
      <w:r w:rsidR="00124CB4">
        <w:rPr>
          <w:rFonts w:ascii="Times New Roman" w:hAnsi="Times New Roman" w:cs="Times New Roman"/>
          <w:sz w:val="24"/>
          <w:szCs w:val="24"/>
        </w:rPr>
        <w:t xml:space="preserve"> values</w:t>
      </w:r>
      <w:r w:rsidRPr="00D10A97">
        <w:rPr>
          <w:rFonts w:ascii="Times New Roman" w:hAnsi="Times New Roman" w:cs="Times New Roman"/>
          <w:sz w:val="24"/>
          <w:szCs w:val="24"/>
        </w:rPr>
        <w:t xml:space="preserve">. We have applied both methods, but we primarily focus on the results of the latter as this is directly comparable to the OLS estimates. We carry out the Wald test which examines the linear restrictions </w:t>
      </w:r>
      <w:r w:rsidRPr="00D10A97">
        <w:rPr>
          <w:rFonts w:ascii="Cambria Math" w:hAnsi="Cambria Math" w:cs="Cambria Math"/>
          <w:sz w:val="24"/>
          <w:szCs w:val="24"/>
        </w:rPr>
        <w:t>𝛽</w:t>
      </w:r>
      <w:r w:rsidRPr="00D10A97">
        <w:rPr>
          <w:rFonts w:ascii="Times New Roman" w:hAnsi="Times New Roman" w:cs="Times New Roman"/>
          <w:sz w:val="24"/>
          <w:szCs w:val="24"/>
          <w:vertAlign w:val="subscript"/>
        </w:rPr>
        <w:t>1</w:t>
      </w:r>
      <w:r w:rsidRPr="00D10A97">
        <w:rPr>
          <w:rFonts w:ascii="Times New Roman" w:hAnsi="Times New Roman" w:cs="Times New Roman"/>
          <w:sz w:val="24"/>
          <w:szCs w:val="24"/>
        </w:rPr>
        <w:t xml:space="preserve"> = </w:t>
      </w:r>
      <w:r w:rsidRPr="00D10A97">
        <w:rPr>
          <w:rFonts w:ascii="Cambria Math" w:hAnsi="Cambria Math" w:cs="Cambria Math"/>
          <w:sz w:val="24"/>
          <w:szCs w:val="24"/>
        </w:rPr>
        <w:t>𝛽</w:t>
      </w:r>
      <w:r w:rsidRPr="00D10A97">
        <w:rPr>
          <w:rFonts w:ascii="Times New Roman" w:hAnsi="Times New Roman" w:cs="Times New Roman"/>
          <w:sz w:val="24"/>
          <w:szCs w:val="24"/>
          <w:vertAlign w:val="subscript"/>
        </w:rPr>
        <w:t>2</w:t>
      </w:r>
      <w:r w:rsidRPr="00D10A97">
        <w:rPr>
          <w:rFonts w:ascii="Times New Roman" w:hAnsi="Times New Roman" w:cs="Times New Roman"/>
          <w:sz w:val="24"/>
          <w:szCs w:val="24"/>
        </w:rPr>
        <w:t xml:space="preserve"> = </w:t>
      </w:r>
      <w:r w:rsidRPr="00D10A97">
        <w:rPr>
          <w:rFonts w:ascii="Cambria Math" w:hAnsi="Cambria Math" w:cs="Cambria Math"/>
          <w:sz w:val="24"/>
          <w:szCs w:val="24"/>
        </w:rPr>
        <w:t>⋯</w:t>
      </w:r>
      <w:r w:rsidRPr="00D10A97">
        <w:rPr>
          <w:rFonts w:ascii="Times New Roman" w:hAnsi="Times New Roman" w:cs="Times New Roman"/>
          <w:sz w:val="24"/>
          <w:szCs w:val="24"/>
        </w:rPr>
        <w:t xml:space="preserve"> .</w:t>
      </w:r>
      <w:r w:rsidRPr="00D10A97">
        <w:rPr>
          <w:rFonts w:ascii="Cambria Math" w:hAnsi="Cambria Math" w:cs="Cambria Math"/>
          <w:sz w:val="24"/>
          <w:szCs w:val="24"/>
        </w:rPr>
        <w:t>𝛽</w:t>
      </w:r>
      <w:r w:rsidRPr="00D10A97">
        <w:rPr>
          <w:rFonts w:ascii="Cambria Math" w:hAnsi="Cambria Math" w:cs="Cambria Math"/>
          <w:sz w:val="24"/>
          <w:szCs w:val="24"/>
          <w:vertAlign w:val="subscript"/>
        </w:rPr>
        <w:t>𝑗</w:t>
      </w:r>
      <w:r w:rsidRPr="00D10A97">
        <w:rPr>
          <w:rFonts w:ascii="Times New Roman" w:hAnsi="Times New Roman" w:cs="Times New Roman"/>
          <w:sz w:val="24"/>
          <w:szCs w:val="24"/>
          <w:vertAlign w:val="subscript"/>
        </w:rPr>
        <w:t xml:space="preserve">−1 </w:t>
      </w:r>
      <w:r w:rsidRPr="00D10A97">
        <w:rPr>
          <w:rFonts w:ascii="Times New Roman" w:hAnsi="Times New Roman" w:cs="Times New Roman"/>
          <w:sz w:val="24"/>
          <w:szCs w:val="24"/>
        </w:rPr>
        <w:t xml:space="preserve">or </w:t>
      </w:r>
      <w:r w:rsidRPr="00D10A97">
        <w:rPr>
          <w:rFonts w:ascii="Times New Roman" w:hAnsi="Times New Roman" w:cs="Times New Roman"/>
          <w:i/>
          <w:iCs/>
          <w:sz w:val="24"/>
          <w:szCs w:val="24"/>
        </w:rPr>
        <w:t>H</w:t>
      </w:r>
      <w:r w:rsidRPr="00D10A97">
        <w:rPr>
          <w:rFonts w:ascii="Times New Roman" w:hAnsi="Times New Roman" w:cs="Times New Roman"/>
          <w:sz w:val="24"/>
          <w:szCs w:val="24"/>
          <w:vertAlign w:val="subscript"/>
        </w:rPr>
        <w:t>0</w:t>
      </w:r>
      <w:r w:rsidRPr="00D10A97">
        <w:rPr>
          <w:rFonts w:ascii="Times New Roman" w:hAnsi="Times New Roman" w:cs="Times New Roman"/>
          <w:sz w:val="24"/>
          <w:szCs w:val="24"/>
        </w:rPr>
        <w:t xml:space="preserve">: </w:t>
      </w:r>
      <w:r w:rsidRPr="00D10A97">
        <w:rPr>
          <w:rFonts w:ascii="Cambria Math" w:hAnsi="Cambria Math" w:cs="Cambria Math"/>
          <w:sz w:val="24"/>
          <w:szCs w:val="24"/>
        </w:rPr>
        <w:t>𝛽</w:t>
      </w:r>
      <w:r w:rsidRPr="00D10A97">
        <w:rPr>
          <w:rFonts w:ascii="Cambria Math" w:hAnsi="Cambria Math" w:cs="Cambria Math"/>
          <w:sz w:val="24"/>
          <w:szCs w:val="24"/>
          <w:vertAlign w:val="subscript"/>
        </w:rPr>
        <w:t>𝑞</w:t>
      </w:r>
      <w:r w:rsidRPr="00D10A97">
        <w:rPr>
          <w:rFonts w:ascii="Times New Roman" w:hAnsi="Times New Roman" w:cs="Times New Roman"/>
          <w:sz w:val="24"/>
          <w:szCs w:val="24"/>
        </w:rPr>
        <w:t xml:space="preserve"> – </w:t>
      </w:r>
      <w:r w:rsidRPr="00D10A97">
        <w:rPr>
          <w:rFonts w:ascii="Cambria Math" w:hAnsi="Cambria Math" w:cs="Cambria Math"/>
          <w:sz w:val="24"/>
          <w:szCs w:val="24"/>
        </w:rPr>
        <w:t>𝛽</w:t>
      </w:r>
      <w:r w:rsidRPr="00D10A97">
        <w:rPr>
          <w:rFonts w:ascii="Times New Roman" w:hAnsi="Times New Roman" w:cs="Times New Roman"/>
          <w:sz w:val="24"/>
          <w:szCs w:val="24"/>
          <w:vertAlign w:val="subscript"/>
        </w:rPr>
        <w:t>1</w:t>
      </w:r>
      <w:r w:rsidRPr="00D10A97">
        <w:rPr>
          <w:rFonts w:ascii="Times New Roman" w:hAnsi="Times New Roman" w:cs="Times New Roman"/>
          <w:sz w:val="24"/>
          <w:szCs w:val="24"/>
        </w:rPr>
        <w:t xml:space="preserve"> =</w:t>
      </w:r>
      <w:proofErr w:type="gramStart"/>
      <w:r w:rsidRPr="00D10A97">
        <w:rPr>
          <w:rFonts w:ascii="Times New Roman" w:hAnsi="Times New Roman" w:cs="Times New Roman"/>
          <w:sz w:val="24"/>
          <w:szCs w:val="24"/>
        </w:rPr>
        <w:t>0 ,</w:t>
      </w:r>
      <w:r w:rsidRPr="00D10A97">
        <w:rPr>
          <w:rFonts w:ascii="Times New Roman" w:hAnsi="Times New Roman" w:cs="Times New Roman"/>
          <w:i/>
          <w:iCs/>
          <w:sz w:val="24"/>
          <w:szCs w:val="24"/>
        </w:rPr>
        <w:t>q</w:t>
      </w:r>
      <w:proofErr w:type="gramEnd"/>
      <w:r w:rsidRPr="00D10A97">
        <w:rPr>
          <w:rFonts w:ascii="Times New Roman" w:hAnsi="Times New Roman" w:cs="Times New Roman"/>
          <w:sz w:val="24"/>
          <w:szCs w:val="24"/>
        </w:rPr>
        <w:t>= 2</w:t>
      </w:r>
      <w:r w:rsidRPr="00D10A97">
        <w:rPr>
          <w:rFonts w:ascii="Times New Roman" w:hAnsi="Times New Roman" w:cs="Times New Roman"/>
          <w:i/>
          <w:iCs/>
          <w:sz w:val="24"/>
          <w:szCs w:val="24"/>
        </w:rPr>
        <w:t xml:space="preserve">, . . . , J </w:t>
      </w:r>
      <w:r w:rsidRPr="00D10A97">
        <w:rPr>
          <w:rFonts w:ascii="Times New Roman" w:hAnsi="Times New Roman" w:cs="Times New Roman"/>
          <w:sz w:val="24"/>
          <w:szCs w:val="24"/>
        </w:rPr>
        <w:t>– 1.</w:t>
      </w:r>
    </w:p>
    <w:p w14:paraId="4C4B859B" w14:textId="77777777" w:rsidR="00D538DB" w:rsidRPr="008269E4" w:rsidRDefault="00D538DB" w:rsidP="003D2965">
      <w:pPr>
        <w:jc w:val="both"/>
        <w:rPr>
          <w:rFonts w:ascii="Times New Roman" w:eastAsiaTheme="minorEastAsia" w:hAnsi="Times New Roman" w:cs="Times New Roman"/>
          <w:sz w:val="24"/>
          <w:szCs w:val="24"/>
        </w:rPr>
      </w:pPr>
    </w:p>
    <w:p w14:paraId="08515F3B" w14:textId="77777777" w:rsidR="00145C96" w:rsidRDefault="00145C96" w:rsidP="008269E4">
      <w:pPr>
        <w:jc w:val="center"/>
        <w:rPr>
          <w:rFonts w:ascii="Times New Roman" w:hAnsi="Times New Roman" w:cs="Times New Roman"/>
          <w:b/>
          <w:sz w:val="24"/>
          <w:szCs w:val="24"/>
        </w:rPr>
      </w:pPr>
      <w:r w:rsidRPr="008269E4">
        <w:rPr>
          <w:rFonts w:ascii="Times New Roman" w:hAnsi="Times New Roman" w:cs="Times New Roman"/>
          <w:b/>
          <w:sz w:val="24"/>
          <w:szCs w:val="24"/>
        </w:rPr>
        <w:t>5. Results</w:t>
      </w:r>
    </w:p>
    <w:p w14:paraId="34BF1EB2" w14:textId="77777777" w:rsidR="00FF56B3" w:rsidRPr="008269E4" w:rsidRDefault="00FF56B3" w:rsidP="008269E4">
      <w:pPr>
        <w:jc w:val="center"/>
        <w:rPr>
          <w:rFonts w:ascii="Times New Roman" w:hAnsi="Times New Roman" w:cs="Times New Roman"/>
          <w:b/>
          <w:sz w:val="24"/>
          <w:szCs w:val="24"/>
        </w:rPr>
      </w:pPr>
      <w:r>
        <w:rPr>
          <w:rFonts w:ascii="Times New Roman" w:hAnsi="Times New Roman" w:cs="Times New Roman"/>
          <w:b/>
          <w:sz w:val="24"/>
          <w:szCs w:val="24"/>
        </w:rPr>
        <w:t>(a) Descr</w:t>
      </w:r>
      <w:r w:rsidR="004349A8">
        <w:rPr>
          <w:rFonts w:ascii="Times New Roman" w:hAnsi="Times New Roman" w:cs="Times New Roman"/>
          <w:b/>
          <w:sz w:val="24"/>
          <w:szCs w:val="24"/>
        </w:rPr>
        <w:t xml:space="preserve">iptive Statistics </w:t>
      </w:r>
    </w:p>
    <w:p w14:paraId="23095859" w14:textId="07988198" w:rsidR="00145C96" w:rsidRPr="008269E4" w:rsidRDefault="00145C96" w:rsidP="00145C96">
      <w:pPr>
        <w:jc w:val="both"/>
        <w:rPr>
          <w:rFonts w:ascii="Times New Roman" w:hAnsi="Times New Roman" w:cs="Times New Roman"/>
          <w:sz w:val="24"/>
          <w:szCs w:val="24"/>
        </w:rPr>
      </w:pPr>
      <w:r w:rsidRPr="008269E4">
        <w:rPr>
          <w:rFonts w:ascii="Times New Roman" w:hAnsi="Times New Roman" w:cs="Times New Roman"/>
          <w:sz w:val="24"/>
          <w:szCs w:val="24"/>
        </w:rPr>
        <w:t xml:space="preserve">The list of variables and their means and standard deviation are given in Table 1. </w:t>
      </w:r>
    </w:p>
    <w:p w14:paraId="388F2553" w14:textId="77777777" w:rsidR="00145C96" w:rsidRDefault="00145C96" w:rsidP="00145C96">
      <w:pPr>
        <w:spacing w:after="0"/>
        <w:rPr>
          <w:rFonts w:ascii="Times New Roman" w:hAnsi="Times New Roman" w:cs="Times New Roman"/>
          <w:b/>
          <w:lang w:val="en-US"/>
        </w:rPr>
      </w:pPr>
      <w:r w:rsidRPr="00BF5995">
        <w:rPr>
          <w:rFonts w:ascii="Times New Roman" w:hAnsi="Times New Roman" w:cs="Times New Roman"/>
          <w:b/>
          <w:lang w:val="en-US"/>
        </w:rPr>
        <w:t>Table 1</w:t>
      </w:r>
      <w:r>
        <w:rPr>
          <w:rFonts w:ascii="Times New Roman" w:hAnsi="Times New Roman" w:cs="Times New Roman"/>
          <w:b/>
          <w:lang w:val="en-US"/>
        </w:rPr>
        <w:t>:</w:t>
      </w:r>
      <w:r w:rsidRPr="00BF5995">
        <w:rPr>
          <w:rFonts w:ascii="Times New Roman" w:hAnsi="Times New Roman" w:cs="Times New Roman"/>
          <w:b/>
          <w:lang w:val="en-US"/>
        </w:rPr>
        <w:t xml:space="preserve"> List of Variables and Descriptive Statistics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4487"/>
        <w:gridCol w:w="520"/>
        <w:gridCol w:w="689"/>
        <w:gridCol w:w="842"/>
        <w:gridCol w:w="709"/>
      </w:tblGrid>
      <w:tr w:rsidR="00145C96" w:rsidRPr="00D57EC2" w14:paraId="2C3C0E8C" w14:textId="77777777" w:rsidTr="00145C96">
        <w:trPr>
          <w:trHeight w:val="255"/>
          <w:tblCellSpacing w:w="0" w:type="dxa"/>
        </w:trPr>
        <w:tc>
          <w:tcPr>
            <w:tcW w:w="0" w:type="auto"/>
            <w:tcBorders>
              <w:top w:val="single" w:sz="4" w:space="0" w:color="auto"/>
              <w:bottom w:val="single" w:sz="4" w:space="0" w:color="auto"/>
            </w:tcBorders>
            <w:vAlign w:val="center"/>
            <w:hideMark/>
          </w:tcPr>
          <w:p w14:paraId="6697B692" w14:textId="77777777" w:rsidR="00145C96" w:rsidRPr="00D10A97" w:rsidRDefault="00145C96" w:rsidP="00145C96">
            <w:pPr>
              <w:adjustRightInd w:val="0"/>
              <w:snapToGrid w:val="0"/>
              <w:spacing w:after="0" w:line="240" w:lineRule="auto"/>
              <w:rPr>
                <w:rFonts w:ascii="Arial" w:eastAsia="Times New Roman" w:hAnsi="Arial" w:cs="Arial"/>
                <w:sz w:val="16"/>
                <w:szCs w:val="16"/>
              </w:rPr>
            </w:pPr>
            <w:r w:rsidRPr="00D10A97">
              <w:rPr>
                <w:rFonts w:ascii="Arial" w:eastAsia="Times New Roman" w:hAnsi="Arial" w:cs="Arial"/>
                <w:sz w:val="16"/>
                <w:szCs w:val="16"/>
              </w:rPr>
              <w:t>Variable</w:t>
            </w:r>
          </w:p>
        </w:tc>
        <w:tc>
          <w:tcPr>
            <w:tcW w:w="0" w:type="auto"/>
            <w:tcBorders>
              <w:top w:val="single" w:sz="4" w:space="0" w:color="auto"/>
              <w:bottom w:val="single" w:sz="4" w:space="0" w:color="auto"/>
            </w:tcBorders>
            <w:vAlign w:val="center"/>
            <w:hideMark/>
          </w:tcPr>
          <w:p w14:paraId="6543DB9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Mean</w:t>
            </w:r>
          </w:p>
        </w:tc>
        <w:tc>
          <w:tcPr>
            <w:tcW w:w="0" w:type="auto"/>
            <w:tcBorders>
              <w:top w:val="single" w:sz="4" w:space="0" w:color="auto"/>
              <w:bottom w:val="single" w:sz="4" w:space="0" w:color="auto"/>
            </w:tcBorders>
            <w:vAlign w:val="center"/>
            <w:hideMark/>
          </w:tcPr>
          <w:p w14:paraId="774B7CC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Std. Dev.</w:t>
            </w:r>
          </w:p>
        </w:tc>
        <w:tc>
          <w:tcPr>
            <w:tcW w:w="842" w:type="dxa"/>
            <w:tcBorders>
              <w:top w:val="single" w:sz="4" w:space="0" w:color="auto"/>
              <w:bottom w:val="single" w:sz="4" w:space="0" w:color="auto"/>
            </w:tcBorders>
            <w:vAlign w:val="center"/>
            <w:hideMark/>
          </w:tcPr>
          <w:p w14:paraId="25FDD69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Min</w:t>
            </w:r>
          </w:p>
        </w:tc>
        <w:tc>
          <w:tcPr>
            <w:tcW w:w="709" w:type="dxa"/>
            <w:tcBorders>
              <w:top w:val="single" w:sz="4" w:space="0" w:color="auto"/>
              <w:bottom w:val="single" w:sz="4" w:space="0" w:color="auto"/>
            </w:tcBorders>
            <w:vAlign w:val="center"/>
            <w:hideMark/>
          </w:tcPr>
          <w:p w14:paraId="161E875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Max</w:t>
            </w:r>
          </w:p>
        </w:tc>
      </w:tr>
      <w:tr w:rsidR="00145C96" w:rsidRPr="00D57EC2" w14:paraId="257B6D29" w14:textId="77777777" w:rsidTr="00145C96">
        <w:trPr>
          <w:trHeight w:val="255"/>
          <w:tblCellSpacing w:w="0" w:type="dxa"/>
        </w:trPr>
        <w:tc>
          <w:tcPr>
            <w:tcW w:w="0" w:type="auto"/>
            <w:vAlign w:val="center"/>
            <w:hideMark/>
          </w:tcPr>
          <w:p w14:paraId="1706CBD5" w14:textId="77777777" w:rsidR="00145C96" w:rsidRPr="00D10A97" w:rsidRDefault="00145C96" w:rsidP="00145C96">
            <w:pPr>
              <w:adjustRightInd w:val="0"/>
              <w:snapToGrid w:val="0"/>
              <w:spacing w:after="0" w:line="240" w:lineRule="auto"/>
              <w:rPr>
                <w:rFonts w:ascii="Arial" w:eastAsia="Times New Roman" w:hAnsi="Arial" w:cs="Arial"/>
                <w:sz w:val="16"/>
                <w:szCs w:val="16"/>
              </w:rPr>
            </w:pPr>
            <w:r w:rsidRPr="00D10A97">
              <w:rPr>
                <w:rFonts w:ascii="Arial" w:eastAsia="Times New Roman" w:hAnsi="Arial" w:cs="Arial"/>
                <w:sz w:val="16"/>
                <w:szCs w:val="16"/>
              </w:rPr>
              <w:t>SWB</w:t>
            </w:r>
          </w:p>
        </w:tc>
        <w:tc>
          <w:tcPr>
            <w:tcW w:w="0" w:type="auto"/>
            <w:vAlign w:val="center"/>
            <w:hideMark/>
          </w:tcPr>
          <w:p w14:paraId="7AC65BF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1.292</w:t>
            </w:r>
          </w:p>
        </w:tc>
        <w:tc>
          <w:tcPr>
            <w:tcW w:w="0" w:type="auto"/>
            <w:vAlign w:val="center"/>
            <w:hideMark/>
          </w:tcPr>
          <w:p w14:paraId="26C38F7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0.634</w:t>
            </w:r>
          </w:p>
        </w:tc>
        <w:tc>
          <w:tcPr>
            <w:tcW w:w="842" w:type="dxa"/>
            <w:vAlign w:val="center"/>
            <w:hideMark/>
          </w:tcPr>
          <w:p w14:paraId="376395A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027033A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2</w:t>
            </w:r>
          </w:p>
        </w:tc>
      </w:tr>
      <w:tr w:rsidR="00145C96" w:rsidRPr="00D57EC2" w14:paraId="015A2598" w14:textId="77777777" w:rsidTr="00145C96">
        <w:trPr>
          <w:trHeight w:val="255"/>
          <w:tblCellSpacing w:w="0" w:type="dxa"/>
        </w:trPr>
        <w:tc>
          <w:tcPr>
            <w:tcW w:w="0" w:type="auto"/>
            <w:vAlign w:val="center"/>
            <w:hideMark/>
          </w:tcPr>
          <w:p w14:paraId="0B17744C" w14:textId="77777777" w:rsidR="00145C96" w:rsidRPr="00D10A97" w:rsidRDefault="00145C96" w:rsidP="00145C96">
            <w:pPr>
              <w:adjustRightInd w:val="0"/>
              <w:snapToGrid w:val="0"/>
              <w:spacing w:after="0" w:line="240" w:lineRule="auto"/>
              <w:rPr>
                <w:rFonts w:ascii="Arial" w:eastAsia="Times New Roman" w:hAnsi="Arial" w:cs="Arial"/>
                <w:sz w:val="16"/>
                <w:szCs w:val="16"/>
              </w:rPr>
            </w:pPr>
            <w:r w:rsidRPr="00D10A97">
              <w:rPr>
                <w:rFonts w:ascii="Arial" w:hAnsi="Arial" w:cs="Arial"/>
                <w:sz w:val="16"/>
                <w:szCs w:val="16"/>
              </w:rPr>
              <w:t>Monthly Per capita expenditure (’00)</w:t>
            </w:r>
          </w:p>
        </w:tc>
        <w:tc>
          <w:tcPr>
            <w:tcW w:w="0" w:type="auto"/>
            <w:vAlign w:val="center"/>
            <w:hideMark/>
          </w:tcPr>
          <w:p w14:paraId="1DD54D2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8.442</w:t>
            </w:r>
          </w:p>
        </w:tc>
        <w:tc>
          <w:tcPr>
            <w:tcW w:w="0" w:type="auto"/>
            <w:vAlign w:val="center"/>
            <w:hideMark/>
          </w:tcPr>
          <w:p w14:paraId="1AFD4D8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8.23</w:t>
            </w:r>
          </w:p>
        </w:tc>
        <w:tc>
          <w:tcPr>
            <w:tcW w:w="842" w:type="dxa"/>
            <w:vAlign w:val="center"/>
            <w:hideMark/>
          </w:tcPr>
          <w:p w14:paraId="0292DEC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0.04</w:t>
            </w:r>
          </w:p>
        </w:tc>
        <w:tc>
          <w:tcPr>
            <w:tcW w:w="709" w:type="dxa"/>
            <w:vAlign w:val="center"/>
            <w:hideMark/>
          </w:tcPr>
          <w:p w14:paraId="577A13E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392.73</w:t>
            </w:r>
          </w:p>
        </w:tc>
      </w:tr>
      <w:tr w:rsidR="00145C96" w:rsidRPr="00D57EC2" w14:paraId="76B268EF" w14:textId="77777777" w:rsidTr="00145C96">
        <w:trPr>
          <w:trHeight w:val="255"/>
          <w:tblCellSpacing w:w="0" w:type="dxa"/>
        </w:trPr>
        <w:tc>
          <w:tcPr>
            <w:tcW w:w="0" w:type="auto"/>
            <w:vAlign w:val="center"/>
            <w:hideMark/>
          </w:tcPr>
          <w:p w14:paraId="7A60E3D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r w:rsidRPr="00D10A97">
              <w:rPr>
                <w:rFonts w:ascii="Arial" w:hAnsi="Arial" w:cs="Arial"/>
                <w:sz w:val="16"/>
                <w:szCs w:val="16"/>
              </w:rPr>
              <w:t>Household per capita expenditure as fraction of highest in PSU</w:t>
            </w:r>
          </w:p>
        </w:tc>
        <w:tc>
          <w:tcPr>
            <w:tcW w:w="0" w:type="auto"/>
            <w:vAlign w:val="center"/>
            <w:hideMark/>
          </w:tcPr>
          <w:p w14:paraId="72110AE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0.456</w:t>
            </w:r>
          </w:p>
        </w:tc>
        <w:tc>
          <w:tcPr>
            <w:tcW w:w="0" w:type="auto"/>
            <w:vAlign w:val="center"/>
            <w:hideMark/>
          </w:tcPr>
          <w:p w14:paraId="12DCA2B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0.268</w:t>
            </w:r>
          </w:p>
        </w:tc>
        <w:tc>
          <w:tcPr>
            <w:tcW w:w="842" w:type="dxa"/>
            <w:vAlign w:val="center"/>
            <w:hideMark/>
          </w:tcPr>
          <w:p w14:paraId="355B8CD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0.004</w:t>
            </w:r>
          </w:p>
        </w:tc>
        <w:tc>
          <w:tcPr>
            <w:tcW w:w="709" w:type="dxa"/>
            <w:vAlign w:val="center"/>
            <w:hideMark/>
          </w:tcPr>
          <w:p w14:paraId="1436003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5797F31F" w14:textId="77777777" w:rsidTr="00145C96">
        <w:trPr>
          <w:trHeight w:val="255"/>
          <w:tblCellSpacing w:w="0" w:type="dxa"/>
        </w:trPr>
        <w:tc>
          <w:tcPr>
            <w:tcW w:w="0" w:type="auto"/>
            <w:hideMark/>
          </w:tcPr>
          <w:p w14:paraId="357092CF"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Gender</w:t>
            </w:r>
          </w:p>
        </w:tc>
        <w:tc>
          <w:tcPr>
            <w:tcW w:w="0" w:type="auto"/>
            <w:vAlign w:val="center"/>
            <w:hideMark/>
          </w:tcPr>
          <w:p w14:paraId="3ABCDDF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7A9B897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3BF4AFE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350D3ADD"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713C365B" w14:textId="77777777" w:rsidTr="00145C96">
        <w:trPr>
          <w:trHeight w:val="255"/>
          <w:tblCellSpacing w:w="0" w:type="dxa"/>
        </w:trPr>
        <w:tc>
          <w:tcPr>
            <w:tcW w:w="0" w:type="auto"/>
            <w:hideMark/>
          </w:tcPr>
          <w:p w14:paraId="7B56C6FF"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Female</w:t>
            </w:r>
          </w:p>
        </w:tc>
        <w:tc>
          <w:tcPr>
            <w:tcW w:w="0" w:type="auto"/>
            <w:vAlign w:val="center"/>
            <w:hideMark/>
          </w:tcPr>
          <w:p w14:paraId="4B1D239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0.078</w:t>
            </w:r>
          </w:p>
        </w:tc>
        <w:tc>
          <w:tcPr>
            <w:tcW w:w="0" w:type="auto"/>
            <w:vAlign w:val="center"/>
            <w:hideMark/>
          </w:tcPr>
          <w:p w14:paraId="37EA402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0.268</w:t>
            </w:r>
          </w:p>
        </w:tc>
        <w:tc>
          <w:tcPr>
            <w:tcW w:w="842" w:type="dxa"/>
            <w:vAlign w:val="center"/>
            <w:hideMark/>
          </w:tcPr>
          <w:p w14:paraId="30AAEC49"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28376C2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1A27033D" w14:textId="77777777" w:rsidTr="00145C96">
        <w:trPr>
          <w:trHeight w:val="255"/>
          <w:tblCellSpacing w:w="0" w:type="dxa"/>
        </w:trPr>
        <w:tc>
          <w:tcPr>
            <w:tcW w:w="0" w:type="auto"/>
          </w:tcPr>
          <w:p w14:paraId="2DFE3161"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Marital Status</w:t>
            </w:r>
          </w:p>
        </w:tc>
        <w:tc>
          <w:tcPr>
            <w:tcW w:w="0" w:type="auto"/>
            <w:vAlign w:val="center"/>
            <w:hideMark/>
          </w:tcPr>
          <w:p w14:paraId="0BB91482"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5654708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006DD8D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11238160"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1D4532E5" w14:textId="77777777" w:rsidTr="00145C96">
        <w:trPr>
          <w:trHeight w:val="255"/>
          <w:tblCellSpacing w:w="0" w:type="dxa"/>
        </w:trPr>
        <w:tc>
          <w:tcPr>
            <w:tcW w:w="0" w:type="auto"/>
          </w:tcPr>
          <w:p w14:paraId="65B40573"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Unmarried</w:t>
            </w:r>
          </w:p>
        </w:tc>
        <w:tc>
          <w:tcPr>
            <w:tcW w:w="0" w:type="auto"/>
            <w:vAlign w:val="center"/>
            <w:hideMark/>
          </w:tcPr>
          <w:p w14:paraId="4641FD8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0.008</w:t>
            </w:r>
          </w:p>
        </w:tc>
        <w:tc>
          <w:tcPr>
            <w:tcW w:w="0" w:type="auto"/>
            <w:vAlign w:val="center"/>
            <w:hideMark/>
          </w:tcPr>
          <w:p w14:paraId="6CA73599"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0.091</w:t>
            </w:r>
          </w:p>
        </w:tc>
        <w:tc>
          <w:tcPr>
            <w:tcW w:w="842" w:type="dxa"/>
            <w:vAlign w:val="center"/>
            <w:hideMark/>
          </w:tcPr>
          <w:p w14:paraId="65C0127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49117A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3E98229D" w14:textId="77777777" w:rsidTr="00145C96">
        <w:trPr>
          <w:trHeight w:val="255"/>
          <w:tblCellSpacing w:w="0" w:type="dxa"/>
        </w:trPr>
        <w:tc>
          <w:tcPr>
            <w:tcW w:w="0" w:type="auto"/>
            <w:hideMark/>
          </w:tcPr>
          <w:p w14:paraId="02BE2AC6"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Widowed/Divorced</w:t>
            </w:r>
          </w:p>
        </w:tc>
        <w:tc>
          <w:tcPr>
            <w:tcW w:w="0" w:type="auto"/>
            <w:vAlign w:val="center"/>
            <w:hideMark/>
          </w:tcPr>
          <w:p w14:paraId="547BAE8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0.099</w:t>
            </w:r>
          </w:p>
        </w:tc>
        <w:tc>
          <w:tcPr>
            <w:tcW w:w="0" w:type="auto"/>
            <w:vAlign w:val="center"/>
            <w:hideMark/>
          </w:tcPr>
          <w:p w14:paraId="27E2EDD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0.299</w:t>
            </w:r>
          </w:p>
        </w:tc>
        <w:tc>
          <w:tcPr>
            <w:tcW w:w="842" w:type="dxa"/>
            <w:vAlign w:val="center"/>
            <w:hideMark/>
          </w:tcPr>
          <w:p w14:paraId="47CA896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4005EE6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1221B273" w14:textId="77777777" w:rsidTr="00145C96">
        <w:trPr>
          <w:trHeight w:val="255"/>
          <w:tblCellSpacing w:w="0" w:type="dxa"/>
        </w:trPr>
        <w:tc>
          <w:tcPr>
            <w:tcW w:w="0" w:type="auto"/>
            <w:vAlign w:val="center"/>
            <w:hideMark/>
          </w:tcPr>
          <w:p w14:paraId="6D74AD29" w14:textId="77777777" w:rsidR="00145C96" w:rsidRPr="00D10A97" w:rsidRDefault="00145C96" w:rsidP="00145C96">
            <w:pPr>
              <w:adjustRightInd w:val="0"/>
              <w:snapToGrid w:val="0"/>
              <w:spacing w:after="0" w:line="240" w:lineRule="auto"/>
              <w:rPr>
                <w:rFonts w:ascii="Arial" w:eastAsia="Times New Roman" w:hAnsi="Arial" w:cs="Arial"/>
                <w:sz w:val="16"/>
                <w:szCs w:val="16"/>
              </w:rPr>
            </w:pPr>
            <w:r w:rsidRPr="00D10A97">
              <w:rPr>
                <w:rFonts w:ascii="Arial" w:eastAsia="Times New Roman" w:hAnsi="Arial" w:cs="Arial"/>
                <w:sz w:val="16"/>
                <w:szCs w:val="16"/>
              </w:rPr>
              <w:t>Age</w:t>
            </w:r>
          </w:p>
        </w:tc>
        <w:tc>
          <w:tcPr>
            <w:tcW w:w="0" w:type="auto"/>
            <w:vAlign w:val="center"/>
            <w:hideMark/>
          </w:tcPr>
          <w:p w14:paraId="3023ECB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45.926</w:t>
            </w:r>
          </w:p>
        </w:tc>
        <w:tc>
          <w:tcPr>
            <w:tcW w:w="0" w:type="auto"/>
            <w:vAlign w:val="center"/>
            <w:hideMark/>
          </w:tcPr>
          <w:p w14:paraId="6D3CF4D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12.406</w:t>
            </w:r>
          </w:p>
        </w:tc>
        <w:tc>
          <w:tcPr>
            <w:tcW w:w="842" w:type="dxa"/>
            <w:vAlign w:val="center"/>
            <w:hideMark/>
          </w:tcPr>
          <w:p w14:paraId="56896CB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16</w:t>
            </w:r>
          </w:p>
        </w:tc>
        <w:tc>
          <w:tcPr>
            <w:tcW w:w="709" w:type="dxa"/>
            <w:vAlign w:val="center"/>
            <w:hideMark/>
          </w:tcPr>
          <w:p w14:paraId="711D751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97</w:t>
            </w:r>
          </w:p>
        </w:tc>
      </w:tr>
      <w:tr w:rsidR="00145C96" w:rsidRPr="00D57EC2" w14:paraId="47AF40CD" w14:textId="77777777" w:rsidTr="00145C96">
        <w:trPr>
          <w:trHeight w:val="255"/>
          <w:tblCellSpacing w:w="0" w:type="dxa"/>
        </w:trPr>
        <w:tc>
          <w:tcPr>
            <w:tcW w:w="0" w:type="auto"/>
            <w:hideMark/>
          </w:tcPr>
          <w:p w14:paraId="31C79728"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Household Size</w:t>
            </w:r>
          </w:p>
        </w:tc>
        <w:tc>
          <w:tcPr>
            <w:tcW w:w="0" w:type="auto"/>
            <w:vAlign w:val="center"/>
            <w:hideMark/>
          </w:tcPr>
          <w:p w14:paraId="50FEA7E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547C48F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3F083C3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39FA056F"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5515D7DC" w14:textId="77777777" w:rsidTr="00145C96">
        <w:trPr>
          <w:trHeight w:val="255"/>
          <w:tblCellSpacing w:w="0" w:type="dxa"/>
        </w:trPr>
        <w:tc>
          <w:tcPr>
            <w:tcW w:w="0" w:type="auto"/>
            <w:hideMark/>
          </w:tcPr>
          <w:p w14:paraId="2955CB45"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1 </w:t>
            </w:r>
          </w:p>
        </w:tc>
        <w:tc>
          <w:tcPr>
            <w:tcW w:w="0" w:type="auto"/>
            <w:vAlign w:val="center"/>
            <w:hideMark/>
          </w:tcPr>
          <w:p w14:paraId="5B63E4E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0.007</w:t>
            </w:r>
          </w:p>
        </w:tc>
        <w:tc>
          <w:tcPr>
            <w:tcW w:w="0" w:type="auto"/>
            <w:vAlign w:val="center"/>
            <w:hideMark/>
          </w:tcPr>
          <w:p w14:paraId="2250DBF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0.082</w:t>
            </w:r>
          </w:p>
        </w:tc>
        <w:tc>
          <w:tcPr>
            <w:tcW w:w="842" w:type="dxa"/>
            <w:vAlign w:val="center"/>
            <w:hideMark/>
          </w:tcPr>
          <w:p w14:paraId="1313641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9F41D5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7C9DCD16" w14:textId="77777777" w:rsidTr="00145C96">
        <w:trPr>
          <w:trHeight w:val="255"/>
          <w:tblCellSpacing w:w="0" w:type="dxa"/>
        </w:trPr>
        <w:tc>
          <w:tcPr>
            <w:tcW w:w="0" w:type="auto"/>
            <w:hideMark/>
          </w:tcPr>
          <w:p w14:paraId="4207038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&gt;5</w:t>
            </w:r>
          </w:p>
        </w:tc>
        <w:tc>
          <w:tcPr>
            <w:tcW w:w="0" w:type="auto"/>
            <w:vAlign w:val="center"/>
            <w:hideMark/>
          </w:tcPr>
          <w:p w14:paraId="221F9F3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0.374</w:t>
            </w:r>
          </w:p>
        </w:tc>
        <w:tc>
          <w:tcPr>
            <w:tcW w:w="0" w:type="auto"/>
            <w:vAlign w:val="center"/>
            <w:hideMark/>
          </w:tcPr>
          <w:p w14:paraId="322B27B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0.484</w:t>
            </w:r>
          </w:p>
        </w:tc>
        <w:tc>
          <w:tcPr>
            <w:tcW w:w="842" w:type="dxa"/>
            <w:vAlign w:val="center"/>
            <w:hideMark/>
          </w:tcPr>
          <w:p w14:paraId="3CA0710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21DCF1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4F61422A" w14:textId="77777777" w:rsidTr="00145C96">
        <w:trPr>
          <w:trHeight w:val="255"/>
          <w:tblCellSpacing w:w="0" w:type="dxa"/>
        </w:trPr>
        <w:tc>
          <w:tcPr>
            <w:tcW w:w="0" w:type="auto"/>
            <w:hideMark/>
          </w:tcPr>
          <w:p w14:paraId="4CD1C665"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Sector</w:t>
            </w:r>
          </w:p>
        </w:tc>
        <w:tc>
          <w:tcPr>
            <w:tcW w:w="0" w:type="auto"/>
            <w:vAlign w:val="center"/>
            <w:hideMark/>
          </w:tcPr>
          <w:p w14:paraId="26B4DED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03D5C942"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3B9692B6"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1A8730A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0CEC57AA" w14:textId="77777777" w:rsidTr="00145C96">
        <w:trPr>
          <w:trHeight w:val="255"/>
          <w:tblCellSpacing w:w="0" w:type="dxa"/>
        </w:trPr>
        <w:tc>
          <w:tcPr>
            <w:tcW w:w="0" w:type="auto"/>
            <w:hideMark/>
          </w:tcPr>
          <w:p w14:paraId="61342F81"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Urban</w:t>
            </w:r>
          </w:p>
        </w:tc>
        <w:tc>
          <w:tcPr>
            <w:tcW w:w="0" w:type="auto"/>
            <w:vAlign w:val="center"/>
            <w:hideMark/>
          </w:tcPr>
          <w:p w14:paraId="2A0F576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0.311</w:t>
            </w:r>
          </w:p>
        </w:tc>
        <w:tc>
          <w:tcPr>
            <w:tcW w:w="0" w:type="auto"/>
            <w:vAlign w:val="center"/>
            <w:hideMark/>
          </w:tcPr>
          <w:p w14:paraId="299A028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0.463</w:t>
            </w:r>
          </w:p>
        </w:tc>
        <w:tc>
          <w:tcPr>
            <w:tcW w:w="842" w:type="dxa"/>
            <w:vAlign w:val="center"/>
            <w:hideMark/>
          </w:tcPr>
          <w:p w14:paraId="1460FB7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79CFEE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2F4DED72" w14:textId="77777777" w:rsidTr="00145C96">
        <w:trPr>
          <w:trHeight w:val="255"/>
          <w:tblCellSpacing w:w="0" w:type="dxa"/>
        </w:trPr>
        <w:tc>
          <w:tcPr>
            <w:tcW w:w="0" w:type="auto"/>
            <w:hideMark/>
          </w:tcPr>
          <w:p w14:paraId="61EBC383"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Education</w:t>
            </w:r>
          </w:p>
        </w:tc>
        <w:tc>
          <w:tcPr>
            <w:tcW w:w="0" w:type="auto"/>
            <w:vAlign w:val="center"/>
            <w:hideMark/>
          </w:tcPr>
          <w:p w14:paraId="2CB85F9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383900DF"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7DE347FF"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134DEB70"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118B509" w14:textId="77777777" w:rsidTr="00145C96">
        <w:trPr>
          <w:trHeight w:val="255"/>
          <w:tblCellSpacing w:w="0" w:type="dxa"/>
        </w:trPr>
        <w:tc>
          <w:tcPr>
            <w:tcW w:w="0" w:type="auto"/>
            <w:hideMark/>
          </w:tcPr>
          <w:p w14:paraId="5B9B0C5F"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1-4</w:t>
            </w:r>
          </w:p>
        </w:tc>
        <w:tc>
          <w:tcPr>
            <w:tcW w:w="0" w:type="auto"/>
            <w:vAlign w:val="center"/>
            <w:hideMark/>
          </w:tcPr>
          <w:p w14:paraId="6636902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0.117</w:t>
            </w:r>
          </w:p>
        </w:tc>
        <w:tc>
          <w:tcPr>
            <w:tcW w:w="0" w:type="auto"/>
            <w:vAlign w:val="center"/>
            <w:hideMark/>
          </w:tcPr>
          <w:p w14:paraId="5645C4E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0.322</w:t>
            </w:r>
          </w:p>
        </w:tc>
        <w:tc>
          <w:tcPr>
            <w:tcW w:w="842" w:type="dxa"/>
            <w:vAlign w:val="center"/>
            <w:hideMark/>
          </w:tcPr>
          <w:p w14:paraId="4D9F680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766780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6D2E4319" w14:textId="77777777" w:rsidTr="00145C96">
        <w:trPr>
          <w:trHeight w:val="255"/>
          <w:tblCellSpacing w:w="0" w:type="dxa"/>
        </w:trPr>
        <w:tc>
          <w:tcPr>
            <w:tcW w:w="0" w:type="auto"/>
            <w:hideMark/>
          </w:tcPr>
          <w:p w14:paraId="1BE5EF2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5-8</w:t>
            </w:r>
          </w:p>
        </w:tc>
        <w:tc>
          <w:tcPr>
            <w:tcW w:w="0" w:type="auto"/>
            <w:vAlign w:val="center"/>
            <w:hideMark/>
          </w:tcPr>
          <w:p w14:paraId="5F14F06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0.236</w:t>
            </w:r>
          </w:p>
        </w:tc>
        <w:tc>
          <w:tcPr>
            <w:tcW w:w="0" w:type="auto"/>
            <w:vAlign w:val="center"/>
            <w:hideMark/>
          </w:tcPr>
          <w:p w14:paraId="4156961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0.425</w:t>
            </w:r>
          </w:p>
        </w:tc>
        <w:tc>
          <w:tcPr>
            <w:tcW w:w="842" w:type="dxa"/>
            <w:vAlign w:val="center"/>
            <w:hideMark/>
          </w:tcPr>
          <w:p w14:paraId="31C832C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850573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328FAFB3" w14:textId="77777777" w:rsidTr="00145C96">
        <w:trPr>
          <w:trHeight w:val="255"/>
          <w:tblCellSpacing w:w="0" w:type="dxa"/>
        </w:trPr>
        <w:tc>
          <w:tcPr>
            <w:tcW w:w="0" w:type="auto"/>
            <w:hideMark/>
          </w:tcPr>
          <w:p w14:paraId="22D114C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9-10</w:t>
            </w:r>
          </w:p>
        </w:tc>
        <w:tc>
          <w:tcPr>
            <w:tcW w:w="0" w:type="auto"/>
            <w:vAlign w:val="center"/>
            <w:hideMark/>
          </w:tcPr>
          <w:p w14:paraId="4A1742D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0.170</w:t>
            </w:r>
          </w:p>
        </w:tc>
        <w:tc>
          <w:tcPr>
            <w:tcW w:w="0" w:type="auto"/>
            <w:vAlign w:val="center"/>
            <w:hideMark/>
          </w:tcPr>
          <w:p w14:paraId="796C8B3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0.376</w:t>
            </w:r>
          </w:p>
        </w:tc>
        <w:tc>
          <w:tcPr>
            <w:tcW w:w="842" w:type="dxa"/>
            <w:vAlign w:val="center"/>
            <w:hideMark/>
          </w:tcPr>
          <w:p w14:paraId="5426D8D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15A5C3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40AB927C" w14:textId="77777777" w:rsidTr="00145C96">
        <w:trPr>
          <w:trHeight w:val="255"/>
          <w:tblCellSpacing w:w="0" w:type="dxa"/>
        </w:trPr>
        <w:tc>
          <w:tcPr>
            <w:tcW w:w="0" w:type="auto"/>
            <w:hideMark/>
          </w:tcPr>
          <w:p w14:paraId="4D542F15"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&gt;10</w:t>
            </w:r>
          </w:p>
        </w:tc>
        <w:tc>
          <w:tcPr>
            <w:tcW w:w="0" w:type="auto"/>
            <w:vAlign w:val="center"/>
            <w:hideMark/>
          </w:tcPr>
          <w:p w14:paraId="319F164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0.129</w:t>
            </w:r>
          </w:p>
        </w:tc>
        <w:tc>
          <w:tcPr>
            <w:tcW w:w="0" w:type="auto"/>
            <w:vAlign w:val="center"/>
            <w:hideMark/>
          </w:tcPr>
          <w:p w14:paraId="3F26F0A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0.335</w:t>
            </w:r>
          </w:p>
        </w:tc>
        <w:tc>
          <w:tcPr>
            <w:tcW w:w="842" w:type="dxa"/>
            <w:vAlign w:val="center"/>
            <w:hideMark/>
          </w:tcPr>
          <w:p w14:paraId="53EBBD8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5D2524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459F2D74" w14:textId="77777777" w:rsidTr="00145C96">
        <w:trPr>
          <w:trHeight w:val="255"/>
          <w:tblCellSpacing w:w="0" w:type="dxa"/>
        </w:trPr>
        <w:tc>
          <w:tcPr>
            <w:tcW w:w="0" w:type="auto"/>
            <w:hideMark/>
          </w:tcPr>
          <w:p w14:paraId="111F8254"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Religion</w:t>
            </w:r>
          </w:p>
        </w:tc>
        <w:tc>
          <w:tcPr>
            <w:tcW w:w="0" w:type="auto"/>
            <w:vAlign w:val="center"/>
            <w:hideMark/>
          </w:tcPr>
          <w:p w14:paraId="00D79DD9"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6ACF2C5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28E46996"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5DB3610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3C3814B" w14:textId="77777777" w:rsidTr="00145C96">
        <w:trPr>
          <w:trHeight w:val="255"/>
          <w:tblCellSpacing w:w="0" w:type="dxa"/>
        </w:trPr>
        <w:tc>
          <w:tcPr>
            <w:tcW w:w="0" w:type="auto"/>
            <w:hideMark/>
          </w:tcPr>
          <w:p w14:paraId="069F8D0B"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Muslim</w:t>
            </w:r>
          </w:p>
        </w:tc>
        <w:tc>
          <w:tcPr>
            <w:tcW w:w="0" w:type="auto"/>
            <w:vAlign w:val="center"/>
            <w:hideMark/>
          </w:tcPr>
          <w:p w14:paraId="31F2809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0.108</w:t>
            </w:r>
          </w:p>
        </w:tc>
        <w:tc>
          <w:tcPr>
            <w:tcW w:w="0" w:type="auto"/>
            <w:vAlign w:val="center"/>
            <w:hideMark/>
          </w:tcPr>
          <w:p w14:paraId="3F3AFC8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0.310</w:t>
            </w:r>
          </w:p>
        </w:tc>
        <w:tc>
          <w:tcPr>
            <w:tcW w:w="842" w:type="dxa"/>
            <w:vAlign w:val="center"/>
            <w:hideMark/>
          </w:tcPr>
          <w:p w14:paraId="54F7070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23D4BF8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7EAAC166" w14:textId="77777777" w:rsidTr="00145C96">
        <w:trPr>
          <w:trHeight w:val="255"/>
          <w:tblCellSpacing w:w="0" w:type="dxa"/>
        </w:trPr>
        <w:tc>
          <w:tcPr>
            <w:tcW w:w="0" w:type="auto"/>
            <w:hideMark/>
          </w:tcPr>
          <w:p w14:paraId="6E43F462"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Others</w:t>
            </w:r>
          </w:p>
        </w:tc>
        <w:tc>
          <w:tcPr>
            <w:tcW w:w="0" w:type="auto"/>
            <w:vAlign w:val="center"/>
            <w:hideMark/>
          </w:tcPr>
          <w:p w14:paraId="4003412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0.061</w:t>
            </w:r>
          </w:p>
        </w:tc>
        <w:tc>
          <w:tcPr>
            <w:tcW w:w="0" w:type="auto"/>
            <w:vAlign w:val="center"/>
            <w:hideMark/>
          </w:tcPr>
          <w:p w14:paraId="57E717D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0.239</w:t>
            </w:r>
          </w:p>
        </w:tc>
        <w:tc>
          <w:tcPr>
            <w:tcW w:w="842" w:type="dxa"/>
            <w:vAlign w:val="center"/>
            <w:hideMark/>
          </w:tcPr>
          <w:p w14:paraId="578B309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1D39FE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7B96220F" w14:textId="77777777" w:rsidTr="00145C96">
        <w:trPr>
          <w:trHeight w:val="255"/>
          <w:tblCellSpacing w:w="0" w:type="dxa"/>
        </w:trPr>
        <w:tc>
          <w:tcPr>
            <w:tcW w:w="0" w:type="auto"/>
            <w:hideMark/>
          </w:tcPr>
          <w:p w14:paraId="77CA6DBF"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Caste</w:t>
            </w:r>
          </w:p>
        </w:tc>
        <w:tc>
          <w:tcPr>
            <w:tcW w:w="0" w:type="auto"/>
            <w:vAlign w:val="center"/>
            <w:hideMark/>
          </w:tcPr>
          <w:p w14:paraId="2BE136CB"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79FFCDB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658368ED"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7D5D33B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087D4E9" w14:textId="77777777" w:rsidTr="00145C96">
        <w:trPr>
          <w:trHeight w:val="255"/>
          <w:tblCellSpacing w:w="0" w:type="dxa"/>
        </w:trPr>
        <w:tc>
          <w:tcPr>
            <w:tcW w:w="0" w:type="auto"/>
            <w:hideMark/>
          </w:tcPr>
          <w:p w14:paraId="49A5A258"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Brahmin</w:t>
            </w:r>
          </w:p>
        </w:tc>
        <w:tc>
          <w:tcPr>
            <w:tcW w:w="0" w:type="auto"/>
            <w:vAlign w:val="center"/>
            <w:hideMark/>
          </w:tcPr>
          <w:p w14:paraId="7251DE69"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0.050</w:t>
            </w:r>
          </w:p>
        </w:tc>
        <w:tc>
          <w:tcPr>
            <w:tcW w:w="0" w:type="auto"/>
            <w:vAlign w:val="center"/>
            <w:hideMark/>
          </w:tcPr>
          <w:p w14:paraId="49CE572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0.217</w:t>
            </w:r>
          </w:p>
        </w:tc>
        <w:tc>
          <w:tcPr>
            <w:tcW w:w="842" w:type="dxa"/>
            <w:vAlign w:val="center"/>
            <w:hideMark/>
          </w:tcPr>
          <w:p w14:paraId="0BF3756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5EC97C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61A811E5" w14:textId="77777777" w:rsidTr="00145C96">
        <w:trPr>
          <w:trHeight w:val="255"/>
          <w:tblCellSpacing w:w="0" w:type="dxa"/>
        </w:trPr>
        <w:tc>
          <w:tcPr>
            <w:tcW w:w="0" w:type="auto"/>
            <w:hideMark/>
          </w:tcPr>
          <w:p w14:paraId="65FFAEC8"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High Caste</w:t>
            </w:r>
          </w:p>
        </w:tc>
        <w:tc>
          <w:tcPr>
            <w:tcW w:w="0" w:type="auto"/>
            <w:vAlign w:val="center"/>
            <w:hideMark/>
          </w:tcPr>
          <w:p w14:paraId="1CE11B1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0.154</w:t>
            </w:r>
          </w:p>
        </w:tc>
        <w:tc>
          <w:tcPr>
            <w:tcW w:w="0" w:type="auto"/>
            <w:vAlign w:val="center"/>
            <w:hideMark/>
          </w:tcPr>
          <w:p w14:paraId="02D8A1B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0.361</w:t>
            </w:r>
          </w:p>
        </w:tc>
        <w:tc>
          <w:tcPr>
            <w:tcW w:w="842" w:type="dxa"/>
            <w:vAlign w:val="center"/>
            <w:hideMark/>
          </w:tcPr>
          <w:p w14:paraId="4BC19079"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5BD0505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265246A2" w14:textId="77777777" w:rsidTr="00145C96">
        <w:trPr>
          <w:trHeight w:val="255"/>
          <w:tblCellSpacing w:w="0" w:type="dxa"/>
        </w:trPr>
        <w:tc>
          <w:tcPr>
            <w:tcW w:w="0" w:type="auto"/>
            <w:hideMark/>
          </w:tcPr>
          <w:p w14:paraId="07C35FAD"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Dalit</w:t>
            </w:r>
          </w:p>
        </w:tc>
        <w:tc>
          <w:tcPr>
            <w:tcW w:w="0" w:type="auto"/>
            <w:vAlign w:val="center"/>
            <w:hideMark/>
          </w:tcPr>
          <w:p w14:paraId="6D3A2F6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0.221</w:t>
            </w:r>
          </w:p>
        </w:tc>
        <w:tc>
          <w:tcPr>
            <w:tcW w:w="0" w:type="auto"/>
            <w:vAlign w:val="center"/>
            <w:hideMark/>
          </w:tcPr>
          <w:p w14:paraId="6C38C40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0.415</w:t>
            </w:r>
          </w:p>
        </w:tc>
        <w:tc>
          <w:tcPr>
            <w:tcW w:w="842" w:type="dxa"/>
            <w:vAlign w:val="center"/>
            <w:hideMark/>
          </w:tcPr>
          <w:p w14:paraId="58C4288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85314C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46421BB3" w14:textId="77777777" w:rsidTr="00145C96">
        <w:trPr>
          <w:trHeight w:val="255"/>
          <w:tblCellSpacing w:w="0" w:type="dxa"/>
        </w:trPr>
        <w:tc>
          <w:tcPr>
            <w:tcW w:w="0" w:type="auto"/>
            <w:hideMark/>
          </w:tcPr>
          <w:p w14:paraId="3D6C6B06"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Adivasi</w:t>
            </w:r>
          </w:p>
        </w:tc>
        <w:tc>
          <w:tcPr>
            <w:tcW w:w="0" w:type="auto"/>
            <w:vAlign w:val="center"/>
            <w:hideMark/>
          </w:tcPr>
          <w:p w14:paraId="0352AB89"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0.081</w:t>
            </w:r>
          </w:p>
        </w:tc>
        <w:tc>
          <w:tcPr>
            <w:tcW w:w="0" w:type="auto"/>
            <w:vAlign w:val="center"/>
            <w:hideMark/>
          </w:tcPr>
          <w:p w14:paraId="158B5EE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0.273</w:t>
            </w:r>
          </w:p>
        </w:tc>
        <w:tc>
          <w:tcPr>
            <w:tcW w:w="842" w:type="dxa"/>
            <w:vAlign w:val="center"/>
            <w:hideMark/>
          </w:tcPr>
          <w:p w14:paraId="1EC42C8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6EDA79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2C4E6C67" w14:textId="77777777" w:rsidTr="00145C96">
        <w:trPr>
          <w:trHeight w:val="255"/>
          <w:tblCellSpacing w:w="0" w:type="dxa"/>
        </w:trPr>
        <w:tc>
          <w:tcPr>
            <w:tcW w:w="0" w:type="auto"/>
            <w:hideMark/>
          </w:tcPr>
          <w:p w14:paraId="712D7A71"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Others</w:t>
            </w:r>
          </w:p>
        </w:tc>
        <w:tc>
          <w:tcPr>
            <w:tcW w:w="0" w:type="auto"/>
            <w:vAlign w:val="center"/>
            <w:hideMark/>
          </w:tcPr>
          <w:p w14:paraId="78BF27C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0.130</w:t>
            </w:r>
          </w:p>
        </w:tc>
        <w:tc>
          <w:tcPr>
            <w:tcW w:w="0" w:type="auto"/>
            <w:vAlign w:val="center"/>
            <w:hideMark/>
          </w:tcPr>
          <w:p w14:paraId="5865D85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0.336</w:t>
            </w:r>
          </w:p>
        </w:tc>
        <w:tc>
          <w:tcPr>
            <w:tcW w:w="842" w:type="dxa"/>
            <w:vAlign w:val="center"/>
            <w:hideMark/>
          </w:tcPr>
          <w:p w14:paraId="5629030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E660EB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180A8097" w14:textId="77777777" w:rsidTr="00145C96">
        <w:trPr>
          <w:trHeight w:val="255"/>
          <w:tblCellSpacing w:w="0" w:type="dxa"/>
        </w:trPr>
        <w:tc>
          <w:tcPr>
            <w:tcW w:w="0" w:type="auto"/>
            <w:hideMark/>
          </w:tcPr>
          <w:p w14:paraId="57A165A3"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Household remittance</w:t>
            </w:r>
          </w:p>
        </w:tc>
        <w:tc>
          <w:tcPr>
            <w:tcW w:w="0" w:type="auto"/>
            <w:vAlign w:val="center"/>
            <w:hideMark/>
          </w:tcPr>
          <w:p w14:paraId="65C4FD39"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513359D5"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3A0A305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33ECA1D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6D095000" w14:textId="77777777" w:rsidTr="00145C96">
        <w:trPr>
          <w:trHeight w:val="255"/>
          <w:tblCellSpacing w:w="0" w:type="dxa"/>
        </w:trPr>
        <w:tc>
          <w:tcPr>
            <w:tcW w:w="0" w:type="auto"/>
            <w:hideMark/>
          </w:tcPr>
          <w:p w14:paraId="65F3EA82"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Yes</w:t>
            </w:r>
          </w:p>
        </w:tc>
        <w:tc>
          <w:tcPr>
            <w:tcW w:w="0" w:type="auto"/>
            <w:vAlign w:val="center"/>
            <w:hideMark/>
          </w:tcPr>
          <w:p w14:paraId="59786C4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0.067</w:t>
            </w:r>
          </w:p>
        </w:tc>
        <w:tc>
          <w:tcPr>
            <w:tcW w:w="0" w:type="auto"/>
            <w:vAlign w:val="center"/>
            <w:hideMark/>
          </w:tcPr>
          <w:p w14:paraId="7BDE743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0.250</w:t>
            </w:r>
          </w:p>
        </w:tc>
        <w:tc>
          <w:tcPr>
            <w:tcW w:w="842" w:type="dxa"/>
            <w:vAlign w:val="center"/>
            <w:hideMark/>
          </w:tcPr>
          <w:p w14:paraId="201E854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4DEBE05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7F206010" w14:textId="77777777" w:rsidTr="00145C96">
        <w:trPr>
          <w:trHeight w:val="255"/>
          <w:tblCellSpacing w:w="0" w:type="dxa"/>
        </w:trPr>
        <w:tc>
          <w:tcPr>
            <w:tcW w:w="0" w:type="auto"/>
            <w:hideMark/>
          </w:tcPr>
          <w:p w14:paraId="194F0245"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Any Work</w:t>
            </w:r>
          </w:p>
        </w:tc>
        <w:tc>
          <w:tcPr>
            <w:tcW w:w="0" w:type="auto"/>
            <w:vAlign w:val="center"/>
            <w:hideMark/>
          </w:tcPr>
          <w:p w14:paraId="0716C4B2"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0F8499EA"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6D1150CA"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4C554AB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42E3B9E8" w14:textId="77777777" w:rsidTr="00145C96">
        <w:trPr>
          <w:trHeight w:val="255"/>
          <w:tblCellSpacing w:w="0" w:type="dxa"/>
        </w:trPr>
        <w:tc>
          <w:tcPr>
            <w:tcW w:w="0" w:type="auto"/>
            <w:hideMark/>
          </w:tcPr>
          <w:p w14:paraId="1812433F"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&lt; 240Hrs</w:t>
            </w:r>
          </w:p>
        </w:tc>
        <w:tc>
          <w:tcPr>
            <w:tcW w:w="0" w:type="auto"/>
            <w:vAlign w:val="center"/>
            <w:hideMark/>
          </w:tcPr>
          <w:p w14:paraId="0FAA7E1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0.111</w:t>
            </w:r>
          </w:p>
        </w:tc>
        <w:tc>
          <w:tcPr>
            <w:tcW w:w="0" w:type="auto"/>
            <w:vAlign w:val="center"/>
            <w:hideMark/>
          </w:tcPr>
          <w:p w14:paraId="1AB2EBC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0.314</w:t>
            </w:r>
          </w:p>
        </w:tc>
        <w:tc>
          <w:tcPr>
            <w:tcW w:w="842" w:type="dxa"/>
            <w:vAlign w:val="center"/>
            <w:hideMark/>
          </w:tcPr>
          <w:p w14:paraId="5D0CF5F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554493B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5A19AF33" w14:textId="77777777" w:rsidTr="00145C96">
        <w:trPr>
          <w:trHeight w:val="255"/>
          <w:tblCellSpacing w:w="0" w:type="dxa"/>
        </w:trPr>
        <w:tc>
          <w:tcPr>
            <w:tcW w:w="0" w:type="auto"/>
            <w:hideMark/>
          </w:tcPr>
          <w:p w14:paraId="355FDEBC"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Number of Working Adults (20-50) males in HH</w:t>
            </w:r>
          </w:p>
        </w:tc>
        <w:tc>
          <w:tcPr>
            <w:tcW w:w="0" w:type="auto"/>
            <w:vAlign w:val="center"/>
            <w:hideMark/>
          </w:tcPr>
          <w:p w14:paraId="39F0A9E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60B2504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33BE22A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20438A3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582B002" w14:textId="77777777" w:rsidTr="00145C96">
        <w:trPr>
          <w:trHeight w:val="255"/>
          <w:tblCellSpacing w:w="0" w:type="dxa"/>
        </w:trPr>
        <w:tc>
          <w:tcPr>
            <w:tcW w:w="0" w:type="auto"/>
            <w:hideMark/>
          </w:tcPr>
          <w:p w14:paraId="26632E37"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0</w:t>
            </w:r>
          </w:p>
        </w:tc>
        <w:tc>
          <w:tcPr>
            <w:tcW w:w="0" w:type="auto"/>
            <w:vAlign w:val="center"/>
            <w:hideMark/>
          </w:tcPr>
          <w:p w14:paraId="45F0C30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0.248</w:t>
            </w:r>
          </w:p>
        </w:tc>
        <w:tc>
          <w:tcPr>
            <w:tcW w:w="0" w:type="auto"/>
            <w:vAlign w:val="center"/>
            <w:hideMark/>
          </w:tcPr>
          <w:p w14:paraId="4076D59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0.432</w:t>
            </w:r>
          </w:p>
        </w:tc>
        <w:tc>
          <w:tcPr>
            <w:tcW w:w="842" w:type="dxa"/>
            <w:vAlign w:val="center"/>
            <w:hideMark/>
          </w:tcPr>
          <w:p w14:paraId="29ECA08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5D6338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3492DE66" w14:textId="77777777" w:rsidTr="00145C96">
        <w:trPr>
          <w:trHeight w:val="255"/>
          <w:tblCellSpacing w:w="0" w:type="dxa"/>
        </w:trPr>
        <w:tc>
          <w:tcPr>
            <w:tcW w:w="0" w:type="auto"/>
            <w:hideMark/>
          </w:tcPr>
          <w:p w14:paraId="71A715F7"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&gt;=2</w:t>
            </w:r>
          </w:p>
        </w:tc>
        <w:tc>
          <w:tcPr>
            <w:tcW w:w="0" w:type="auto"/>
            <w:vAlign w:val="center"/>
            <w:hideMark/>
          </w:tcPr>
          <w:p w14:paraId="32028B6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0.076</w:t>
            </w:r>
          </w:p>
        </w:tc>
        <w:tc>
          <w:tcPr>
            <w:tcW w:w="0" w:type="auto"/>
            <w:vAlign w:val="center"/>
            <w:hideMark/>
          </w:tcPr>
          <w:p w14:paraId="26AA02B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0.264</w:t>
            </w:r>
          </w:p>
        </w:tc>
        <w:tc>
          <w:tcPr>
            <w:tcW w:w="842" w:type="dxa"/>
            <w:vAlign w:val="center"/>
            <w:hideMark/>
          </w:tcPr>
          <w:p w14:paraId="6338328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DF82AE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7E26D4A4" w14:textId="77777777" w:rsidTr="00145C96">
        <w:trPr>
          <w:trHeight w:val="255"/>
          <w:tblCellSpacing w:w="0" w:type="dxa"/>
        </w:trPr>
        <w:tc>
          <w:tcPr>
            <w:tcW w:w="0" w:type="auto"/>
            <w:hideMark/>
          </w:tcPr>
          <w:p w14:paraId="016AB9E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Number of Working Adults (20-50) Females in HH</w:t>
            </w:r>
          </w:p>
        </w:tc>
        <w:tc>
          <w:tcPr>
            <w:tcW w:w="0" w:type="auto"/>
            <w:vAlign w:val="center"/>
            <w:hideMark/>
          </w:tcPr>
          <w:p w14:paraId="766AE4BA"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7DD59F8A"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0756732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1A8BBEE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6654AAF3" w14:textId="77777777" w:rsidTr="00145C96">
        <w:trPr>
          <w:trHeight w:val="255"/>
          <w:tblCellSpacing w:w="0" w:type="dxa"/>
        </w:trPr>
        <w:tc>
          <w:tcPr>
            <w:tcW w:w="0" w:type="auto"/>
            <w:hideMark/>
          </w:tcPr>
          <w:p w14:paraId="32B8910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1</w:t>
            </w:r>
          </w:p>
        </w:tc>
        <w:tc>
          <w:tcPr>
            <w:tcW w:w="0" w:type="auto"/>
            <w:vAlign w:val="center"/>
            <w:hideMark/>
          </w:tcPr>
          <w:p w14:paraId="6DA0F10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0.465</w:t>
            </w:r>
          </w:p>
        </w:tc>
        <w:tc>
          <w:tcPr>
            <w:tcW w:w="0" w:type="auto"/>
            <w:vAlign w:val="center"/>
            <w:hideMark/>
          </w:tcPr>
          <w:p w14:paraId="524C069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0.499</w:t>
            </w:r>
          </w:p>
        </w:tc>
        <w:tc>
          <w:tcPr>
            <w:tcW w:w="842" w:type="dxa"/>
            <w:vAlign w:val="center"/>
            <w:hideMark/>
          </w:tcPr>
          <w:p w14:paraId="49A6AA2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9DA49F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14DB31A5" w14:textId="77777777" w:rsidTr="00145C96">
        <w:trPr>
          <w:trHeight w:val="255"/>
          <w:tblCellSpacing w:w="0" w:type="dxa"/>
        </w:trPr>
        <w:tc>
          <w:tcPr>
            <w:tcW w:w="0" w:type="auto"/>
            <w:hideMark/>
          </w:tcPr>
          <w:p w14:paraId="592F0FC8"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&gt;=2</w:t>
            </w:r>
          </w:p>
        </w:tc>
        <w:tc>
          <w:tcPr>
            <w:tcW w:w="0" w:type="auto"/>
            <w:vAlign w:val="center"/>
            <w:hideMark/>
          </w:tcPr>
          <w:p w14:paraId="7D7D4DE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0.027</w:t>
            </w:r>
          </w:p>
        </w:tc>
        <w:tc>
          <w:tcPr>
            <w:tcW w:w="0" w:type="auto"/>
            <w:vAlign w:val="center"/>
            <w:hideMark/>
          </w:tcPr>
          <w:p w14:paraId="4B21DC53"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0.161</w:t>
            </w:r>
          </w:p>
        </w:tc>
        <w:tc>
          <w:tcPr>
            <w:tcW w:w="842" w:type="dxa"/>
            <w:vAlign w:val="center"/>
            <w:hideMark/>
          </w:tcPr>
          <w:p w14:paraId="6D0E347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5500A58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17BE9586" w14:textId="77777777" w:rsidTr="00145C96">
        <w:trPr>
          <w:trHeight w:val="255"/>
          <w:tblCellSpacing w:w="0" w:type="dxa"/>
        </w:trPr>
        <w:tc>
          <w:tcPr>
            <w:tcW w:w="0" w:type="auto"/>
            <w:hideMark/>
          </w:tcPr>
          <w:p w14:paraId="380C353F"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NCD</w:t>
            </w:r>
          </w:p>
        </w:tc>
        <w:tc>
          <w:tcPr>
            <w:tcW w:w="0" w:type="auto"/>
            <w:vAlign w:val="center"/>
            <w:hideMark/>
          </w:tcPr>
          <w:p w14:paraId="4763957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5269DF6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42AD59B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0F570099"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769C5AEC" w14:textId="77777777" w:rsidTr="00145C96">
        <w:trPr>
          <w:trHeight w:val="255"/>
          <w:tblCellSpacing w:w="0" w:type="dxa"/>
        </w:trPr>
        <w:tc>
          <w:tcPr>
            <w:tcW w:w="0" w:type="auto"/>
            <w:hideMark/>
          </w:tcPr>
          <w:p w14:paraId="057AE20B"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lastRenderedPageBreak/>
              <w:t xml:space="preserve">  Yes</w:t>
            </w:r>
          </w:p>
        </w:tc>
        <w:tc>
          <w:tcPr>
            <w:tcW w:w="0" w:type="auto"/>
            <w:vAlign w:val="center"/>
            <w:hideMark/>
          </w:tcPr>
          <w:p w14:paraId="563E617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0.087</w:t>
            </w:r>
          </w:p>
        </w:tc>
        <w:tc>
          <w:tcPr>
            <w:tcW w:w="0" w:type="auto"/>
            <w:vAlign w:val="center"/>
            <w:hideMark/>
          </w:tcPr>
          <w:p w14:paraId="322ED9A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0.281</w:t>
            </w:r>
          </w:p>
        </w:tc>
        <w:tc>
          <w:tcPr>
            <w:tcW w:w="842" w:type="dxa"/>
            <w:vAlign w:val="center"/>
            <w:hideMark/>
          </w:tcPr>
          <w:p w14:paraId="4A61461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0CBD44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5FD59F99" w14:textId="77777777" w:rsidTr="00145C96">
        <w:trPr>
          <w:trHeight w:val="255"/>
          <w:tblCellSpacing w:w="0" w:type="dxa"/>
        </w:trPr>
        <w:tc>
          <w:tcPr>
            <w:tcW w:w="0" w:type="auto"/>
            <w:hideMark/>
          </w:tcPr>
          <w:p w14:paraId="6758FE7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Disability</w:t>
            </w:r>
          </w:p>
        </w:tc>
        <w:tc>
          <w:tcPr>
            <w:tcW w:w="0" w:type="auto"/>
            <w:vAlign w:val="center"/>
            <w:hideMark/>
          </w:tcPr>
          <w:p w14:paraId="5C277A2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71859F8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2E45DFD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49A87D2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43370D20" w14:textId="77777777" w:rsidTr="00145C96">
        <w:trPr>
          <w:trHeight w:val="255"/>
          <w:tblCellSpacing w:w="0" w:type="dxa"/>
        </w:trPr>
        <w:tc>
          <w:tcPr>
            <w:tcW w:w="0" w:type="auto"/>
            <w:hideMark/>
          </w:tcPr>
          <w:p w14:paraId="2158A266"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Yes</w:t>
            </w:r>
          </w:p>
        </w:tc>
        <w:tc>
          <w:tcPr>
            <w:tcW w:w="0" w:type="auto"/>
            <w:vAlign w:val="center"/>
            <w:hideMark/>
          </w:tcPr>
          <w:p w14:paraId="605AF98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0.031</w:t>
            </w:r>
          </w:p>
        </w:tc>
        <w:tc>
          <w:tcPr>
            <w:tcW w:w="0" w:type="auto"/>
            <w:vAlign w:val="center"/>
            <w:hideMark/>
          </w:tcPr>
          <w:p w14:paraId="1D2354A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0.173</w:t>
            </w:r>
          </w:p>
        </w:tc>
        <w:tc>
          <w:tcPr>
            <w:tcW w:w="842" w:type="dxa"/>
            <w:vAlign w:val="center"/>
            <w:hideMark/>
          </w:tcPr>
          <w:p w14:paraId="6F74909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5DBFAF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32087EA4" w14:textId="77777777" w:rsidTr="00145C96">
        <w:trPr>
          <w:trHeight w:val="255"/>
          <w:tblCellSpacing w:w="0" w:type="dxa"/>
        </w:trPr>
        <w:tc>
          <w:tcPr>
            <w:tcW w:w="0" w:type="auto"/>
            <w:hideMark/>
          </w:tcPr>
          <w:p w14:paraId="31FF5E17"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Radio regular Men</w:t>
            </w:r>
          </w:p>
        </w:tc>
        <w:tc>
          <w:tcPr>
            <w:tcW w:w="0" w:type="auto"/>
            <w:vAlign w:val="center"/>
            <w:hideMark/>
          </w:tcPr>
          <w:p w14:paraId="2CC96D8D"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467C81DB"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318E7AE9"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420E1A0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7FE908F6" w14:textId="77777777" w:rsidTr="00145C96">
        <w:trPr>
          <w:trHeight w:val="255"/>
          <w:tblCellSpacing w:w="0" w:type="dxa"/>
        </w:trPr>
        <w:tc>
          <w:tcPr>
            <w:tcW w:w="0" w:type="auto"/>
            <w:hideMark/>
          </w:tcPr>
          <w:p w14:paraId="0AEF3119"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Regularly</w:t>
            </w:r>
          </w:p>
        </w:tc>
        <w:tc>
          <w:tcPr>
            <w:tcW w:w="0" w:type="auto"/>
            <w:vAlign w:val="center"/>
            <w:hideMark/>
          </w:tcPr>
          <w:p w14:paraId="153B458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0.143</w:t>
            </w:r>
          </w:p>
        </w:tc>
        <w:tc>
          <w:tcPr>
            <w:tcW w:w="0" w:type="auto"/>
            <w:vAlign w:val="center"/>
            <w:hideMark/>
          </w:tcPr>
          <w:p w14:paraId="1DE8184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0.350</w:t>
            </w:r>
          </w:p>
        </w:tc>
        <w:tc>
          <w:tcPr>
            <w:tcW w:w="842" w:type="dxa"/>
            <w:vAlign w:val="center"/>
            <w:hideMark/>
          </w:tcPr>
          <w:p w14:paraId="6BF81E6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28B3419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127A98B9" w14:textId="77777777" w:rsidTr="00145C96">
        <w:trPr>
          <w:trHeight w:val="255"/>
          <w:tblCellSpacing w:w="0" w:type="dxa"/>
        </w:trPr>
        <w:tc>
          <w:tcPr>
            <w:tcW w:w="0" w:type="auto"/>
            <w:hideMark/>
          </w:tcPr>
          <w:p w14:paraId="2A09B8E9"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Radio regular Women</w:t>
            </w:r>
          </w:p>
        </w:tc>
        <w:tc>
          <w:tcPr>
            <w:tcW w:w="0" w:type="auto"/>
            <w:vAlign w:val="center"/>
            <w:hideMark/>
          </w:tcPr>
          <w:p w14:paraId="520779B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03D54EBB"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293A08F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3276CBF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BDDBAB8" w14:textId="77777777" w:rsidTr="00145C96">
        <w:trPr>
          <w:trHeight w:val="255"/>
          <w:tblCellSpacing w:w="0" w:type="dxa"/>
        </w:trPr>
        <w:tc>
          <w:tcPr>
            <w:tcW w:w="0" w:type="auto"/>
            <w:hideMark/>
          </w:tcPr>
          <w:p w14:paraId="04419F38"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Regularly</w:t>
            </w:r>
          </w:p>
        </w:tc>
        <w:tc>
          <w:tcPr>
            <w:tcW w:w="0" w:type="auto"/>
            <w:vAlign w:val="center"/>
            <w:hideMark/>
          </w:tcPr>
          <w:p w14:paraId="6485C8A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0.120</w:t>
            </w:r>
          </w:p>
        </w:tc>
        <w:tc>
          <w:tcPr>
            <w:tcW w:w="0" w:type="auto"/>
            <w:vAlign w:val="center"/>
            <w:hideMark/>
          </w:tcPr>
          <w:p w14:paraId="7B70DB4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0.325</w:t>
            </w:r>
          </w:p>
        </w:tc>
        <w:tc>
          <w:tcPr>
            <w:tcW w:w="842" w:type="dxa"/>
            <w:vAlign w:val="center"/>
            <w:hideMark/>
          </w:tcPr>
          <w:p w14:paraId="33984C3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4B0C0B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6C87DA1B" w14:textId="77777777" w:rsidTr="00145C96">
        <w:trPr>
          <w:trHeight w:val="255"/>
          <w:tblCellSpacing w:w="0" w:type="dxa"/>
        </w:trPr>
        <w:tc>
          <w:tcPr>
            <w:tcW w:w="0" w:type="auto"/>
            <w:hideMark/>
          </w:tcPr>
          <w:p w14:paraId="4450EC1A"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Newspaper regular Men</w:t>
            </w:r>
          </w:p>
        </w:tc>
        <w:tc>
          <w:tcPr>
            <w:tcW w:w="0" w:type="auto"/>
            <w:vAlign w:val="center"/>
            <w:hideMark/>
          </w:tcPr>
          <w:p w14:paraId="6F7E715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60CE226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5F0A3AC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267EE0E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50D37D7F" w14:textId="77777777" w:rsidTr="00145C96">
        <w:trPr>
          <w:trHeight w:val="255"/>
          <w:tblCellSpacing w:w="0" w:type="dxa"/>
        </w:trPr>
        <w:tc>
          <w:tcPr>
            <w:tcW w:w="0" w:type="auto"/>
            <w:hideMark/>
          </w:tcPr>
          <w:p w14:paraId="32C7413C"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Regularly</w:t>
            </w:r>
          </w:p>
        </w:tc>
        <w:tc>
          <w:tcPr>
            <w:tcW w:w="0" w:type="auto"/>
            <w:vAlign w:val="center"/>
            <w:hideMark/>
          </w:tcPr>
          <w:p w14:paraId="211E655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0.201</w:t>
            </w:r>
          </w:p>
        </w:tc>
        <w:tc>
          <w:tcPr>
            <w:tcW w:w="0" w:type="auto"/>
            <w:vAlign w:val="center"/>
            <w:hideMark/>
          </w:tcPr>
          <w:p w14:paraId="2622FD4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0.401</w:t>
            </w:r>
          </w:p>
        </w:tc>
        <w:tc>
          <w:tcPr>
            <w:tcW w:w="842" w:type="dxa"/>
            <w:vAlign w:val="center"/>
            <w:hideMark/>
          </w:tcPr>
          <w:p w14:paraId="275B1629"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C6DF16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2C1B475A" w14:textId="77777777" w:rsidTr="00145C96">
        <w:trPr>
          <w:trHeight w:val="255"/>
          <w:tblCellSpacing w:w="0" w:type="dxa"/>
        </w:trPr>
        <w:tc>
          <w:tcPr>
            <w:tcW w:w="0" w:type="auto"/>
            <w:hideMark/>
          </w:tcPr>
          <w:p w14:paraId="5C825311"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Newspaper regular Women</w:t>
            </w:r>
          </w:p>
        </w:tc>
        <w:tc>
          <w:tcPr>
            <w:tcW w:w="0" w:type="auto"/>
            <w:vAlign w:val="center"/>
            <w:hideMark/>
          </w:tcPr>
          <w:p w14:paraId="0EB99C8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01B6A95C"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578BD86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2AF8F6A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6A60552A" w14:textId="77777777" w:rsidTr="00145C96">
        <w:trPr>
          <w:trHeight w:val="255"/>
          <w:tblCellSpacing w:w="0" w:type="dxa"/>
        </w:trPr>
        <w:tc>
          <w:tcPr>
            <w:tcW w:w="0" w:type="auto"/>
            <w:hideMark/>
          </w:tcPr>
          <w:p w14:paraId="2D8D03A4"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Regularly</w:t>
            </w:r>
          </w:p>
        </w:tc>
        <w:tc>
          <w:tcPr>
            <w:tcW w:w="0" w:type="auto"/>
            <w:vAlign w:val="center"/>
            <w:hideMark/>
          </w:tcPr>
          <w:p w14:paraId="15D16A0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0.105</w:t>
            </w:r>
          </w:p>
        </w:tc>
        <w:tc>
          <w:tcPr>
            <w:tcW w:w="0" w:type="auto"/>
            <w:vAlign w:val="center"/>
            <w:hideMark/>
          </w:tcPr>
          <w:p w14:paraId="1DDDFC1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0.307</w:t>
            </w:r>
          </w:p>
        </w:tc>
        <w:tc>
          <w:tcPr>
            <w:tcW w:w="842" w:type="dxa"/>
            <w:vAlign w:val="center"/>
            <w:hideMark/>
          </w:tcPr>
          <w:p w14:paraId="681BEA5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1FB2252"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6634A981" w14:textId="77777777" w:rsidTr="00145C96">
        <w:trPr>
          <w:trHeight w:val="255"/>
          <w:tblCellSpacing w:w="0" w:type="dxa"/>
        </w:trPr>
        <w:tc>
          <w:tcPr>
            <w:tcW w:w="0" w:type="auto"/>
            <w:hideMark/>
          </w:tcPr>
          <w:p w14:paraId="0CB02100"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TV regular Men</w:t>
            </w:r>
          </w:p>
        </w:tc>
        <w:tc>
          <w:tcPr>
            <w:tcW w:w="0" w:type="auto"/>
            <w:vAlign w:val="center"/>
            <w:hideMark/>
          </w:tcPr>
          <w:p w14:paraId="5BEEB05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6EEF4A40"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6D005AE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41AB5DA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193B35F2" w14:textId="77777777" w:rsidTr="00145C96">
        <w:trPr>
          <w:trHeight w:val="255"/>
          <w:tblCellSpacing w:w="0" w:type="dxa"/>
        </w:trPr>
        <w:tc>
          <w:tcPr>
            <w:tcW w:w="0" w:type="auto"/>
            <w:hideMark/>
          </w:tcPr>
          <w:p w14:paraId="0D57B1E7"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Regularly</w:t>
            </w:r>
          </w:p>
        </w:tc>
        <w:tc>
          <w:tcPr>
            <w:tcW w:w="0" w:type="auto"/>
            <w:vAlign w:val="center"/>
            <w:hideMark/>
          </w:tcPr>
          <w:p w14:paraId="78509DF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0.349</w:t>
            </w:r>
          </w:p>
        </w:tc>
        <w:tc>
          <w:tcPr>
            <w:tcW w:w="0" w:type="auto"/>
            <w:vAlign w:val="center"/>
            <w:hideMark/>
          </w:tcPr>
          <w:p w14:paraId="47C81B2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0.477</w:t>
            </w:r>
          </w:p>
        </w:tc>
        <w:tc>
          <w:tcPr>
            <w:tcW w:w="842" w:type="dxa"/>
            <w:vAlign w:val="center"/>
            <w:hideMark/>
          </w:tcPr>
          <w:p w14:paraId="62C5FFD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60F45A5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0FD20B3B" w14:textId="77777777" w:rsidTr="00145C96">
        <w:trPr>
          <w:trHeight w:val="255"/>
          <w:tblCellSpacing w:w="0" w:type="dxa"/>
        </w:trPr>
        <w:tc>
          <w:tcPr>
            <w:tcW w:w="0" w:type="auto"/>
            <w:hideMark/>
          </w:tcPr>
          <w:p w14:paraId="0F913313"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TV regular Women</w:t>
            </w:r>
          </w:p>
        </w:tc>
        <w:tc>
          <w:tcPr>
            <w:tcW w:w="0" w:type="auto"/>
            <w:vAlign w:val="center"/>
            <w:hideMark/>
          </w:tcPr>
          <w:p w14:paraId="50610F2E"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3690492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58533728"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0B77D925"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F35D847" w14:textId="77777777" w:rsidTr="00145C96">
        <w:trPr>
          <w:trHeight w:val="255"/>
          <w:tblCellSpacing w:w="0" w:type="dxa"/>
        </w:trPr>
        <w:tc>
          <w:tcPr>
            <w:tcW w:w="0" w:type="auto"/>
            <w:hideMark/>
          </w:tcPr>
          <w:p w14:paraId="08057F0C"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Regularly</w:t>
            </w:r>
          </w:p>
        </w:tc>
        <w:tc>
          <w:tcPr>
            <w:tcW w:w="0" w:type="auto"/>
            <w:vAlign w:val="center"/>
            <w:hideMark/>
          </w:tcPr>
          <w:p w14:paraId="55E7B41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0.411</w:t>
            </w:r>
          </w:p>
        </w:tc>
        <w:tc>
          <w:tcPr>
            <w:tcW w:w="0" w:type="auto"/>
            <w:vAlign w:val="center"/>
            <w:hideMark/>
          </w:tcPr>
          <w:p w14:paraId="34F3DFA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0.492</w:t>
            </w:r>
          </w:p>
        </w:tc>
        <w:tc>
          <w:tcPr>
            <w:tcW w:w="842" w:type="dxa"/>
            <w:vAlign w:val="center"/>
            <w:hideMark/>
          </w:tcPr>
          <w:p w14:paraId="0AD887C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2FDCA86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35F518CF" w14:textId="77777777" w:rsidTr="00145C96">
        <w:trPr>
          <w:trHeight w:val="255"/>
          <w:tblCellSpacing w:w="0" w:type="dxa"/>
        </w:trPr>
        <w:tc>
          <w:tcPr>
            <w:tcW w:w="0" w:type="auto"/>
            <w:hideMark/>
          </w:tcPr>
          <w:p w14:paraId="0FB6F99B"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Social Networks</w:t>
            </w:r>
          </w:p>
        </w:tc>
        <w:tc>
          <w:tcPr>
            <w:tcW w:w="0" w:type="auto"/>
            <w:vAlign w:val="center"/>
            <w:hideMark/>
          </w:tcPr>
          <w:p w14:paraId="799272AA"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0245EF4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4FF932A9"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26195C42"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44EC8A98" w14:textId="77777777" w:rsidTr="00145C96">
        <w:trPr>
          <w:trHeight w:val="255"/>
          <w:tblCellSpacing w:w="0" w:type="dxa"/>
        </w:trPr>
        <w:tc>
          <w:tcPr>
            <w:tcW w:w="0" w:type="auto"/>
            <w:hideMark/>
          </w:tcPr>
          <w:p w14:paraId="16C585F5"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1</w:t>
            </w:r>
          </w:p>
        </w:tc>
        <w:tc>
          <w:tcPr>
            <w:tcW w:w="0" w:type="auto"/>
            <w:vAlign w:val="center"/>
            <w:hideMark/>
          </w:tcPr>
          <w:p w14:paraId="32B0C9C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0.187</w:t>
            </w:r>
          </w:p>
        </w:tc>
        <w:tc>
          <w:tcPr>
            <w:tcW w:w="0" w:type="auto"/>
            <w:vAlign w:val="center"/>
            <w:hideMark/>
          </w:tcPr>
          <w:p w14:paraId="433A36A8"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0.390</w:t>
            </w:r>
          </w:p>
        </w:tc>
        <w:tc>
          <w:tcPr>
            <w:tcW w:w="842" w:type="dxa"/>
            <w:vAlign w:val="center"/>
            <w:hideMark/>
          </w:tcPr>
          <w:p w14:paraId="2B4F909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2669D3B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54B6A338" w14:textId="77777777" w:rsidTr="00145C96">
        <w:trPr>
          <w:trHeight w:val="255"/>
          <w:tblCellSpacing w:w="0" w:type="dxa"/>
        </w:trPr>
        <w:tc>
          <w:tcPr>
            <w:tcW w:w="0" w:type="auto"/>
            <w:hideMark/>
          </w:tcPr>
          <w:p w14:paraId="418DC502"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2</w:t>
            </w:r>
          </w:p>
        </w:tc>
        <w:tc>
          <w:tcPr>
            <w:tcW w:w="0" w:type="auto"/>
            <w:vAlign w:val="center"/>
            <w:hideMark/>
          </w:tcPr>
          <w:p w14:paraId="76CBA4C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0.105</w:t>
            </w:r>
          </w:p>
        </w:tc>
        <w:tc>
          <w:tcPr>
            <w:tcW w:w="0" w:type="auto"/>
            <w:vAlign w:val="center"/>
            <w:hideMark/>
          </w:tcPr>
          <w:p w14:paraId="7D7C87C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0.307</w:t>
            </w:r>
          </w:p>
        </w:tc>
        <w:tc>
          <w:tcPr>
            <w:tcW w:w="842" w:type="dxa"/>
            <w:vAlign w:val="center"/>
            <w:hideMark/>
          </w:tcPr>
          <w:p w14:paraId="2D72E83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2C44567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0E9C867E" w14:textId="77777777" w:rsidTr="00145C96">
        <w:trPr>
          <w:trHeight w:val="255"/>
          <w:tblCellSpacing w:w="0" w:type="dxa"/>
        </w:trPr>
        <w:tc>
          <w:tcPr>
            <w:tcW w:w="0" w:type="auto"/>
            <w:hideMark/>
          </w:tcPr>
          <w:p w14:paraId="7DA082D1"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&gt;2</w:t>
            </w:r>
          </w:p>
        </w:tc>
        <w:tc>
          <w:tcPr>
            <w:tcW w:w="0" w:type="auto"/>
            <w:vAlign w:val="center"/>
            <w:hideMark/>
          </w:tcPr>
          <w:p w14:paraId="11C7863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0.071</w:t>
            </w:r>
          </w:p>
        </w:tc>
        <w:tc>
          <w:tcPr>
            <w:tcW w:w="0" w:type="auto"/>
            <w:vAlign w:val="center"/>
            <w:hideMark/>
          </w:tcPr>
          <w:p w14:paraId="2E7489E1"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0.257</w:t>
            </w:r>
          </w:p>
        </w:tc>
        <w:tc>
          <w:tcPr>
            <w:tcW w:w="842" w:type="dxa"/>
            <w:vAlign w:val="center"/>
            <w:hideMark/>
          </w:tcPr>
          <w:p w14:paraId="47DA426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1B33003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433E9FE3" w14:textId="77777777" w:rsidTr="00145C96">
        <w:trPr>
          <w:trHeight w:val="255"/>
          <w:tblCellSpacing w:w="0" w:type="dxa"/>
        </w:trPr>
        <w:tc>
          <w:tcPr>
            <w:tcW w:w="0" w:type="auto"/>
            <w:hideMark/>
          </w:tcPr>
          <w:p w14:paraId="25E045F3"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Theft</w:t>
            </w:r>
          </w:p>
        </w:tc>
        <w:tc>
          <w:tcPr>
            <w:tcW w:w="0" w:type="auto"/>
            <w:vAlign w:val="center"/>
            <w:hideMark/>
          </w:tcPr>
          <w:p w14:paraId="27E83B45"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13367E31"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2C93D327"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3E183F3B"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6B56BB18" w14:textId="77777777" w:rsidTr="00145C96">
        <w:trPr>
          <w:trHeight w:val="255"/>
          <w:tblCellSpacing w:w="0" w:type="dxa"/>
        </w:trPr>
        <w:tc>
          <w:tcPr>
            <w:tcW w:w="0" w:type="auto"/>
            <w:hideMark/>
          </w:tcPr>
          <w:p w14:paraId="54889F0E"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Yes</w:t>
            </w:r>
          </w:p>
        </w:tc>
        <w:tc>
          <w:tcPr>
            <w:tcW w:w="0" w:type="auto"/>
            <w:vAlign w:val="center"/>
            <w:hideMark/>
          </w:tcPr>
          <w:p w14:paraId="184AC2E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0.047</w:t>
            </w:r>
          </w:p>
        </w:tc>
        <w:tc>
          <w:tcPr>
            <w:tcW w:w="0" w:type="auto"/>
            <w:vAlign w:val="center"/>
            <w:hideMark/>
          </w:tcPr>
          <w:p w14:paraId="07236066"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0.212</w:t>
            </w:r>
          </w:p>
        </w:tc>
        <w:tc>
          <w:tcPr>
            <w:tcW w:w="842" w:type="dxa"/>
            <w:vAlign w:val="center"/>
            <w:hideMark/>
          </w:tcPr>
          <w:p w14:paraId="7335EC0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76AD244E"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78CB30BC" w14:textId="77777777" w:rsidTr="00145C96">
        <w:trPr>
          <w:trHeight w:val="255"/>
          <w:tblCellSpacing w:w="0" w:type="dxa"/>
        </w:trPr>
        <w:tc>
          <w:tcPr>
            <w:tcW w:w="0" w:type="auto"/>
            <w:hideMark/>
          </w:tcPr>
          <w:p w14:paraId="7954842C"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Conflict in village</w:t>
            </w:r>
          </w:p>
        </w:tc>
        <w:tc>
          <w:tcPr>
            <w:tcW w:w="0" w:type="auto"/>
            <w:vAlign w:val="center"/>
            <w:hideMark/>
          </w:tcPr>
          <w:p w14:paraId="3A5F80F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0" w:type="auto"/>
            <w:vAlign w:val="center"/>
            <w:hideMark/>
          </w:tcPr>
          <w:p w14:paraId="7CE2B294"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842" w:type="dxa"/>
            <w:vAlign w:val="center"/>
            <w:hideMark/>
          </w:tcPr>
          <w:p w14:paraId="1FE9E2D6"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c>
          <w:tcPr>
            <w:tcW w:w="709" w:type="dxa"/>
            <w:vAlign w:val="center"/>
            <w:hideMark/>
          </w:tcPr>
          <w:p w14:paraId="6AAFE403" w14:textId="77777777" w:rsidR="00145C96" w:rsidRPr="00D10A97" w:rsidRDefault="00145C96" w:rsidP="00145C96">
            <w:pPr>
              <w:adjustRightInd w:val="0"/>
              <w:snapToGrid w:val="0"/>
              <w:spacing w:after="0" w:line="240" w:lineRule="auto"/>
              <w:rPr>
                <w:rFonts w:ascii="Arial" w:eastAsia="Times New Roman" w:hAnsi="Arial" w:cs="Arial"/>
                <w:sz w:val="16"/>
                <w:szCs w:val="16"/>
              </w:rPr>
            </w:pPr>
          </w:p>
        </w:tc>
      </w:tr>
      <w:tr w:rsidR="00145C96" w:rsidRPr="00D57EC2" w14:paraId="3ECBD773" w14:textId="77777777" w:rsidTr="00145C96">
        <w:trPr>
          <w:trHeight w:val="255"/>
          <w:tblCellSpacing w:w="0" w:type="dxa"/>
        </w:trPr>
        <w:tc>
          <w:tcPr>
            <w:tcW w:w="0" w:type="auto"/>
            <w:hideMark/>
          </w:tcPr>
          <w:p w14:paraId="2619A0D9"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hAnsi="Arial" w:cs="Arial"/>
                <w:sz w:val="16"/>
                <w:szCs w:val="16"/>
              </w:rPr>
              <w:t xml:space="preserve">  Yes</w:t>
            </w:r>
          </w:p>
        </w:tc>
        <w:tc>
          <w:tcPr>
            <w:tcW w:w="0" w:type="auto"/>
            <w:vAlign w:val="center"/>
            <w:hideMark/>
          </w:tcPr>
          <w:p w14:paraId="403C64B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0.477</w:t>
            </w:r>
          </w:p>
        </w:tc>
        <w:tc>
          <w:tcPr>
            <w:tcW w:w="0" w:type="auto"/>
            <w:vAlign w:val="center"/>
            <w:hideMark/>
          </w:tcPr>
          <w:p w14:paraId="67F1CAE7"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0.500</w:t>
            </w:r>
          </w:p>
        </w:tc>
        <w:tc>
          <w:tcPr>
            <w:tcW w:w="842" w:type="dxa"/>
            <w:vAlign w:val="center"/>
            <w:hideMark/>
          </w:tcPr>
          <w:p w14:paraId="4201DFC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w:t>
            </w:r>
          </w:p>
        </w:tc>
        <w:tc>
          <w:tcPr>
            <w:tcW w:w="709" w:type="dxa"/>
            <w:vAlign w:val="center"/>
            <w:hideMark/>
          </w:tcPr>
          <w:p w14:paraId="5CF1AECD"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1</w:t>
            </w:r>
          </w:p>
        </w:tc>
      </w:tr>
      <w:tr w:rsidR="00145C96" w:rsidRPr="00D57EC2" w14:paraId="506A3742" w14:textId="77777777" w:rsidTr="00145C96">
        <w:trPr>
          <w:trHeight w:val="255"/>
          <w:tblCellSpacing w:w="0" w:type="dxa"/>
        </w:trPr>
        <w:tc>
          <w:tcPr>
            <w:tcW w:w="0" w:type="auto"/>
          </w:tcPr>
          <w:p w14:paraId="2D151C9D" w14:textId="77777777" w:rsidR="00145C96" w:rsidRPr="00D10A97" w:rsidRDefault="00145C96" w:rsidP="00145C96">
            <w:pPr>
              <w:widowControl w:val="0"/>
              <w:autoSpaceDE w:val="0"/>
              <w:autoSpaceDN w:val="0"/>
              <w:adjustRightInd w:val="0"/>
              <w:snapToGrid w:val="0"/>
              <w:spacing w:after="0" w:line="240" w:lineRule="auto"/>
              <w:rPr>
                <w:rFonts w:ascii="Arial" w:eastAsia="Times New Roman" w:hAnsi="Arial" w:cs="Arial"/>
                <w:sz w:val="16"/>
                <w:szCs w:val="16"/>
              </w:rPr>
            </w:pPr>
            <w:r w:rsidRPr="00D10A97">
              <w:rPr>
                <w:rFonts w:ascii="Arial" w:hAnsi="Arial" w:cs="Arial"/>
                <w:sz w:val="16"/>
                <w:szCs w:val="16"/>
              </w:rPr>
              <w:t>Ratio of share top 1% to bottom 50%</w:t>
            </w:r>
          </w:p>
        </w:tc>
        <w:tc>
          <w:tcPr>
            <w:tcW w:w="0" w:type="auto"/>
            <w:vAlign w:val="center"/>
          </w:tcPr>
          <w:p w14:paraId="1DF7719A"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0.465</w:t>
            </w:r>
          </w:p>
        </w:tc>
        <w:tc>
          <w:tcPr>
            <w:tcW w:w="0" w:type="auto"/>
            <w:vAlign w:val="center"/>
          </w:tcPr>
          <w:p w14:paraId="38CDEE1F"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0.119</w:t>
            </w:r>
          </w:p>
        </w:tc>
        <w:tc>
          <w:tcPr>
            <w:tcW w:w="842" w:type="dxa"/>
            <w:vAlign w:val="center"/>
          </w:tcPr>
          <w:p w14:paraId="4F34F88C"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0.226</w:t>
            </w:r>
          </w:p>
        </w:tc>
        <w:tc>
          <w:tcPr>
            <w:tcW w:w="709" w:type="dxa"/>
            <w:vAlign w:val="center"/>
          </w:tcPr>
          <w:p w14:paraId="3E2FF22B"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0.858</w:t>
            </w:r>
          </w:p>
        </w:tc>
      </w:tr>
      <w:tr w:rsidR="00145C96" w:rsidRPr="00D57EC2" w14:paraId="29E2247A" w14:textId="77777777" w:rsidTr="00145C96">
        <w:trPr>
          <w:trHeight w:val="255"/>
          <w:tblCellSpacing w:w="0" w:type="dxa"/>
        </w:trPr>
        <w:tc>
          <w:tcPr>
            <w:tcW w:w="0" w:type="auto"/>
            <w:tcBorders>
              <w:bottom w:val="single" w:sz="4" w:space="0" w:color="auto"/>
            </w:tcBorders>
            <w:hideMark/>
          </w:tcPr>
          <w:p w14:paraId="15D6BE70" w14:textId="77777777" w:rsidR="00145C96" w:rsidRPr="00D10A97" w:rsidRDefault="00145C96" w:rsidP="00145C96">
            <w:pPr>
              <w:widowControl w:val="0"/>
              <w:autoSpaceDE w:val="0"/>
              <w:autoSpaceDN w:val="0"/>
              <w:adjustRightInd w:val="0"/>
              <w:snapToGrid w:val="0"/>
              <w:spacing w:after="0" w:line="240" w:lineRule="auto"/>
              <w:rPr>
                <w:rFonts w:ascii="Arial" w:hAnsi="Arial" w:cs="Arial"/>
                <w:sz w:val="16"/>
                <w:szCs w:val="16"/>
              </w:rPr>
            </w:pPr>
            <w:r w:rsidRPr="00D10A97">
              <w:rPr>
                <w:rFonts w:ascii="Arial" w:eastAsia="Times New Roman" w:hAnsi="Arial" w:cs="Arial"/>
                <w:sz w:val="16"/>
                <w:szCs w:val="16"/>
              </w:rPr>
              <w:t>Net State domestic Product (in ‘000)</w:t>
            </w:r>
          </w:p>
        </w:tc>
        <w:tc>
          <w:tcPr>
            <w:tcW w:w="0" w:type="auto"/>
            <w:tcBorders>
              <w:bottom w:val="single" w:sz="4" w:space="0" w:color="auto"/>
            </w:tcBorders>
            <w:vAlign w:val="center"/>
            <w:hideMark/>
          </w:tcPr>
          <w:p w14:paraId="6A5491E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23.631</w:t>
            </w:r>
          </w:p>
        </w:tc>
        <w:tc>
          <w:tcPr>
            <w:tcW w:w="0" w:type="auto"/>
            <w:tcBorders>
              <w:bottom w:val="single" w:sz="4" w:space="0" w:color="auto"/>
            </w:tcBorders>
            <w:vAlign w:val="center"/>
            <w:hideMark/>
          </w:tcPr>
          <w:p w14:paraId="496DFBC5"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9.391</w:t>
            </w:r>
          </w:p>
        </w:tc>
        <w:tc>
          <w:tcPr>
            <w:tcW w:w="842" w:type="dxa"/>
            <w:tcBorders>
              <w:bottom w:val="single" w:sz="4" w:space="0" w:color="auto"/>
            </w:tcBorders>
            <w:vAlign w:val="center"/>
            <w:hideMark/>
          </w:tcPr>
          <w:p w14:paraId="1B609EE4"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7.914</w:t>
            </w:r>
          </w:p>
        </w:tc>
        <w:tc>
          <w:tcPr>
            <w:tcW w:w="709" w:type="dxa"/>
            <w:tcBorders>
              <w:bottom w:val="single" w:sz="4" w:space="0" w:color="auto"/>
            </w:tcBorders>
            <w:vAlign w:val="center"/>
            <w:hideMark/>
          </w:tcPr>
          <w:p w14:paraId="64BC6100" w14:textId="77777777" w:rsidR="00145C96" w:rsidRPr="00D10A97" w:rsidRDefault="00145C96" w:rsidP="00145C96">
            <w:pPr>
              <w:adjustRightInd w:val="0"/>
              <w:snapToGrid w:val="0"/>
              <w:spacing w:after="0" w:line="240" w:lineRule="auto"/>
              <w:jc w:val="right"/>
              <w:rPr>
                <w:rFonts w:ascii="Arial" w:eastAsia="Times New Roman" w:hAnsi="Arial" w:cs="Arial"/>
                <w:sz w:val="16"/>
                <w:szCs w:val="16"/>
              </w:rPr>
            </w:pPr>
            <w:r w:rsidRPr="00D10A97">
              <w:rPr>
                <w:rFonts w:ascii="Arial" w:eastAsia="Times New Roman" w:hAnsi="Arial" w:cs="Arial"/>
                <w:sz w:val="16"/>
                <w:szCs w:val="16"/>
              </w:rPr>
              <w:t>63.877</w:t>
            </w:r>
          </w:p>
        </w:tc>
      </w:tr>
    </w:tbl>
    <w:p w14:paraId="639E303D" w14:textId="77777777" w:rsidR="00145C96" w:rsidRPr="008269E4" w:rsidRDefault="00145C96" w:rsidP="008269E4">
      <w:pPr>
        <w:adjustRightInd w:val="0"/>
        <w:snapToGrid w:val="0"/>
        <w:spacing w:line="240" w:lineRule="auto"/>
        <w:jc w:val="both"/>
        <w:rPr>
          <w:rFonts w:ascii="Times New Roman" w:eastAsiaTheme="minorEastAsia" w:hAnsi="Times New Roman" w:cs="Times New Roman"/>
          <w:sz w:val="16"/>
          <w:szCs w:val="16"/>
        </w:rPr>
      </w:pPr>
      <w:r w:rsidRPr="00D10A97">
        <w:rPr>
          <w:rFonts w:ascii="Times New Roman" w:eastAsiaTheme="minorEastAsia" w:hAnsi="Times New Roman" w:cs="Times New Roman"/>
          <w:sz w:val="16"/>
          <w:szCs w:val="16"/>
        </w:rPr>
        <w:t>Notes: (</w:t>
      </w:r>
      <w:proofErr w:type="spellStart"/>
      <w:r w:rsidRPr="00D10A97">
        <w:rPr>
          <w:rFonts w:ascii="Times New Roman" w:eastAsiaTheme="minorEastAsia" w:hAnsi="Times New Roman" w:cs="Times New Roman"/>
          <w:sz w:val="16"/>
          <w:szCs w:val="16"/>
        </w:rPr>
        <w:t>i</w:t>
      </w:r>
      <w:proofErr w:type="spellEnd"/>
      <w:r w:rsidRPr="00D10A97">
        <w:rPr>
          <w:rFonts w:ascii="Times New Roman" w:eastAsiaTheme="minorEastAsia" w:hAnsi="Times New Roman" w:cs="Times New Roman"/>
          <w:sz w:val="16"/>
          <w:szCs w:val="16"/>
        </w:rPr>
        <w:t xml:space="preserve">) Number of </w:t>
      </w:r>
      <w:proofErr w:type="spellStart"/>
      <w:r w:rsidRPr="00D10A97">
        <w:rPr>
          <w:rFonts w:ascii="Times New Roman" w:eastAsiaTheme="minorEastAsia" w:hAnsi="Times New Roman" w:cs="Times New Roman"/>
          <w:sz w:val="16"/>
          <w:szCs w:val="16"/>
        </w:rPr>
        <w:t>obs</w:t>
      </w:r>
      <w:proofErr w:type="spellEnd"/>
      <w:r w:rsidRPr="00D10A97">
        <w:rPr>
          <w:rFonts w:ascii="Times New Roman" w:eastAsiaTheme="minorEastAsia" w:hAnsi="Times New Roman" w:cs="Times New Roman"/>
          <w:sz w:val="16"/>
          <w:szCs w:val="16"/>
        </w:rPr>
        <w:t xml:space="preserve"> = 27,958; </w:t>
      </w:r>
      <w:r w:rsidR="00141C85">
        <w:rPr>
          <w:rFonts w:ascii="Times New Roman" w:eastAsiaTheme="minorEastAsia" w:hAnsi="Times New Roman" w:cs="Times New Roman"/>
          <w:sz w:val="16"/>
          <w:szCs w:val="16"/>
        </w:rPr>
        <w:t>(ii) Source: Computed from IHDS</w:t>
      </w:r>
    </w:p>
    <w:p w14:paraId="46AD7EC8" w14:textId="77777777" w:rsidR="00796849" w:rsidRDefault="000773C5" w:rsidP="003C2698">
      <w:pPr>
        <w:jc w:val="both"/>
        <w:rPr>
          <w:rFonts w:ascii="Times New Roman" w:hAnsi="Times New Roman" w:cs="Times New Roman"/>
          <w:sz w:val="24"/>
          <w:szCs w:val="24"/>
        </w:rPr>
      </w:pPr>
      <w:r w:rsidRPr="000773C5">
        <w:rPr>
          <w:rFonts w:ascii="Times New Roman" w:hAnsi="Times New Roman" w:cs="Times New Roman"/>
          <w:sz w:val="24"/>
          <w:szCs w:val="24"/>
        </w:rPr>
        <w:t xml:space="preserve">Tables </w:t>
      </w:r>
      <w:r w:rsidR="00FF7ED1">
        <w:rPr>
          <w:rFonts w:ascii="Times New Roman" w:hAnsi="Times New Roman" w:cs="Times New Roman"/>
          <w:sz w:val="24"/>
          <w:szCs w:val="24"/>
        </w:rPr>
        <w:t xml:space="preserve">2 and 3 report the coefficient estimates </w:t>
      </w:r>
      <w:r w:rsidRPr="000773C5">
        <w:rPr>
          <w:rFonts w:ascii="Times New Roman" w:hAnsi="Times New Roman" w:cs="Times New Roman"/>
          <w:sz w:val="24"/>
          <w:szCs w:val="24"/>
        </w:rPr>
        <w:t xml:space="preserve">of </w:t>
      </w:r>
      <w:r w:rsidR="00FF7ED1">
        <w:rPr>
          <w:rFonts w:ascii="Times New Roman" w:hAnsi="Times New Roman" w:cs="Times New Roman"/>
          <w:sz w:val="24"/>
          <w:szCs w:val="24"/>
        </w:rPr>
        <w:t xml:space="preserve">the </w:t>
      </w:r>
      <w:r w:rsidRPr="000773C5">
        <w:rPr>
          <w:rFonts w:ascii="Times New Roman" w:hAnsi="Times New Roman" w:cs="Times New Roman"/>
          <w:sz w:val="24"/>
          <w:szCs w:val="24"/>
        </w:rPr>
        <w:t xml:space="preserve">OLS </w:t>
      </w:r>
      <w:r w:rsidR="00FF7ED1">
        <w:rPr>
          <w:rFonts w:ascii="Times New Roman" w:hAnsi="Times New Roman" w:cs="Times New Roman"/>
          <w:sz w:val="24"/>
          <w:szCs w:val="24"/>
        </w:rPr>
        <w:t xml:space="preserve">model </w:t>
      </w:r>
      <w:r w:rsidRPr="000773C5">
        <w:rPr>
          <w:rFonts w:ascii="Times New Roman" w:hAnsi="Times New Roman" w:cs="Times New Roman"/>
          <w:sz w:val="24"/>
          <w:szCs w:val="24"/>
        </w:rPr>
        <w:t xml:space="preserve">and </w:t>
      </w:r>
      <w:r w:rsidR="00FF7ED1">
        <w:rPr>
          <w:rFonts w:ascii="Times New Roman" w:hAnsi="Times New Roman" w:cs="Times New Roman"/>
          <w:sz w:val="24"/>
          <w:szCs w:val="24"/>
        </w:rPr>
        <w:t>the marginal effects</w:t>
      </w:r>
      <w:r w:rsidR="007F09D0">
        <w:rPr>
          <w:rFonts w:ascii="Times New Roman" w:hAnsi="Times New Roman" w:cs="Times New Roman"/>
          <w:sz w:val="24"/>
          <w:szCs w:val="24"/>
        </w:rPr>
        <w:t>/associations</w:t>
      </w:r>
      <w:r w:rsidR="004D372C">
        <w:rPr>
          <w:rFonts w:ascii="Times New Roman" w:hAnsi="Times New Roman" w:cs="Times New Roman"/>
          <w:sz w:val="24"/>
          <w:szCs w:val="24"/>
        </w:rPr>
        <w:t xml:space="preserve"> </w:t>
      </w:r>
      <w:r w:rsidR="00572B38">
        <w:rPr>
          <w:rFonts w:ascii="Times New Roman" w:hAnsi="Times New Roman" w:cs="Times New Roman"/>
          <w:sz w:val="24"/>
          <w:szCs w:val="24"/>
        </w:rPr>
        <w:t xml:space="preserve">(evaluated at the means) </w:t>
      </w:r>
      <w:r w:rsidR="00FF7ED1">
        <w:rPr>
          <w:rFonts w:ascii="Times New Roman" w:hAnsi="Times New Roman" w:cs="Times New Roman"/>
          <w:sz w:val="24"/>
          <w:szCs w:val="24"/>
        </w:rPr>
        <w:t xml:space="preserve">of </w:t>
      </w:r>
      <w:r w:rsidRPr="000773C5">
        <w:rPr>
          <w:rFonts w:ascii="Times New Roman" w:hAnsi="Times New Roman" w:cs="Times New Roman"/>
          <w:sz w:val="24"/>
          <w:szCs w:val="24"/>
        </w:rPr>
        <w:t xml:space="preserve">ordered </w:t>
      </w:r>
      <w:proofErr w:type="spellStart"/>
      <w:r w:rsidRPr="000773C5">
        <w:rPr>
          <w:rFonts w:ascii="Times New Roman" w:hAnsi="Times New Roman" w:cs="Times New Roman"/>
          <w:sz w:val="24"/>
          <w:szCs w:val="24"/>
        </w:rPr>
        <w:t>probit</w:t>
      </w:r>
      <w:proofErr w:type="spellEnd"/>
      <w:r w:rsidRPr="000773C5">
        <w:rPr>
          <w:rFonts w:ascii="Times New Roman" w:hAnsi="Times New Roman" w:cs="Times New Roman"/>
          <w:sz w:val="24"/>
          <w:szCs w:val="24"/>
        </w:rPr>
        <w:t xml:space="preserve"> respectively.</w:t>
      </w:r>
      <w:r w:rsidR="00FF7ED1" w:rsidRPr="008269E4">
        <w:rPr>
          <w:rFonts w:ascii="Times New Roman" w:eastAsiaTheme="minorEastAsia" w:hAnsi="Times New Roman" w:cs="Times New Roman"/>
          <w:sz w:val="24"/>
          <w:szCs w:val="24"/>
          <w:vertAlign w:val="superscript"/>
        </w:rPr>
        <w:footnoteReference w:id="14"/>
      </w:r>
      <w:r w:rsidR="00796849" w:rsidRPr="00796849">
        <w:rPr>
          <w:rFonts w:ascii="Times New Roman" w:hAnsi="Times New Roman" w:cs="Times New Roman"/>
          <w:sz w:val="24"/>
          <w:szCs w:val="24"/>
        </w:rPr>
        <w:t>It is noted that we have converted the coefficient estimates to the marginal effects</w:t>
      </w:r>
      <w:r w:rsidR="0066390E">
        <w:rPr>
          <w:rFonts w:ascii="Times New Roman" w:hAnsi="Times New Roman" w:cs="Times New Roman"/>
          <w:sz w:val="24"/>
          <w:szCs w:val="24"/>
        </w:rPr>
        <w:t>/associations</w:t>
      </w:r>
      <w:r w:rsidR="00796849" w:rsidRPr="00796849">
        <w:rPr>
          <w:rFonts w:ascii="Times New Roman" w:hAnsi="Times New Roman" w:cs="Times New Roman"/>
          <w:sz w:val="24"/>
          <w:szCs w:val="24"/>
        </w:rPr>
        <w:t xml:space="preserve"> evaluated at the means in Table 3 so that the OP results in Table 3 are comparable with the OLS results in Table 2 after a simple conversion. For instance, the first row of Table 3 in the case of ∆SWB shows that ‘being a female household head’ leads to </w:t>
      </w:r>
      <w:r w:rsidR="00E742CF">
        <w:rPr>
          <w:rFonts w:ascii="Times New Roman" w:hAnsi="Times New Roman" w:cs="Times New Roman"/>
          <w:sz w:val="24"/>
          <w:szCs w:val="24"/>
        </w:rPr>
        <w:t>a</w:t>
      </w:r>
      <w:r w:rsidR="004D372C">
        <w:rPr>
          <w:rFonts w:ascii="Times New Roman" w:hAnsi="Times New Roman" w:cs="Times New Roman"/>
          <w:sz w:val="24"/>
          <w:szCs w:val="24"/>
        </w:rPr>
        <w:t xml:space="preserve"> </w:t>
      </w:r>
      <w:r w:rsidR="00796849" w:rsidRPr="00796849">
        <w:rPr>
          <w:rFonts w:ascii="Times New Roman" w:hAnsi="Times New Roman" w:cs="Times New Roman"/>
          <w:sz w:val="24"/>
          <w:szCs w:val="24"/>
        </w:rPr>
        <w:t xml:space="preserve">change of the probability </w:t>
      </w:r>
      <w:r w:rsidR="00E742CF">
        <w:rPr>
          <w:rFonts w:ascii="Times New Roman" w:hAnsi="Times New Roman" w:cs="Times New Roman"/>
          <w:sz w:val="24"/>
          <w:szCs w:val="24"/>
        </w:rPr>
        <w:t xml:space="preserve">in the case of </w:t>
      </w:r>
      <w:r w:rsidR="00796849" w:rsidRPr="00796849">
        <w:rPr>
          <w:rFonts w:ascii="Times New Roman" w:hAnsi="Times New Roman" w:cs="Times New Roman"/>
          <w:sz w:val="24"/>
          <w:szCs w:val="24"/>
        </w:rPr>
        <w:t xml:space="preserve">‘Worse Off (0)’ by ‘-1.37%’, that for ‘Just the Same (1)’ by ‘-2.21%’ and that for ‘Better Off (2)’ by ‘3.57%’ </w:t>
      </w:r>
      <w:r w:rsidR="00124CB4">
        <w:rPr>
          <w:rFonts w:ascii="Times New Roman" w:hAnsi="Times New Roman" w:cs="Times New Roman"/>
          <w:sz w:val="24"/>
          <w:szCs w:val="24"/>
        </w:rPr>
        <w:t>while</w:t>
      </w:r>
      <w:r w:rsidR="00796849" w:rsidRPr="00796849">
        <w:rPr>
          <w:rFonts w:ascii="Times New Roman" w:hAnsi="Times New Roman" w:cs="Times New Roman"/>
          <w:sz w:val="24"/>
          <w:szCs w:val="24"/>
        </w:rPr>
        <w:t xml:space="preserve"> other covariates </w:t>
      </w:r>
      <w:r w:rsidR="00124CB4">
        <w:rPr>
          <w:rFonts w:ascii="Times New Roman" w:hAnsi="Times New Roman" w:cs="Times New Roman"/>
          <w:sz w:val="24"/>
          <w:szCs w:val="24"/>
        </w:rPr>
        <w:t xml:space="preserve">are </w:t>
      </w:r>
      <w:r w:rsidR="00796849" w:rsidRPr="00796849">
        <w:rPr>
          <w:rFonts w:ascii="Times New Roman" w:hAnsi="Times New Roman" w:cs="Times New Roman"/>
          <w:sz w:val="24"/>
          <w:szCs w:val="24"/>
        </w:rPr>
        <w:t>fixed at their means. That is, being a female head on average leads to a 4.93% (=-1.37%*0+ (-2.21%)*1+ 3.57%*2) increase in the probability of shifting to the one above category. This is comparable with the OLS estimate of “0.0486” (4.86%) in the first row of Table 2. All the estimates in Table 2 and Table 3 are highl</w:t>
      </w:r>
      <w:r w:rsidR="008A39D5">
        <w:rPr>
          <w:rFonts w:ascii="Times New Roman" w:hAnsi="Times New Roman" w:cs="Times New Roman"/>
          <w:sz w:val="24"/>
          <w:szCs w:val="24"/>
        </w:rPr>
        <w:t>y similar after this conversion.</w:t>
      </w:r>
      <w:r w:rsidR="004D372C">
        <w:rPr>
          <w:rFonts w:ascii="Times New Roman" w:hAnsi="Times New Roman" w:cs="Times New Roman"/>
          <w:sz w:val="24"/>
          <w:szCs w:val="24"/>
        </w:rPr>
        <w:t xml:space="preserve"> </w:t>
      </w:r>
      <w:r w:rsidR="00887CF4">
        <w:rPr>
          <w:rFonts w:ascii="Times New Roman" w:hAnsi="Times New Roman" w:cs="Times New Roman"/>
          <w:sz w:val="24"/>
          <w:szCs w:val="24"/>
        </w:rPr>
        <w:t xml:space="preserve">The probabilities of moving up by one category </w:t>
      </w:r>
      <w:r w:rsidR="006405A4">
        <w:rPr>
          <w:rFonts w:ascii="Times New Roman" w:hAnsi="Times New Roman" w:cs="Times New Roman"/>
          <w:sz w:val="24"/>
          <w:szCs w:val="24"/>
        </w:rPr>
        <w:t xml:space="preserve">are shown as ‘Converted ME (Marginal Effect)’ </w:t>
      </w:r>
      <w:r w:rsidR="00796849" w:rsidRPr="00796849">
        <w:rPr>
          <w:rFonts w:ascii="Times New Roman" w:hAnsi="Times New Roman" w:cs="Times New Roman"/>
          <w:sz w:val="24"/>
          <w:szCs w:val="24"/>
        </w:rPr>
        <w:t xml:space="preserve">in the last columns </w:t>
      </w:r>
      <w:r w:rsidR="00887CF4">
        <w:rPr>
          <w:rFonts w:ascii="Times New Roman" w:hAnsi="Times New Roman" w:cs="Times New Roman"/>
          <w:sz w:val="24"/>
          <w:szCs w:val="24"/>
        </w:rPr>
        <w:t xml:space="preserve">of Table 3 </w:t>
      </w:r>
      <w:r w:rsidR="00796849" w:rsidRPr="00796849">
        <w:rPr>
          <w:rFonts w:ascii="Times New Roman" w:hAnsi="Times New Roman" w:cs="Times New Roman"/>
          <w:sz w:val="24"/>
          <w:szCs w:val="24"/>
        </w:rPr>
        <w:t xml:space="preserve">for both ∆SWB and ∆OWB. We follow Angrist and </w:t>
      </w:r>
      <w:proofErr w:type="spellStart"/>
      <w:r w:rsidR="00796849" w:rsidRPr="00796849">
        <w:rPr>
          <w:rFonts w:ascii="Times New Roman" w:hAnsi="Times New Roman" w:cs="Times New Roman"/>
          <w:sz w:val="24"/>
          <w:szCs w:val="24"/>
        </w:rPr>
        <w:t>Pischke’s</w:t>
      </w:r>
      <w:proofErr w:type="spellEnd"/>
      <w:r w:rsidR="00796849" w:rsidRPr="00796849">
        <w:rPr>
          <w:rFonts w:ascii="Times New Roman" w:hAnsi="Times New Roman" w:cs="Times New Roman"/>
          <w:sz w:val="24"/>
          <w:szCs w:val="24"/>
        </w:rPr>
        <w:t xml:space="preserve"> (2008) </w:t>
      </w:r>
      <w:r w:rsidR="00124CB4">
        <w:rPr>
          <w:rFonts w:ascii="Times New Roman" w:hAnsi="Times New Roman" w:cs="Times New Roman"/>
          <w:sz w:val="24"/>
          <w:szCs w:val="24"/>
        </w:rPr>
        <w:t>defence of</w:t>
      </w:r>
      <w:r w:rsidR="00796849" w:rsidRPr="00796849">
        <w:rPr>
          <w:rFonts w:ascii="Times New Roman" w:hAnsi="Times New Roman" w:cs="Times New Roman"/>
          <w:sz w:val="24"/>
          <w:szCs w:val="24"/>
        </w:rPr>
        <w:t xml:space="preserve"> the use of OLS for the binary dependent variable. </w:t>
      </w:r>
      <w:r w:rsidR="004309A8">
        <w:rPr>
          <w:rFonts w:ascii="Times New Roman" w:hAnsi="Times New Roman" w:cs="Times New Roman"/>
          <w:sz w:val="24"/>
          <w:szCs w:val="24"/>
        </w:rPr>
        <w:t>As a robustness check, we have applied an</w:t>
      </w:r>
      <w:r w:rsidR="00796849" w:rsidRPr="00796849">
        <w:rPr>
          <w:rFonts w:ascii="Times New Roman" w:hAnsi="Times New Roman" w:cs="Times New Roman"/>
          <w:sz w:val="24"/>
          <w:szCs w:val="24"/>
        </w:rPr>
        <w:t xml:space="preserve"> alternative method of deriving the marginal effects </w:t>
      </w:r>
      <w:r w:rsidR="004309A8">
        <w:rPr>
          <w:rFonts w:ascii="Times New Roman" w:hAnsi="Times New Roman" w:cs="Times New Roman"/>
          <w:sz w:val="24"/>
          <w:szCs w:val="24"/>
        </w:rPr>
        <w:t xml:space="preserve">for the ordered </w:t>
      </w:r>
      <w:proofErr w:type="spellStart"/>
      <w:r w:rsidR="004309A8">
        <w:rPr>
          <w:rFonts w:ascii="Times New Roman" w:hAnsi="Times New Roman" w:cs="Times New Roman"/>
          <w:sz w:val="24"/>
          <w:szCs w:val="24"/>
        </w:rPr>
        <w:t>probit</w:t>
      </w:r>
      <w:proofErr w:type="spellEnd"/>
      <w:r w:rsidR="004309A8">
        <w:rPr>
          <w:rFonts w:ascii="Times New Roman" w:hAnsi="Times New Roman" w:cs="Times New Roman"/>
          <w:sz w:val="24"/>
          <w:szCs w:val="24"/>
        </w:rPr>
        <w:t xml:space="preserve"> model by </w:t>
      </w:r>
      <w:r w:rsidR="00796849" w:rsidRPr="00796849">
        <w:rPr>
          <w:rFonts w:ascii="Times New Roman" w:hAnsi="Times New Roman" w:cs="Times New Roman"/>
          <w:sz w:val="24"/>
          <w:szCs w:val="24"/>
        </w:rPr>
        <w:t>averagi</w:t>
      </w:r>
      <w:r w:rsidR="006405A4">
        <w:rPr>
          <w:rFonts w:ascii="Times New Roman" w:hAnsi="Times New Roman" w:cs="Times New Roman"/>
          <w:sz w:val="24"/>
          <w:szCs w:val="24"/>
        </w:rPr>
        <w:t xml:space="preserve">ng marginal effects for all the </w:t>
      </w:r>
      <w:r w:rsidR="004309A8">
        <w:rPr>
          <w:rFonts w:ascii="Times New Roman" w:hAnsi="Times New Roman" w:cs="Times New Roman"/>
          <w:sz w:val="24"/>
          <w:szCs w:val="24"/>
        </w:rPr>
        <w:t>observation</w:t>
      </w:r>
      <w:r w:rsidR="006405A4">
        <w:rPr>
          <w:rFonts w:ascii="Times New Roman" w:hAnsi="Times New Roman" w:cs="Times New Roman"/>
          <w:sz w:val="24"/>
          <w:szCs w:val="24"/>
        </w:rPr>
        <w:t>s</w:t>
      </w:r>
      <w:r w:rsidR="004D372C">
        <w:rPr>
          <w:rFonts w:ascii="Times New Roman" w:hAnsi="Times New Roman" w:cs="Times New Roman"/>
          <w:sz w:val="24"/>
          <w:szCs w:val="24"/>
        </w:rPr>
        <w:t xml:space="preserve"> </w:t>
      </w:r>
      <w:r w:rsidR="00796849">
        <w:rPr>
          <w:rFonts w:ascii="Times New Roman" w:hAnsi="Times New Roman" w:cs="Times New Roman"/>
          <w:sz w:val="24"/>
          <w:szCs w:val="24"/>
        </w:rPr>
        <w:t xml:space="preserve">(Appendix Table A2). </w:t>
      </w:r>
      <w:r w:rsidR="004309A8">
        <w:rPr>
          <w:rFonts w:ascii="Times New Roman" w:hAnsi="Times New Roman" w:cs="Times New Roman"/>
          <w:sz w:val="24"/>
          <w:szCs w:val="24"/>
        </w:rPr>
        <w:t xml:space="preserve">The converted marginal effects are highly similar to those </w:t>
      </w:r>
      <w:r w:rsidR="004309A8">
        <w:rPr>
          <w:rFonts w:ascii="Times New Roman" w:hAnsi="Times New Roman" w:cs="Times New Roman"/>
          <w:sz w:val="24"/>
          <w:szCs w:val="24"/>
        </w:rPr>
        <w:lastRenderedPageBreak/>
        <w:t xml:space="preserve">in Table 3 and the coefficient estimates in Table 2 (OLS). </w:t>
      </w:r>
      <w:r w:rsidR="003D05AC">
        <w:rPr>
          <w:rFonts w:ascii="Times New Roman" w:hAnsi="Times New Roman" w:cs="Times New Roman"/>
          <w:sz w:val="24"/>
          <w:szCs w:val="24"/>
        </w:rPr>
        <w:t xml:space="preserve">These three sets of results </w:t>
      </w:r>
      <w:r w:rsidR="006405A4">
        <w:rPr>
          <w:rFonts w:ascii="Times New Roman" w:hAnsi="Times New Roman" w:cs="Times New Roman"/>
          <w:sz w:val="24"/>
          <w:szCs w:val="24"/>
        </w:rPr>
        <w:t xml:space="preserve">strongly </w:t>
      </w:r>
      <w:r w:rsidR="003D05AC">
        <w:rPr>
          <w:rFonts w:ascii="Times New Roman" w:hAnsi="Times New Roman" w:cs="Times New Roman"/>
          <w:sz w:val="24"/>
          <w:szCs w:val="24"/>
        </w:rPr>
        <w:t>corroborate</w:t>
      </w:r>
      <w:r w:rsidR="004D372C">
        <w:rPr>
          <w:rFonts w:ascii="Times New Roman" w:hAnsi="Times New Roman" w:cs="Times New Roman"/>
          <w:sz w:val="24"/>
          <w:szCs w:val="24"/>
        </w:rPr>
        <w:t xml:space="preserve"> </w:t>
      </w:r>
      <w:r w:rsidR="008A39D5">
        <w:rPr>
          <w:rFonts w:ascii="Times New Roman" w:hAnsi="Times New Roman" w:cs="Times New Roman"/>
          <w:sz w:val="24"/>
          <w:szCs w:val="24"/>
        </w:rPr>
        <w:t xml:space="preserve">the robustness of OLS </w:t>
      </w:r>
      <w:r w:rsidR="006405A4">
        <w:rPr>
          <w:rFonts w:ascii="Times New Roman" w:hAnsi="Times New Roman" w:cs="Times New Roman"/>
          <w:sz w:val="24"/>
          <w:szCs w:val="24"/>
        </w:rPr>
        <w:t xml:space="preserve">in case it is </w:t>
      </w:r>
      <w:r w:rsidR="008A39D5">
        <w:rPr>
          <w:rFonts w:ascii="Times New Roman" w:hAnsi="Times New Roman" w:cs="Times New Roman"/>
          <w:sz w:val="24"/>
          <w:szCs w:val="24"/>
        </w:rPr>
        <w:t>applied to the discrete dependent variable</w:t>
      </w:r>
      <w:r w:rsidR="006405A4">
        <w:rPr>
          <w:rFonts w:ascii="Times New Roman" w:hAnsi="Times New Roman" w:cs="Times New Roman"/>
          <w:sz w:val="24"/>
          <w:szCs w:val="24"/>
        </w:rPr>
        <w:t xml:space="preserve">. </w:t>
      </w:r>
    </w:p>
    <w:p w14:paraId="08E5AAB5" w14:textId="4FFF009C" w:rsidR="003C2698" w:rsidRDefault="000773C5" w:rsidP="003C2698">
      <w:pPr>
        <w:jc w:val="both"/>
        <w:rPr>
          <w:rFonts w:ascii="Times New Roman" w:eastAsiaTheme="minorEastAsia" w:hAnsi="Times New Roman" w:cs="Times New Roman"/>
          <w:sz w:val="24"/>
          <w:szCs w:val="24"/>
        </w:rPr>
      </w:pPr>
      <w:r w:rsidRPr="000773C5">
        <w:rPr>
          <w:rFonts w:ascii="Times New Roman" w:hAnsi="Times New Roman" w:cs="Times New Roman"/>
          <w:sz w:val="24"/>
          <w:szCs w:val="24"/>
        </w:rPr>
        <w:t xml:space="preserve">Below we discuss the results of these tables together with a particular focus on distinct differences of the </w:t>
      </w:r>
      <w:r w:rsidR="00307EBA">
        <w:rPr>
          <w:rFonts w:ascii="Times New Roman" w:hAnsi="Times New Roman" w:cs="Times New Roman"/>
          <w:sz w:val="24"/>
          <w:szCs w:val="24"/>
        </w:rPr>
        <w:t>covariates</w:t>
      </w:r>
      <w:r>
        <w:rPr>
          <w:rFonts w:ascii="Times New Roman" w:hAnsi="Times New Roman" w:cs="Times New Roman"/>
          <w:sz w:val="24"/>
          <w:szCs w:val="24"/>
        </w:rPr>
        <w:t xml:space="preserve"> of ∆SWB and ∆OWB. In Table 2 (OLS), </w:t>
      </w:r>
      <w:r w:rsidR="007A5621">
        <w:rPr>
          <w:rFonts w:ascii="Times New Roman" w:hAnsi="Times New Roman" w:cs="Times New Roman"/>
          <w:sz w:val="24"/>
          <w:szCs w:val="24"/>
        </w:rPr>
        <w:t>although</w:t>
      </w:r>
      <w:r w:rsidR="007A5621">
        <w:rPr>
          <w:rFonts w:ascii="Times New Roman" w:hAnsi="Times New Roman" w:cs="Times New Roman"/>
          <w:sz w:val="24"/>
          <w:szCs w:val="24"/>
        </w:rPr>
        <w:t xml:space="preserve"> </w:t>
      </w:r>
      <w:r w:rsidR="003C2698" w:rsidRPr="000773C5">
        <w:rPr>
          <w:rFonts w:ascii="Times New Roman" w:eastAsiaTheme="minorEastAsia" w:hAnsi="Times New Roman" w:cs="Times New Roman"/>
          <w:sz w:val="24"/>
          <w:szCs w:val="24"/>
        </w:rPr>
        <w:t>t</w:t>
      </w:r>
      <w:r w:rsidR="003C2698" w:rsidRPr="008269E4">
        <w:rPr>
          <w:rFonts w:ascii="Times New Roman" w:eastAsiaTheme="minorEastAsia" w:hAnsi="Times New Roman" w:cs="Times New Roman"/>
          <w:sz w:val="24"/>
          <w:szCs w:val="24"/>
        </w:rPr>
        <w:t>he null of homoscedasticity is not rejected</w:t>
      </w:r>
      <w:r w:rsidR="00307EBA">
        <w:rPr>
          <w:rFonts w:ascii="Times New Roman" w:eastAsiaTheme="minorEastAsia" w:hAnsi="Times New Roman" w:cs="Times New Roman"/>
          <w:sz w:val="24"/>
          <w:szCs w:val="24"/>
        </w:rPr>
        <w:t>,</w:t>
      </w:r>
      <w:r w:rsidR="003C2698" w:rsidRPr="008269E4">
        <w:rPr>
          <w:rFonts w:ascii="Times New Roman" w:eastAsiaTheme="minorEastAsia" w:hAnsi="Times New Roman" w:cs="Times New Roman"/>
          <w:sz w:val="24"/>
          <w:szCs w:val="24"/>
        </w:rPr>
        <w:t xml:space="preserve"> we report </w:t>
      </w:r>
      <w:r w:rsidR="009757FA">
        <w:rPr>
          <w:rFonts w:ascii="Times New Roman" w:eastAsiaTheme="minorEastAsia" w:hAnsi="Times New Roman" w:cs="Times New Roman"/>
          <w:sz w:val="24"/>
          <w:szCs w:val="24"/>
        </w:rPr>
        <w:t xml:space="preserve">robust </w:t>
      </w:r>
      <w:r w:rsidR="003C2698" w:rsidRPr="008269E4">
        <w:rPr>
          <w:rFonts w:ascii="Times New Roman" w:eastAsiaTheme="minorEastAsia" w:hAnsi="Times New Roman" w:cs="Times New Roman"/>
          <w:sz w:val="24"/>
          <w:szCs w:val="24"/>
        </w:rPr>
        <w:t xml:space="preserve">OLS results in Table </w:t>
      </w:r>
      <w:r w:rsidR="00BF5995" w:rsidRPr="008269E4">
        <w:rPr>
          <w:rFonts w:ascii="Times New Roman" w:eastAsiaTheme="minorEastAsia" w:hAnsi="Times New Roman" w:cs="Times New Roman"/>
          <w:sz w:val="24"/>
          <w:szCs w:val="24"/>
        </w:rPr>
        <w:t>2</w:t>
      </w:r>
      <w:r>
        <w:rPr>
          <w:rFonts w:ascii="Times New Roman" w:eastAsiaTheme="minorEastAsia" w:hAnsi="Times New Roman" w:cs="Times New Roman"/>
          <w:sz w:val="24"/>
          <w:szCs w:val="24"/>
        </w:rPr>
        <w:t xml:space="preserve"> given that the dependent variable is discrete</w:t>
      </w:r>
      <w:r w:rsidR="00887DF5">
        <w:rPr>
          <w:rFonts w:ascii="Times New Roman" w:eastAsiaTheme="minorEastAsia" w:hAnsi="Times New Roman" w:cs="Times New Roman"/>
          <w:sz w:val="24"/>
          <w:szCs w:val="24"/>
        </w:rPr>
        <w:t xml:space="preserve"> for both </w:t>
      </w:r>
      <w:r w:rsidR="00887DF5">
        <w:rPr>
          <w:rFonts w:ascii="Times New Roman" w:hAnsi="Times New Roman" w:cs="Times New Roman"/>
          <w:sz w:val="24"/>
          <w:szCs w:val="24"/>
        </w:rPr>
        <w:t xml:space="preserve">∆SWB and ∆OWB. </w:t>
      </w:r>
      <w:r w:rsidR="003C2698" w:rsidRPr="008269E4">
        <w:rPr>
          <w:rFonts w:ascii="Times New Roman" w:eastAsiaTheme="minorEastAsia" w:hAnsi="Times New Roman" w:cs="Times New Roman"/>
          <w:sz w:val="24"/>
          <w:szCs w:val="24"/>
        </w:rPr>
        <w:t xml:space="preserve">The overall explanatory power of the specification is validated by the F test </w:t>
      </w:r>
      <w:r w:rsidR="00887DF5">
        <w:rPr>
          <w:rFonts w:ascii="Times New Roman" w:eastAsiaTheme="minorEastAsia" w:hAnsi="Times New Roman" w:cs="Times New Roman"/>
          <w:sz w:val="24"/>
          <w:szCs w:val="24"/>
        </w:rPr>
        <w:t xml:space="preserve">in both cases. In Table 3 the </w:t>
      </w:r>
      <w:r w:rsidR="00887DF5" w:rsidRPr="008269E4">
        <w:rPr>
          <w:rFonts w:ascii="Times New Roman" w:eastAsiaTheme="minorEastAsia" w:hAnsi="Times New Roman" w:cs="Times New Roman"/>
          <w:sz w:val="24"/>
          <w:szCs w:val="24"/>
        </w:rPr>
        <w:t>overall validation of the OP specification is confirmed by the Wald test</w:t>
      </w:r>
      <w:r w:rsidR="00887DF5">
        <w:rPr>
          <w:rFonts w:ascii="Times New Roman" w:eastAsiaTheme="minorEastAsia" w:hAnsi="Times New Roman" w:cs="Times New Roman"/>
          <w:sz w:val="24"/>
          <w:szCs w:val="24"/>
        </w:rPr>
        <w:t>.</w:t>
      </w:r>
      <w:r w:rsidR="00887DF5" w:rsidRPr="008269E4">
        <w:rPr>
          <w:rFonts w:ascii="Times New Roman" w:eastAsiaTheme="minorEastAsia" w:hAnsi="Times New Roman" w:cs="Times New Roman"/>
          <w:sz w:val="24"/>
          <w:szCs w:val="24"/>
        </w:rPr>
        <w:t xml:space="preserve"> As in the multiple regression analysis, the components of well-being are for 2012 and </w:t>
      </w:r>
      <w:r w:rsidR="00887DF5" w:rsidRPr="008269E4">
        <w:rPr>
          <w:rFonts w:ascii="Times New Roman" w:eastAsiaTheme="minorEastAsia" w:hAnsi="Times New Roman" w:cs="Times New Roman"/>
          <w:i/>
          <w:sz w:val="24"/>
          <w:szCs w:val="24"/>
        </w:rPr>
        <w:t>most</w:t>
      </w:r>
      <w:r w:rsidR="00887DF5" w:rsidRPr="008269E4">
        <w:rPr>
          <w:rFonts w:ascii="Times New Roman" w:eastAsiaTheme="minorEastAsia" w:hAnsi="Times New Roman" w:cs="Times New Roman"/>
          <w:sz w:val="24"/>
          <w:szCs w:val="24"/>
        </w:rPr>
        <w:t xml:space="preserve"> covariates for 2005. </w:t>
      </w:r>
    </w:p>
    <w:p w14:paraId="6DD29261" w14:textId="77777777" w:rsidR="004309A8" w:rsidRDefault="004309A8" w:rsidP="00ED532F">
      <w:pPr>
        <w:widowControl w:val="0"/>
        <w:autoSpaceDE w:val="0"/>
        <w:autoSpaceDN w:val="0"/>
        <w:adjustRightInd w:val="0"/>
        <w:spacing w:after="0" w:line="240" w:lineRule="auto"/>
        <w:jc w:val="center"/>
        <w:rPr>
          <w:rFonts w:ascii="Times New Roman" w:eastAsiaTheme="minorEastAsia" w:hAnsi="Times New Roman" w:cs="Times New Roman"/>
          <w:b/>
          <w:lang w:val="en-US"/>
        </w:rPr>
      </w:pPr>
    </w:p>
    <w:p w14:paraId="42468F05" w14:textId="77777777" w:rsidR="00ED532F" w:rsidRPr="004E1295" w:rsidRDefault="00ED532F" w:rsidP="00ED532F">
      <w:pPr>
        <w:widowControl w:val="0"/>
        <w:autoSpaceDE w:val="0"/>
        <w:autoSpaceDN w:val="0"/>
        <w:adjustRightInd w:val="0"/>
        <w:spacing w:after="0" w:line="240" w:lineRule="auto"/>
        <w:jc w:val="center"/>
        <w:rPr>
          <w:rFonts w:ascii="Times New Roman" w:eastAsiaTheme="minorEastAsia" w:hAnsi="Times New Roman" w:cs="Times New Roman"/>
          <w:b/>
          <w:lang w:val="en-US"/>
        </w:rPr>
      </w:pPr>
      <w:r w:rsidRPr="004E1295">
        <w:rPr>
          <w:rFonts w:ascii="Times New Roman" w:eastAsiaTheme="minorEastAsia" w:hAnsi="Times New Roman" w:cs="Times New Roman"/>
          <w:b/>
          <w:lang w:val="en-US"/>
        </w:rPr>
        <w:t xml:space="preserve">Table 2 Multiple Regression Analysis of Subjective </w:t>
      </w:r>
      <w:r>
        <w:rPr>
          <w:rFonts w:ascii="Times New Roman" w:eastAsiaTheme="minorEastAsia" w:hAnsi="Times New Roman" w:cs="Times New Roman"/>
          <w:b/>
          <w:lang w:val="en-US"/>
        </w:rPr>
        <w:t xml:space="preserve">and Objective </w:t>
      </w:r>
      <w:r w:rsidRPr="004E1295">
        <w:rPr>
          <w:rFonts w:ascii="Times New Roman" w:eastAsiaTheme="minorEastAsia" w:hAnsi="Times New Roman" w:cs="Times New Roman"/>
          <w:b/>
          <w:lang w:val="en-US"/>
        </w:rPr>
        <w:t>Well-Being and Its Covariates</w:t>
      </w:r>
    </w:p>
    <w:p w14:paraId="27E98F5B" w14:textId="77777777" w:rsidR="00ED532F" w:rsidRDefault="00ED532F" w:rsidP="00ED532F">
      <w:pPr>
        <w:widowControl w:val="0"/>
        <w:autoSpaceDE w:val="0"/>
        <w:autoSpaceDN w:val="0"/>
        <w:adjustRightInd w:val="0"/>
        <w:spacing w:after="0" w:line="240" w:lineRule="auto"/>
        <w:rPr>
          <w:rFonts w:ascii="Times New Roman" w:eastAsiaTheme="minorEastAsia" w:hAnsi="Times New Roman" w:cs="Times New Roman"/>
          <w:lang w:val="en-US"/>
        </w:rPr>
      </w:pPr>
    </w:p>
    <w:tbl>
      <w:tblPr>
        <w:tblW w:w="9651" w:type="dxa"/>
        <w:jc w:val="center"/>
        <w:tblLayout w:type="fixed"/>
        <w:tblCellMar>
          <w:left w:w="75" w:type="dxa"/>
          <w:right w:w="75" w:type="dxa"/>
        </w:tblCellMar>
        <w:tblLook w:val="0000" w:firstRow="0" w:lastRow="0" w:firstColumn="0" w:lastColumn="0" w:noHBand="0" w:noVBand="0"/>
      </w:tblPr>
      <w:tblGrid>
        <w:gridCol w:w="4611"/>
        <w:gridCol w:w="1350"/>
        <w:gridCol w:w="1350"/>
        <w:gridCol w:w="1101"/>
        <w:gridCol w:w="1239"/>
      </w:tblGrid>
      <w:tr w:rsidR="00ED532F" w:rsidRPr="009219BF" w14:paraId="45360523" w14:textId="77777777" w:rsidTr="00ED532F">
        <w:trPr>
          <w:trHeight w:val="144"/>
          <w:jc w:val="center"/>
        </w:trPr>
        <w:tc>
          <w:tcPr>
            <w:tcW w:w="4611" w:type="dxa"/>
            <w:tcBorders>
              <w:top w:val="single" w:sz="6" w:space="0" w:color="auto"/>
              <w:left w:val="nil"/>
              <w:bottom w:val="nil"/>
              <w:right w:val="nil"/>
            </w:tcBorders>
          </w:tcPr>
          <w:p w14:paraId="462D560C"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p>
        </w:tc>
        <w:tc>
          <w:tcPr>
            <w:tcW w:w="2700" w:type="dxa"/>
            <w:gridSpan w:val="2"/>
            <w:tcBorders>
              <w:top w:val="single" w:sz="6" w:space="0" w:color="auto"/>
              <w:left w:val="nil"/>
              <w:bottom w:val="single" w:sz="4" w:space="0" w:color="auto"/>
              <w:right w:val="nil"/>
            </w:tcBorders>
          </w:tcPr>
          <w:p w14:paraId="544AE8D8" w14:textId="77777777" w:rsidR="00ED532F" w:rsidRPr="00682B9C" w:rsidRDefault="00682B9C" w:rsidP="00ED532F">
            <w:pPr>
              <w:widowControl w:val="0"/>
              <w:autoSpaceDE w:val="0"/>
              <w:autoSpaceDN w:val="0"/>
              <w:adjustRightInd w:val="0"/>
              <w:spacing w:after="0" w:line="240" w:lineRule="auto"/>
              <w:jc w:val="center"/>
              <w:rPr>
                <w:rFonts w:ascii="Arial" w:hAnsi="Arial" w:cs="Arial"/>
                <w:b/>
                <w:sz w:val="16"/>
                <w:szCs w:val="16"/>
                <w:highlight w:val="yellow"/>
              </w:rPr>
            </w:pPr>
            <w:r w:rsidRPr="00682B9C">
              <w:rPr>
                <w:rFonts w:ascii="Arial" w:hAnsi="Arial" w:cs="Arial"/>
                <w:b/>
                <w:sz w:val="16"/>
                <w:szCs w:val="16"/>
              </w:rPr>
              <w:t>∆</w:t>
            </w:r>
            <w:r w:rsidR="00ED532F" w:rsidRPr="00682B9C">
              <w:rPr>
                <w:rFonts w:ascii="Arial" w:hAnsi="Arial" w:cs="Arial"/>
                <w:b/>
                <w:sz w:val="16"/>
                <w:szCs w:val="16"/>
              </w:rPr>
              <w:t>SWB</w:t>
            </w:r>
          </w:p>
        </w:tc>
        <w:tc>
          <w:tcPr>
            <w:tcW w:w="2340" w:type="dxa"/>
            <w:gridSpan w:val="2"/>
            <w:tcBorders>
              <w:top w:val="single" w:sz="6" w:space="0" w:color="auto"/>
              <w:left w:val="nil"/>
              <w:bottom w:val="single" w:sz="4" w:space="0" w:color="auto"/>
              <w:right w:val="nil"/>
            </w:tcBorders>
          </w:tcPr>
          <w:p w14:paraId="58D3822E" w14:textId="77777777" w:rsidR="00ED532F" w:rsidRPr="00682B9C" w:rsidRDefault="00682B9C" w:rsidP="00ED532F">
            <w:pPr>
              <w:widowControl w:val="0"/>
              <w:autoSpaceDE w:val="0"/>
              <w:autoSpaceDN w:val="0"/>
              <w:adjustRightInd w:val="0"/>
              <w:spacing w:after="0" w:line="240" w:lineRule="auto"/>
              <w:jc w:val="center"/>
              <w:rPr>
                <w:rFonts w:ascii="Arial" w:hAnsi="Arial" w:cs="Arial"/>
                <w:b/>
                <w:sz w:val="16"/>
                <w:szCs w:val="16"/>
              </w:rPr>
            </w:pPr>
            <w:r w:rsidRPr="00682B9C">
              <w:rPr>
                <w:rFonts w:ascii="Arial" w:hAnsi="Arial" w:cs="Arial"/>
                <w:b/>
                <w:sz w:val="16"/>
                <w:szCs w:val="16"/>
              </w:rPr>
              <w:t>∆</w:t>
            </w:r>
            <w:r w:rsidR="00ED532F" w:rsidRPr="00682B9C">
              <w:rPr>
                <w:rFonts w:ascii="Arial" w:hAnsi="Arial" w:cs="Arial"/>
                <w:b/>
                <w:sz w:val="16"/>
                <w:szCs w:val="16"/>
              </w:rPr>
              <w:t>OWB</w:t>
            </w:r>
          </w:p>
        </w:tc>
      </w:tr>
      <w:tr w:rsidR="00ED532F" w:rsidRPr="009219BF" w14:paraId="0AECD7D7" w14:textId="77777777" w:rsidTr="00ED532F">
        <w:trPr>
          <w:trHeight w:val="144"/>
          <w:jc w:val="center"/>
        </w:trPr>
        <w:tc>
          <w:tcPr>
            <w:tcW w:w="4611" w:type="dxa"/>
            <w:tcBorders>
              <w:top w:val="nil"/>
              <w:left w:val="nil"/>
              <w:bottom w:val="single" w:sz="6" w:space="0" w:color="auto"/>
              <w:right w:val="nil"/>
            </w:tcBorders>
          </w:tcPr>
          <w:p w14:paraId="446FF52B"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VARIABLES</w:t>
            </w:r>
          </w:p>
        </w:tc>
        <w:tc>
          <w:tcPr>
            <w:tcW w:w="1350" w:type="dxa"/>
            <w:tcBorders>
              <w:top w:val="single" w:sz="4" w:space="0" w:color="auto"/>
              <w:left w:val="nil"/>
              <w:bottom w:val="single" w:sz="6" w:space="0" w:color="auto"/>
              <w:right w:val="nil"/>
            </w:tcBorders>
          </w:tcPr>
          <w:p w14:paraId="161D4A37"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Coefficient</w:t>
            </w:r>
          </w:p>
        </w:tc>
        <w:tc>
          <w:tcPr>
            <w:tcW w:w="1350" w:type="dxa"/>
            <w:tcBorders>
              <w:top w:val="single" w:sz="4" w:space="0" w:color="auto"/>
              <w:left w:val="nil"/>
              <w:bottom w:val="single" w:sz="6" w:space="0" w:color="auto"/>
              <w:right w:val="nil"/>
            </w:tcBorders>
          </w:tcPr>
          <w:p w14:paraId="7CB4E06A"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Robust Std. Err</w:t>
            </w:r>
          </w:p>
        </w:tc>
        <w:tc>
          <w:tcPr>
            <w:tcW w:w="1101" w:type="dxa"/>
            <w:tcBorders>
              <w:top w:val="single" w:sz="4" w:space="0" w:color="auto"/>
              <w:left w:val="nil"/>
              <w:bottom w:val="single" w:sz="6" w:space="0" w:color="auto"/>
              <w:right w:val="nil"/>
            </w:tcBorders>
          </w:tcPr>
          <w:p w14:paraId="42124ACD"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Coefficient</w:t>
            </w:r>
          </w:p>
        </w:tc>
        <w:tc>
          <w:tcPr>
            <w:tcW w:w="1239" w:type="dxa"/>
            <w:tcBorders>
              <w:top w:val="single" w:sz="4" w:space="0" w:color="auto"/>
              <w:left w:val="nil"/>
              <w:bottom w:val="single" w:sz="6" w:space="0" w:color="auto"/>
              <w:right w:val="nil"/>
            </w:tcBorders>
          </w:tcPr>
          <w:p w14:paraId="52CC83E5"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Robust Std. Err</w:t>
            </w:r>
          </w:p>
        </w:tc>
      </w:tr>
      <w:tr w:rsidR="000C41DE" w:rsidRPr="009219BF" w14:paraId="7AFB2B56" w14:textId="77777777" w:rsidTr="000C41DE">
        <w:trPr>
          <w:trHeight w:val="144"/>
          <w:jc w:val="center"/>
        </w:trPr>
        <w:tc>
          <w:tcPr>
            <w:tcW w:w="9651" w:type="dxa"/>
            <w:gridSpan w:val="5"/>
            <w:tcBorders>
              <w:top w:val="nil"/>
              <w:left w:val="nil"/>
              <w:bottom w:val="single" w:sz="4" w:space="0" w:color="auto"/>
              <w:right w:val="nil"/>
            </w:tcBorders>
          </w:tcPr>
          <w:p w14:paraId="3B20F8F2" w14:textId="77777777" w:rsidR="000C41DE" w:rsidRPr="000C41DE" w:rsidRDefault="000C41DE" w:rsidP="000C41DE">
            <w:pPr>
              <w:pStyle w:val="ListParagraph"/>
              <w:widowControl w:val="0"/>
              <w:numPr>
                <w:ilvl w:val="0"/>
                <w:numId w:val="13"/>
              </w:numPr>
              <w:autoSpaceDE w:val="0"/>
              <w:autoSpaceDN w:val="0"/>
              <w:adjustRightInd w:val="0"/>
              <w:spacing w:after="0" w:line="240" w:lineRule="auto"/>
              <w:rPr>
                <w:rFonts w:ascii="Arial" w:hAnsi="Arial" w:cs="Arial"/>
                <w:sz w:val="16"/>
                <w:szCs w:val="16"/>
              </w:rPr>
            </w:pPr>
            <w:r w:rsidRPr="000C41DE">
              <w:rPr>
                <w:rFonts w:ascii="Arial" w:hAnsi="Arial" w:cs="Arial"/>
                <w:b/>
                <w:i/>
                <w:sz w:val="16"/>
                <w:szCs w:val="16"/>
              </w:rPr>
              <w:t>Individual and Household Characteristics and the location of households (2005)</w:t>
            </w:r>
          </w:p>
        </w:tc>
      </w:tr>
      <w:tr w:rsidR="00ED532F" w:rsidRPr="009219BF" w14:paraId="35A999FE" w14:textId="77777777" w:rsidTr="009B592E">
        <w:trPr>
          <w:trHeight w:val="144"/>
          <w:jc w:val="center"/>
        </w:trPr>
        <w:tc>
          <w:tcPr>
            <w:tcW w:w="4611" w:type="dxa"/>
            <w:tcBorders>
              <w:top w:val="single" w:sz="4" w:space="0" w:color="auto"/>
              <w:left w:val="nil"/>
              <w:bottom w:val="nil"/>
              <w:right w:val="nil"/>
            </w:tcBorders>
          </w:tcPr>
          <w:p w14:paraId="10BA70C4"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Gender</w:t>
            </w:r>
          </w:p>
        </w:tc>
        <w:tc>
          <w:tcPr>
            <w:tcW w:w="1350" w:type="dxa"/>
            <w:tcBorders>
              <w:top w:val="single" w:sz="4" w:space="0" w:color="auto"/>
              <w:left w:val="nil"/>
              <w:bottom w:val="nil"/>
              <w:right w:val="nil"/>
            </w:tcBorders>
          </w:tcPr>
          <w:p w14:paraId="5B84BFAE"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0EBA640F"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single" w:sz="4" w:space="0" w:color="auto"/>
              <w:left w:val="nil"/>
              <w:bottom w:val="nil"/>
              <w:right w:val="nil"/>
            </w:tcBorders>
          </w:tcPr>
          <w:p w14:paraId="1F9D51DE"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single" w:sz="4" w:space="0" w:color="auto"/>
              <w:left w:val="nil"/>
              <w:bottom w:val="nil"/>
              <w:right w:val="nil"/>
            </w:tcBorders>
          </w:tcPr>
          <w:p w14:paraId="715A70E3"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0C92A8F1" w14:textId="77777777" w:rsidTr="00ED532F">
        <w:trPr>
          <w:trHeight w:val="144"/>
          <w:jc w:val="center"/>
        </w:trPr>
        <w:tc>
          <w:tcPr>
            <w:tcW w:w="4611" w:type="dxa"/>
            <w:tcBorders>
              <w:top w:val="nil"/>
              <w:left w:val="nil"/>
              <w:bottom w:val="nil"/>
              <w:right w:val="nil"/>
            </w:tcBorders>
          </w:tcPr>
          <w:p w14:paraId="468583E8"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Female</w:t>
            </w:r>
          </w:p>
        </w:tc>
        <w:tc>
          <w:tcPr>
            <w:tcW w:w="1350" w:type="dxa"/>
            <w:tcBorders>
              <w:top w:val="nil"/>
              <w:left w:val="nil"/>
              <w:bottom w:val="nil"/>
              <w:right w:val="nil"/>
            </w:tcBorders>
          </w:tcPr>
          <w:p w14:paraId="0B2244EF"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0.0486</w:t>
            </w:r>
          </w:p>
        </w:tc>
        <w:tc>
          <w:tcPr>
            <w:tcW w:w="1350" w:type="dxa"/>
            <w:tcBorders>
              <w:top w:val="nil"/>
              <w:left w:val="nil"/>
              <w:bottom w:val="nil"/>
              <w:right w:val="nil"/>
            </w:tcBorders>
          </w:tcPr>
          <w:p w14:paraId="3CBB3CA5"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(0.0328)</w:t>
            </w:r>
          </w:p>
        </w:tc>
        <w:tc>
          <w:tcPr>
            <w:tcW w:w="1101" w:type="dxa"/>
            <w:tcBorders>
              <w:top w:val="nil"/>
              <w:left w:val="nil"/>
              <w:bottom w:val="nil"/>
              <w:right w:val="nil"/>
            </w:tcBorders>
          </w:tcPr>
          <w:p w14:paraId="76126C24"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-0.0315</w:t>
            </w:r>
          </w:p>
        </w:tc>
        <w:tc>
          <w:tcPr>
            <w:tcW w:w="1239" w:type="dxa"/>
            <w:tcBorders>
              <w:top w:val="nil"/>
              <w:left w:val="nil"/>
              <w:bottom w:val="nil"/>
              <w:right w:val="nil"/>
            </w:tcBorders>
          </w:tcPr>
          <w:p w14:paraId="3BCB97FD"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(0.0269)</w:t>
            </w:r>
          </w:p>
        </w:tc>
      </w:tr>
      <w:tr w:rsidR="00ED532F" w:rsidRPr="009219BF" w14:paraId="6732EE34" w14:textId="77777777" w:rsidTr="00ED532F">
        <w:trPr>
          <w:trHeight w:val="144"/>
          <w:jc w:val="center"/>
        </w:trPr>
        <w:tc>
          <w:tcPr>
            <w:tcW w:w="4611" w:type="dxa"/>
            <w:tcBorders>
              <w:top w:val="nil"/>
              <w:left w:val="nil"/>
              <w:bottom w:val="nil"/>
              <w:right w:val="nil"/>
            </w:tcBorders>
          </w:tcPr>
          <w:p w14:paraId="7167EBD5"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Marital Status</w:t>
            </w:r>
          </w:p>
        </w:tc>
        <w:tc>
          <w:tcPr>
            <w:tcW w:w="1350" w:type="dxa"/>
            <w:tcBorders>
              <w:top w:val="nil"/>
              <w:left w:val="nil"/>
              <w:bottom w:val="nil"/>
              <w:right w:val="nil"/>
            </w:tcBorders>
          </w:tcPr>
          <w:p w14:paraId="3ACF32C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39DAF10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1F5C738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38C7E1EC"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7CFF8D78" w14:textId="77777777" w:rsidTr="00ED532F">
        <w:trPr>
          <w:trHeight w:val="144"/>
          <w:jc w:val="center"/>
        </w:trPr>
        <w:tc>
          <w:tcPr>
            <w:tcW w:w="4611" w:type="dxa"/>
            <w:tcBorders>
              <w:top w:val="nil"/>
              <w:left w:val="nil"/>
              <w:bottom w:val="nil"/>
              <w:right w:val="nil"/>
            </w:tcBorders>
          </w:tcPr>
          <w:p w14:paraId="27E92812"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Unmarried</w:t>
            </w:r>
          </w:p>
        </w:tc>
        <w:tc>
          <w:tcPr>
            <w:tcW w:w="1350" w:type="dxa"/>
            <w:tcBorders>
              <w:top w:val="nil"/>
              <w:left w:val="nil"/>
              <w:bottom w:val="nil"/>
              <w:right w:val="nil"/>
            </w:tcBorders>
          </w:tcPr>
          <w:p w14:paraId="36B2F296"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-0.0315</w:t>
            </w:r>
          </w:p>
        </w:tc>
        <w:tc>
          <w:tcPr>
            <w:tcW w:w="1350" w:type="dxa"/>
            <w:tcBorders>
              <w:top w:val="nil"/>
              <w:left w:val="nil"/>
              <w:bottom w:val="nil"/>
              <w:right w:val="nil"/>
            </w:tcBorders>
          </w:tcPr>
          <w:p w14:paraId="0A11393D"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(0.0446)</w:t>
            </w:r>
          </w:p>
        </w:tc>
        <w:tc>
          <w:tcPr>
            <w:tcW w:w="1101" w:type="dxa"/>
            <w:tcBorders>
              <w:top w:val="nil"/>
              <w:left w:val="nil"/>
              <w:bottom w:val="nil"/>
              <w:right w:val="nil"/>
            </w:tcBorders>
          </w:tcPr>
          <w:p w14:paraId="51CD9D58"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0.0371</w:t>
            </w:r>
          </w:p>
        </w:tc>
        <w:tc>
          <w:tcPr>
            <w:tcW w:w="1239" w:type="dxa"/>
            <w:tcBorders>
              <w:top w:val="nil"/>
              <w:left w:val="nil"/>
              <w:bottom w:val="nil"/>
              <w:right w:val="nil"/>
            </w:tcBorders>
          </w:tcPr>
          <w:p w14:paraId="581A1E0C"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(0.0501)</w:t>
            </w:r>
          </w:p>
        </w:tc>
      </w:tr>
      <w:tr w:rsidR="00ED532F" w:rsidRPr="009219BF" w14:paraId="337E136D" w14:textId="77777777" w:rsidTr="00ED532F">
        <w:trPr>
          <w:trHeight w:val="144"/>
          <w:jc w:val="center"/>
        </w:trPr>
        <w:tc>
          <w:tcPr>
            <w:tcW w:w="4611" w:type="dxa"/>
            <w:tcBorders>
              <w:top w:val="nil"/>
              <w:left w:val="nil"/>
              <w:bottom w:val="nil"/>
              <w:right w:val="nil"/>
            </w:tcBorders>
          </w:tcPr>
          <w:p w14:paraId="72E32FFF"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Widowed/Divorced</w:t>
            </w:r>
          </w:p>
        </w:tc>
        <w:tc>
          <w:tcPr>
            <w:tcW w:w="1350" w:type="dxa"/>
            <w:tcBorders>
              <w:top w:val="nil"/>
              <w:left w:val="nil"/>
              <w:bottom w:val="nil"/>
              <w:right w:val="nil"/>
            </w:tcBorders>
          </w:tcPr>
          <w:p w14:paraId="10B55023"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-0.0145</w:t>
            </w:r>
          </w:p>
        </w:tc>
        <w:tc>
          <w:tcPr>
            <w:tcW w:w="1350" w:type="dxa"/>
            <w:tcBorders>
              <w:top w:val="nil"/>
              <w:left w:val="nil"/>
              <w:bottom w:val="nil"/>
              <w:right w:val="nil"/>
            </w:tcBorders>
          </w:tcPr>
          <w:p w14:paraId="16D003FE"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(0.0292)</w:t>
            </w:r>
          </w:p>
        </w:tc>
        <w:tc>
          <w:tcPr>
            <w:tcW w:w="1101" w:type="dxa"/>
            <w:tcBorders>
              <w:top w:val="nil"/>
              <w:left w:val="nil"/>
              <w:bottom w:val="nil"/>
              <w:right w:val="nil"/>
            </w:tcBorders>
          </w:tcPr>
          <w:p w14:paraId="4535E05E"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0.0356</w:t>
            </w:r>
          </w:p>
        </w:tc>
        <w:tc>
          <w:tcPr>
            <w:tcW w:w="1239" w:type="dxa"/>
            <w:tcBorders>
              <w:top w:val="nil"/>
              <w:left w:val="nil"/>
              <w:bottom w:val="nil"/>
              <w:right w:val="nil"/>
            </w:tcBorders>
          </w:tcPr>
          <w:p w14:paraId="3EED5FB9"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(0.0250)</w:t>
            </w:r>
          </w:p>
        </w:tc>
      </w:tr>
      <w:tr w:rsidR="00ED532F" w:rsidRPr="009219BF" w14:paraId="43B913E7" w14:textId="77777777" w:rsidTr="00ED532F">
        <w:trPr>
          <w:trHeight w:val="144"/>
          <w:jc w:val="center"/>
        </w:trPr>
        <w:tc>
          <w:tcPr>
            <w:tcW w:w="4611" w:type="dxa"/>
            <w:tcBorders>
              <w:top w:val="nil"/>
              <w:left w:val="nil"/>
              <w:bottom w:val="nil"/>
              <w:right w:val="nil"/>
            </w:tcBorders>
          </w:tcPr>
          <w:p w14:paraId="06BC0090"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Age</w:t>
            </w:r>
            <w:r w:rsidR="005C79F4">
              <w:rPr>
                <w:rFonts w:ascii="Arial" w:hAnsi="Arial" w:cs="Arial"/>
                <w:sz w:val="16"/>
                <w:szCs w:val="16"/>
                <w:vertAlign w:val="superscript"/>
              </w:rPr>
              <w:t>3</w:t>
            </w:r>
          </w:p>
        </w:tc>
        <w:tc>
          <w:tcPr>
            <w:tcW w:w="1350" w:type="dxa"/>
            <w:tcBorders>
              <w:top w:val="nil"/>
              <w:left w:val="nil"/>
              <w:bottom w:val="nil"/>
              <w:right w:val="nil"/>
            </w:tcBorders>
          </w:tcPr>
          <w:p w14:paraId="756E3E1F"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0.00535**</w:t>
            </w:r>
          </w:p>
        </w:tc>
        <w:tc>
          <w:tcPr>
            <w:tcW w:w="1350" w:type="dxa"/>
            <w:tcBorders>
              <w:top w:val="nil"/>
              <w:left w:val="nil"/>
              <w:bottom w:val="nil"/>
              <w:right w:val="nil"/>
            </w:tcBorders>
          </w:tcPr>
          <w:p w14:paraId="215212BD"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(0.00251)</w:t>
            </w:r>
          </w:p>
        </w:tc>
        <w:tc>
          <w:tcPr>
            <w:tcW w:w="1101" w:type="dxa"/>
            <w:tcBorders>
              <w:top w:val="nil"/>
              <w:left w:val="nil"/>
              <w:bottom w:val="nil"/>
              <w:right w:val="nil"/>
            </w:tcBorders>
          </w:tcPr>
          <w:p w14:paraId="64A5B0A7"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0.0184***</w:t>
            </w:r>
          </w:p>
        </w:tc>
        <w:tc>
          <w:tcPr>
            <w:tcW w:w="1239" w:type="dxa"/>
            <w:tcBorders>
              <w:top w:val="nil"/>
              <w:left w:val="nil"/>
              <w:bottom w:val="nil"/>
              <w:right w:val="nil"/>
            </w:tcBorders>
          </w:tcPr>
          <w:p w14:paraId="4376E842"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(0.00305)</w:t>
            </w:r>
          </w:p>
        </w:tc>
      </w:tr>
      <w:tr w:rsidR="00ED532F" w:rsidRPr="009219BF" w14:paraId="15E2FF12" w14:textId="77777777" w:rsidTr="00ED532F">
        <w:trPr>
          <w:trHeight w:val="144"/>
          <w:jc w:val="center"/>
        </w:trPr>
        <w:tc>
          <w:tcPr>
            <w:tcW w:w="4611" w:type="dxa"/>
            <w:tcBorders>
              <w:top w:val="nil"/>
              <w:left w:val="nil"/>
              <w:bottom w:val="nil"/>
              <w:right w:val="nil"/>
            </w:tcBorders>
          </w:tcPr>
          <w:p w14:paraId="2E3D5C49"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Age*Age</w:t>
            </w:r>
          </w:p>
        </w:tc>
        <w:tc>
          <w:tcPr>
            <w:tcW w:w="1350" w:type="dxa"/>
            <w:tcBorders>
              <w:top w:val="nil"/>
              <w:left w:val="nil"/>
              <w:bottom w:val="nil"/>
              <w:right w:val="nil"/>
            </w:tcBorders>
          </w:tcPr>
          <w:p w14:paraId="030A2E6C"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-5.66e-05**</w:t>
            </w:r>
          </w:p>
        </w:tc>
        <w:tc>
          <w:tcPr>
            <w:tcW w:w="1350" w:type="dxa"/>
            <w:tcBorders>
              <w:top w:val="nil"/>
              <w:left w:val="nil"/>
              <w:bottom w:val="nil"/>
              <w:right w:val="nil"/>
            </w:tcBorders>
          </w:tcPr>
          <w:p w14:paraId="38A386CE"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(2.60e-05)</w:t>
            </w:r>
          </w:p>
        </w:tc>
        <w:tc>
          <w:tcPr>
            <w:tcW w:w="1101" w:type="dxa"/>
            <w:tcBorders>
              <w:top w:val="nil"/>
              <w:left w:val="nil"/>
              <w:bottom w:val="nil"/>
              <w:right w:val="nil"/>
            </w:tcBorders>
          </w:tcPr>
          <w:p w14:paraId="74774EB3"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-0.000186***</w:t>
            </w:r>
          </w:p>
        </w:tc>
        <w:tc>
          <w:tcPr>
            <w:tcW w:w="1239" w:type="dxa"/>
            <w:tcBorders>
              <w:top w:val="nil"/>
              <w:left w:val="nil"/>
              <w:bottom w:val="nil"/>
              <w:right w:val="nil"/>
            </w:tcBorders>
          </w:tcPr>
          <w:p w14:paraId="20130CE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(3.29e-05)</w:t>
            </w:r>
          </w:p>
        </w:tc>
      </w:tr>
      <w:tr w:rsidR="00ED532F" w:rsidRPr="009219BF" w14:paraId="1BAB2F78" w14:textId="77777777" w:rsidTr="00ED532F">
        <w:trPr>
          <w:trHeight w:val="144"/>
          <w:jc w:val="center"/>
        </w:trPr>
        <w:tc>
          <w:tcPr>
            <w:tcW w:w="4611" w:type="dxa"/>
            <w:tcBorders>
              <w:top w:val="nil"/>
              <w:left w:val="nil"/>
              <w:bottom w:val="nil"/>
              <w:right w:val="nil"/>
            </w:tcBorders>
          </w:tcPr>
          <w:p w14:paraId="40600066"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Household Size</w:t>
            </w:r>
          </w:p>
        </w:tc>
        <w:tc>
          <w:tcPr>
            <w:tcW w:w="1350" w:type="dxa"/>
            <w:tcBorders>
              <w:top w:val="nil"/>
              <w:left w:val="nil"/>
              <w:bottom w:val="nil"/>
              <w:right w:val="nil"/>
            </w:tcBorders>
          </w:tcPr>
          <w:p w14:paraId="3DFC1EFF" w14:textId="77777777" w:rsidR="00ED532F" w:rsidRPr="00702F5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0C3E0397" w14:textId="77777777" w:rsidR="00ED532F" w:rsidRPr="00702F5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421C815C" w14:textId="77777777" w:rsidR="00ED532F" w:rsidRPr="00702F5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5A9B8787" w14:textId="77777777" w:rsidR="00ED532F" w:rsidRPr="00702F5C"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12B6E572" w14:textId="77777777" w:rsidTr="00ED532F">
        <w:trPr>
          <w:trHeight w:val="144"/>
          <w:jc w:val="center"/>
        </w:trPr>
        <w:tc>
          <w:tcPr>
            <w:tcW w:w="4611" w:type="dxa"/>
            <w:tcBorders>
              <w:top w:val="nil"/>
              <w:left w:val="nil"/>
              <w:bottom w:val="nil"/>
              <w:right w:val="nil"/>
            </w:tcBorders>
          </w:tcPr>
          <w:p w14:paraId="1148D7E0"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1 </w:t>
            </w:r>
            <w:r w:rsidR="005C79F4" w:rsidRPr="005C79F4">
              <w:rPr>
                <w:rFonts w:ascii="Arial" w:hAnsi="Arial" w:cs="Arial"/>
                <w:sz w:val="16"/>
                <w:szCs w:val="16"/>
                <w:vertAlign w:val="superscript"/>
              </w:rPr>
              <w:t>2</w:t>
            </w:r>
          </w:p>
        </w:tc>
        <w:tc>
          <w:tcPr>
            <w:tcW w:w="1350" w:type="dxa"/>
            <w:tcBorders>
              <w:top w:val="nil"/>
              <w:left w:val="nil"/>
              <w:bottom w:val="nil"/>
              <w:right w:val="nil"/>
            </w:tcBorders>
          </w:tcPr>
          <w:p w14:paraId="328E7894"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-0.115*</w:t>
            </w:r>
            <w:r w:rsidR="000C5578" w:rsidRPr="000C5578">
              <w:rPr>
                <w:rFonts w:ascii="Arial Narrow" w:eastAsia="Times New Roman" w:hAnsi="Arial Narrow" w:cs="Arial"/>
                <w:b/>
                <w:sz w:val="16"/>
                <w:szCs w:val="16"/>
                <w:vertAlign w:val="superscript"/>
              </w:rPr>
              <w:t>1</w:t>
            </w:r>
          </w:p>
        </w:tc>
        <w:tc>
          <w:tcPr>
            <w:tcW w:w="1350" w:type="dxa"/>
            <w:tcBorders>
              <w:top w:val="nil"/>
              <w:left w:val="nil"/>
              <w:bottom w:val="nil"/>
              <w:right w:val="nil"/>
            </w:tcBorders>
          </w:tcPr>
          <w:p w14:paraId="1EB49531"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(0.0604)</w:t>
            </w:r>
          </w:p>
        </w:tc>
        <w:tc>
          <w:tcPr>
            <w:tcW w:w="1101" w:type="dxa"/>
            <w:tcBorders>
              <w:top w:val="nil"/>
              <w:left w:val="nil"/>
              <w:bottom w:val="nil"/>
              <w:right w:val="nil"/>
            </w:tcBorders>
          </w:tcPr>
          <w:p w14:paraId="10CC40F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-0.0793</w:t>
            </w:r>
          </w:p>
        </w:tc>
        <w:tc>
          <w:tcPr>
            <w:tcW w:w="1239" w:type="dxa"/>
            <w:tcBorders>
              <w:top w:val="nil"/>
              <w:left w:val="nil"/>
              <w:bottom w:val="nil"/>
              <w:right w:val="nil"/>
            </w:tcBorders>
          </w:tcPr>
          <w:p w14:paraId="06E4CDC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(0.0613)</w:t>
            </w:r>
          </w:p>
        </w:tc>
      </w:tr>
      <w:tr w:rsidR="00ED532F" w:rsidRPr="009219BF" w14:paraId="62321935" w14:textId="77777777" w:rsidTr="00ED532F">
        <w:trPr>
          <w:trHeight w:val="144"/>
          <w:jc w:val="center"/>
        </w:trPr>
        <w:tc>
          <w:tcPr>
            <w:tcW w:w="4611" w:type="dxa"/>
            <w:tcBorders>
              <w:top w:val="nil"/>
              <w:left w:val="nil"/>
              <w:bottom w:val="nil"/>
              <w:right w:val="nil"/>
            </w:tcBorders>
          </w:tcPr>
          <w:p w14:paraId="0D8D08F4"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&gt;5</w:t>
            </w:r>
          </w:p>
        </w:tc>
        <w:tc>
          <w:tcPr>
            <w:tcW w:w="1350" w:type="dxa"/>
            <w:tcBorders>
              <w:top w:val="nil"/>
              <w:left w:val="nil"/>
              <w:bottom w:val="nil"/>
              <w:right w:val="nil"/>
            </w:tcBorders>
          </w:tcPr>
          <w:p w14:paraId="769D3781"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0.0438***</w:t>
            </w:r>
          </w:p>
        </w:tc>
        <w:tc>
          <w:tcPr>
            <w:tcW w:w="1350" w:type="dxa"/>
            <w:tcBorders>
              <w:top w:val="nil"/>
              <w:left w:val="nil"/>
              <w:bottom w:val="nil"/>
              <w:right w:val="nil"/>
            </w:tcBorders>
          </w:tcPr>
          <w:p w14:paraId="086738EB"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(0.0121)</w:t>
            </w:r>
          </w:p>
        </w:tc>
        <w:tc>
          <w:tcPr>
            <w:tcW w:w="1101" w:type="dxa"/>
            <w:tcBorders>
              <w:top w:val="nil"/>
              <w:left w:val="nil"/>
              <w:bottom w:val="nil"/>
              <w:right w:val="nil"/>
            </w:tcBorders>
          </w:tcPr>
          <w:p w14:paraId="7AFF35F5"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0.0410***</w:t>
            </w:r>
          </w:p>
        </w:tc>
        <w:tc>
          <w:tcPr>
            <w:tcW w:w="1239" w:type="dxa"/>
            <w:tcBorders>
              <w:top w:val="nil"/>
              <w:left w:val="nil"/>
              <w:bottom w:val="nil"/>
              <w:right w:val="nil"/>
            </w:tcBorders>
          </w:tcPr>
          <w:p w14:paraId="2BC5E6C0"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(0.0105)</w:t>
            </w:r>
          </w:p>
        </w:tc>
      </w:tr>
      <w:tr w:rsidR="00ED532F" w:rsidRPr="009219BF" w14:paraId="452B01FB" w14:textId="77777777" w:rsidTr="00ED532F">
        <w:trPr>
          <w:trHeight w:val="144"/>
          <w:jc w:val="center"/>
        </w:trPr>
        <w:tc>
          <w:tcPr>
            <w:tcW w:w="4611" w:type="dxa"/>
            <w:tcBorders>
              <w:top w:val="nil"/>
              <w:left w:val="nil"/>
              <w:bottom w:val="nil"/>
              <w:right w:val="nil"/>
            </w:tcBorders>
          </w:tcPr>
          <w:p w14:paraId="36FDEEB4"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Sector</w:t>
            </w:r>
          </w:p>
        </w:tc>
        <w:tc>
          <w:tcPr>
            <w:tcW w:w="1350" w:type="dxa"/>
            <w:tcBorders>
              <w:top w:val="nil"/>
              <w:left w:val="nil"/>
              <w:bottom w:val="nil"/>
              <w:right w:val="nil"/>
            </w:tcBorders>
          </w:tcPr>
          <w:p w14:paraId="46BB512C"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350" w:type="dxa"/>
            <w:tcBorders>
              <w:top w:val="nil"/>
              <w:left w:val="nil"/>
              <w:bottom w:val="nil"/>
              <w:right w:val="nil"/>
            </w:tcBorders>
          </w:tcPr>
          <w:p w14:paraId="1B25E06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101" w:type="dxa"/>
            <w:tcBorders>
              <w:top w:val="nil"/>
              <w:left w:val="nil"/>
              <w:bottom w:val="nil"/>
              <w:right w:val="nil"/>
            </w:tcBorders>
          </w:tcPr>
          <w:p w14:paraId="171E739C"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239" w:type="dxa"/>
            <w:tcBorders>
              <w:top w:val="nil"/>
              <w:left w:val="nil"/>
              <w:bottom w:val="nil"/>
              <w:right w:val="nil"/>
            </w:tcBorders>
          </w:tcPr>
          <w:p w14:paraId="0645F740"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r>
      <w:tr w:rsidR="00ED532F" w:rsidRPr="009219BF" w14:paraId="09422FB1" w14:textId="77777777" w:rsidTr="00ED532F">
        <w:trPr>
          <w:trHeight w:val="144"/>
          <w:jc w:val="center"/>
        </w:trPr>
        <w:tc>
          <w:tcPr>
            <w:tcW w:w="4611" w:type="dxa"/>
            <w:tcBorders>
              <w:top w:val="nil"/>
              <w:left w:val="nil"/>
              <w:bottom w:val="nil"/>
              <w:right w:val="nil"/>
            </w:tcBorders>
          </w:tcPr>
          <w:p w14:paraId="1DF7C8B6"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 xml:space="preserve">  Urban</w:t>
            </w:r>
          </w:p>
        </w:tc>
        <w:tc>
          <w:tcPr>
            <w:tcW w:w="1350" w:type="dxa"/>
            <w:tcBorders>
              <w:top w:val="nil"/>
              <w:left w:val="nil"/>
              <w:bottom w:val="nil"/>
              <w:right w:val="nil"/>
            </w:tcBorders>
          </w:tcPr>
          <w:p w14:paraId="45DBAF61"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0.0464***</w:t>
            </w:r>
          </w:p>
        </w:tc>
        <w:tc>
          <w:tcPr>
            <w:tcW w:w="1350" w:type="dxa"/>
            <w:tcBorders>
              <w:top w:val="nil"/>
              <w:left w:val="nil"/>
              <w:bottom w:val="nil"/>
              <w:right w:val="nil"/>
            </w:tcBorders>
          </w:tcPr>
          <w:p w14:paraId="17E3FE1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(0.0118)</w:t>
            </w:r>
          </w:p>
        </w:tc>
        <w:tc>
          <w:tcPr>
            <w:tcW w:w="1101" w:type="dxa"/>
            <w:tcBorders>
              <w:top w:val="nil"/>
              <w:left w:val="nil"/>
              <w:bottom w:val="nil"/>
              <w:right w:val="nil"/>
            </w:tcBorders>
          </w:tcPr>
          <w:p w14:paraId="2097C11A"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0.0728***</w:t>
            </w:r>
          </w:p>
        </w:tc>
        <w:tc>
          <w:tcPr>
            <w:tcW w:w="1239" w:type="dxa"/>
            <w:tcBorders>
              <w:top w:val="nil"/>
              <w:left w:val="nil"/>
              <w:bottom w:val="nil"/>
              <w:right w:val="nil"/>
            </w:tcBorders>
          </w:tcPr>
          <w:p w14:paraId="78D7C8E0"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(0.0106)</w:t>
            </w:r>
          </w:p>
        </w:tc>
      </w:tr>
      <w:tr w:rsidR="00ED532F" w:rsidRPr="009219BF" w14:paraId="7BF0801B" w14:textId="77777777" w:rsidTr="00ED532F">
        <w:trPr>
          <w:trHeight w:val="144"/>
          <w:jc w:val="center"/>
        </w:trPr>
        <w:tc>
          <w:tcPr>
            <w:tcW w:w="4611" w:type="dxa"/>
            <w:tcBorders>
              <w:top w:val="nil"/>
              <w:left w:val="nil"/>
              <w:bottom w:val="nil"/>
              <w:right w:val="nil"/>
            </w:tcBorders>
          </w:tcPr>
          <w:p w14:paraId="4B2C4595"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Education</w:t>
            </w:r>
          </w:p>
        </w:tc>
        <w:tc>
          <w:tcPr>
            <w:tcW w:w="1350" w:type="dxa"/>
            <w:tcBorders>
              <w:top w:val="nil"/>
              <w:left w:val="nil"/>
              <w:bottom w:val="nil"/>
              <w:right w:val="nil"/>
            </w:tcBorders>
          </w:tcPr>
          <w:p w14:paraId="7C764C60"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nil"/>
              <w:left w:val="nil"/>
              <w:bottom w:val="nil"/>
              <w:right w:val="nil"/>
            </w:tcBorders>
          </w:tcPr>
          <w:p w14:paraId="615D0A9D"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nil"/>
              <w:left w:val="nil"/>
              <w:bottom w:val="nil"/>
              <w:right w:val="nil"/>
            </w:tcBorders>
          </w:tcPr>
          <w:p w14:paraId="496D2019"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nil"/>
              <w:left w:val="nil"/>
              <w:bottom w:val="nil"/>
              <w:right w:val="nil"/>
            </w:tcBorders>
          </w:tcPr>
          <w:p w14:paraId="7A752A9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2276A29A" w14:textId="77777777" w:rsidTr="00ED532F">
        <w:trPr>
          <w:trHeight w:val="144"/>
          <w:jc w:val="center"/>
        </w:trPr>
        <w:tc>
          <w:tcPr>
            <w:tcW w:w="4611" w:type="dxa"/>
            <w:tcBorders>
              <w:top w:val="nil"/>
              <w:left w:val="nil"/>
              <w:bottom w:val="nil"/>
              <w:right w:val="nil"/>
            </w:tcBorders>
          </w:tcPr>
          <w:p w14:paraId="546F7921"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1-4</w:t>
            </w:r>
          </w:p>
        </w:tc>
        <w:tc>
          <w:tcPr>
            <w:tcW w:w="1350" w:type="dxa"/>
            <w:tcBorders>
              <w:top w:val="nil"/>
              <w:left w:val="nil"/>
              <w:bottom w:val="nil"/>
              <w:right w:val="nil"/>
            </w:tcBorders>
          </w:tcPr>
          <w:p w14:paraId="5386C16D"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0.0480***</w:t>
            </w:r>
          </w:p>
        </w:tc>
        <w:tc>
          <w:tcPr>
            <w:tcW w:w="1350" w:type="dxa"/>
            <w:tcBorders>
              <w:top w:val="nil"/>
              <w:left w:val="nil"/>
              <w:bottom w:val="nil"/>
              <w:right w:val="nil"/>
            </w:tcBorders>
          </w:tcPr>
          <w:p w14:paraId="73B755A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(0.0181)</w:t>
            </w:r>
          </w:p>
        </w:tc>
        <w:tc>
          <w:tcPr>
            <w:tcW w:w="1101" w:type="dxa"/>
            <w:tcBorders>
              <w:top w:val="nil"/>
              <w:left w:val="nil"/>
              <w:bottom w:val="nil"/>
              <w:right w:val="nil"/>
            </w:tcBorders>
          </w:tcPr>
          <w:p w14:paraId="5B5DC673"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-0.0415***</w:t>
            </w:r>
          </w:p>
        </w:tc>
        <w:tc>
          <w:tcPr>
            <w:tcW w:w="1239" w:type="dxa"/>
            <w:tcBorders>
              <w:top w:val="nil"/>
              <w:left w:val="nil"/>
              <w:bottom w:val="nil"/>
              <w:right w:val="nil"/>
            </w:tcBorders>
          </w:tcPr>
          <w:p w14:paraId="37932170"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(0.0159)</w:t>
            </w:r>
          </w:p>
        </w:tc>
      </w:tr>
      <w:tr w:rsidR="00ED532F" w:rsidRPr="009219BF" w14:paraId="167C12C4" w14:textId="77777777" w:rsidTr="00ED532F">
        <w:trPr>
          <w:trHeight w:val="144"/>
          <w:jc w:val="center"/>
        </w:trPr>
        <w:tc>
          <w:tcPr>
            <w:tcW w:w="4611" w:type="dxa"/>
            <w:tcBorders>
              <w:top w:val="nil"/>
              <w:left w:val="nil"/>
              <w:bottom w:val="nil"/>
              <w:right w:val="nil"/>
            </w:tcBorders>
          </w:tcPr>
          <w:p w14:paraId="3C48AA6A"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 xml:space="preserve">  5-8</w:t>
            </w:r>
          </w:p>
        </w:tc>
        <w:tc>
          <w:tcPr>
            <w:tcW w:w="1350" w:type="dxa"/>
            <w:tcBorders>
              <w:top w:val="nil"/>
              <w:left w:val="nil"/>
              <w:bottom w:val="nil"/>
              <w:right w:val="nil"/>
            </w:tcBorders>
          </w:tcPr>
          <w:p w14:paraId="4ABE6E63"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0.0923***</w:t>
            </w:r>
          </w:p>
        </w:tc>
        <w:tc>
          <w:tcPr>
            <w:tcW w:w="1350" w:type="dxa"/>
            <w:tcBorders>
              <w:top w:val="nil"/>
              <w:left w:val="nil"/>
              <w:bottom w:val="nil"/>
              <w:right w:val="nil"/>
            </w:tcBorders>
          </w:tcPr>
          <w:p w14:paraId="069DA98E"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(0.0145)</w:t>
            </w:r>
          </w:p>
        </w:tc>
        <w:tc>
          <w:tcPr>
            <w:tcW w:w="1101" w:type="dxa"/>
            <w:tcBorders>
              <w:top w:val="nil"/>
              <w:left w:val="nil"/>
              <w:bottom w:val="nil"/>
              <w:right w:val="nil"/>
            </w:tcBorders>
          </w:tcPr>
          <w:p w14:paraId="697E5B0A"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0.0552***</w:t>
            </w:r>
          </w:p>
        </w:tc>
        <w:tc>
          <w:tcPr>
            <w:tcW w:w="1239" w:type="dxa"/>
            <w:tcBorders>
              <w:top w:val="nil"/>
              <w:left w:val="nil"/>
              <w:bottom w:val="nil"/>
              <w:right w:val="nil"/>
            </w:tcBorders>
          </w:tcPr>
          <w:p w14:paraId="2F778027"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(0.0127)</w:t>
            </w:r>
          </w:p>
        </w:tc>
      </w:tr>
      <w:tr w:rsidR="00ED532F" w:rsidRPr="009219BF" w14:paraId="5CD28A08" w14:textId="77777777" w:rsidTr="00ED532F">
        <w:trPr>
          <w:trHeight w:val="144"/>
          <w:jc w:val="center"/>
        </w:trPr>
        <w:tc>
          <w:tcPr>
            <w:tcW w:w="4611" w:type="dxa"/>
            <w:tcBorders>
              <w:top w:val="nil"/>
              <w:left w:val="nil"/>
              <w:bottom w:val="nil"/>
              <w:right w:val="nil"/>
            </w:tcBorders>
          </w:tcPr>
          <w:p w14:paraId="30E89E54"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 xml:space="preserve">  9-10</w:t>
            </w:r>
          </w:p>
        </w:tc>
        <w:tc>
          <w:tcPr>
            <w:tcW w:w="1350" w:type="dxa"/>
            <w:tcBorders>
              <w:top w:val="nil"/>
              <w:left w:val="nil"/>
              <w:bottom w:val="nil"/>
              <w:right w:val="nil"/>
            </w:tcBorders>
          </w:tcPr>
          <w:p w14:paraId="670ECE0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0.146***</w:t>
            </w:r>
          </w:p>
        </w:tc>
        <w:tc>
          <w:tcPr>
            <w:tcW w:w="1350" w:type="dxa"/>
            <w:tcBorders>
              <w:top w:val="nil"/>
              <w:left w:val="nil"/>
              <w:bottom w:val="nil"/>
              <w:right w:val="nil"/>
            </w:tcBorders>
          </w:tcPr>
          <w:p w14:paraId="3E03211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(0.0172)</w:t>
            </w:r>
          </w:p>
        </w:tc>
        <w:tc>
          <w:tcPr>
            <w:tcW w:w="1101" w:type="dxa"/>
            <w:tcBorders>
              <w:top w:val="nil"/>
              <w:left w:val="nil"/>
              <w:bottom w:val="nil"/>
              <w:right w:val="nil"/>
            </w:tcBorders>
          </w:tcPr>
          <w:p w14:paraId="19191F7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0.0836***</w:t>
            </w:r>
          </w:p>
        </w:tc>
        <w:tc>
          <w:tcPr>
            <w:tcW w:w="1239" w:type="dxa"/>
            <w:tcBorders>
              <w:top w:val="nil"/>
              <w:left w:val="nil"/>
              <w:bottom w:val="nil"/>
              <w:right w:val="nil"/>
            </w:tcBorders>
          </w:tcPr>
          <w:p w14:paraId="73D8BCDE"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(0.0145)</w:t>
            </w:r>
          </w:p>
        </w:tc>
      </w:tr>
      <w:tr w:rsidR="00ED532F" w:rsidRPr="009219BF" w14:paraId="0AF5FF7C" w14:textId="77777777" w:rsidTr="00ED532F">
        <w:trPr>
          <w:trHeight w:val="144"/>
          <w:jc w:val="center"/>
        </w:trPr>
        <w:tc>
          <w:tcPr>
            <w:tcW w:w="4611" w:type="dxa"/>
            <w:tcBorders>
              <w:top w:val="nil"/>
              <w:left w:val="nil"/>
              <w:bottom w:val="nil"/>
              <w:right w:val="nil"/>
            </w:tcBorders>
          </w:tcPr>
          <w:p w14:paraId="140638A4"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&gt;10</w:t>
            </w:r>
          </w:p>
        </w:tc>
        <w:tc>
          <w:tcPr>
            <w:tcW w:w="1350" w:type="dxa"/>
            <w:tcBorders>
              <w:top w:val="nil"/>
              <w:left w:val="nil"/>
              <w:bottom w:val="nil"/>
              <w:right w:val="nil"/>
            </w:tcBorders>
          </w:tcPr>
          <w:p w14:paraId="4DB795FD"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0.145***</w:t>
            </w:r>
          </w:p>
        </w:tc>
        <w:tc>
          <w:tcPr>
            <w:tcW w:w="1350" w:type="dxa"/>
            <w:tcBorders>
              <w:top w:val="nil"/>
              <w:left w:val="nil"/>
              <w:bottom w:val="nil"/>
              <w:right w:val="nil"/>
            </w:tcBorders>
          </w:tcPr>
          <w:p w14:paraId="1701DD6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(0.0198)</w:t>
            </w:r>
          </w:p>
        </w:tc>
        <w:tc>
          <w:tcPr>
            <w:tcW w:w="1101" w:type="dxa"/>
            <w:tcBorders>
              <w:top w:val="nil"/>
              <w:left w:val="nil"/>
              <w:bottom w:val="nil"/>
              <w:right w:val="nil"/>
            </w:tcBorders>
          </w:tcPr>
          <w:p w14:paraId="3D97B81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0.202***</w:t>
            </w:r>
          </w:p>
        </w:tc>
        <w:tc>
          <w:tcPr>
            <w:tcW w:w="1239" w:type="dxa"/>
            <w:tcBorders>
              <w:top w:val="nil"/>
              <w:left w:val="nil"/>
              <w:bottom w:val="nil"/>
              <w:right w:val="nil"/>
            </w:tcBorders>
          </w:tcPr>
          <w:p w14:paraId="007E5E58"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(0.0176)</w:t>
            </w:r>
          </w:p>
        </w:tc>
      </w:tr>
      <w:tr w:rsidR="00ED532F" w:rsidRPr="009219BF" w14:paraId="6D69E303" w14:textId="77777777" w:rsidTr="00ED532F">
        <w:trPr>
          <w:trHeight w:val="144"/>
          <w:jc w:val="center"/>
        </w:trPr>
        <w:tc>
          <w:tcPr>
            <w:tcW w:w="4611" w:type="dxa"/>
            <w:tcBorders>
              <w:top w:val="nil"/>
              <w:left w:val="nil"/>
              <w:bottom w:val="nil"/>
              <w:right w:val="nil"/>
            </w:tcBorders>
          </w:tcPr>
          <w:p w14:paraId="1A56DD4A"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Religion</w:t>
            </w:r>
          </w:p>
        </w:tc>
        <w:tc>
          <w:tcPr>
            <w:tcW w:w="1350" w:type="dxa"/>
            <w:tcBorders>
              <w:top w:val="nil"/>
              <w:left w:val="nil"/>
              <w:bottom w:val="nil"/>
              <w:right w:val="nil"/>
            </w:tcBorders>
          </w:tcPr>
          <w:p w14:paraId="1174296E"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30660C02"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55E77CE8"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2CAFC01D"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52FCAB53" w14:textId="77777777" w:rsidTr="00ED532F">
        <w:trPr>
          <w:trHeight w:val="144"/>
          <w:jc w:val="center"/>
        </w:trPr>
        <w:tc>
          <w:tcPr>
            <w:tcW w:w="4611" w:type="dxa"/>
            <w:tcBorders>
              <w:top w:val="nil"/>
              <w:left w:val="nil"/>
              <w:bottom w:val="nil"/>
              <w:right w:val="nil"/>
            </w:tcBorders>
          </w:tcPr>
          <w:p w14:paraId="1236D910"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 xml:space="preserve">  Muslim</w:t>
            </w:r>
          </w:p>
        </w:tc>
        <w:tc>
          <w:tcPr>
            <w:tcW w:w="1350" w:type="dxa"/>
            <w:tcBorders>
              <w:top w:val="nil"/>
              <w:left w:val="nil"/>
              <w:bottom w:val="nil"/>
              <w:right w:val="nil"/>
            </w:tcBorders>
          </w:tcPr>
          <w:p w14:paraId="5D31EEBD"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0.0552</w:t>
            </w:r>
          </w:p>
        </w:tc>
        <w:tc>
          <w:tcPr>
            <w:tcW w:w="1350" w:type="dxa"/>
            <w:tcBorders>
              <w:top w:val="nil"/>
              <w:left w:val="nil"/>
              <w:bottom w:val="nil"/>
              <w:right w:val="nil"/>
            </w:tcBorders>
          </w:tcPr>
          <w:p w14:paraId="5FA09DC7"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(0.0386)</w:t>
            </w:r>
          </w:p>
        </w:tc>
        <w:tc>
          <w:tcPr>
            <w:tcW w:w="1101" w:type="dxa"/>
            <w:tcBorders>
              <w:top w:val="nil"/>
              <w:left w:val="nil"/>
              <w:bottom w:val="nil"/>
              <w:right w:val="nil"/>
            </w:tcBorders>
          </w:tcPr>
          <w:p w14:paraId="2FD1C252"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-0.130***</w:t>
            </w:r>
          </w:p>
        </w:tc>
        <w:tc>
          <w:tcPr>
            <w:tcW w:w="1239" w:type="dxa"/>
            <w:tcBorders>
              <w:top w:val="nil"/>
              <w:left w:val="nil"/>
              <w:bottom w:val="nil"/>
              <w:right w:val="nil"/>
            </w:tcBorders>
          </w:tcPr>
          <w:p w14:paraId="1D189444"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(0.0353)</w:t>
            </w:r>
          </w:p>
        </w:tc>
      </w:tr>
      <w:tr w:rsidR="00ED532F" w:rsidRPr="009219BF" w14:paraId="24FF2F02" w14:textId="77777777" w:rsidTr="00ED532F">
        <w:trPr>
          <w:trHeight w:val="144"/>
          <w:jc w:val="center"/>
        </w:trPr>
        <w:tc>
          <w:tcPr>
            <w:tcW w:w="4611" w:type="dxa"/>
            <w:tcBorders>
              <w:top w:val="nil"/>
              <w:left w:val="nil"/>
              <w:bottom w:val="nil"/>
              <w:right w:val="nil"/>
            </w:tcBorders>
          </w:tcPr>
          <w:p w14:paraId="424578F4"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Others</w:t>
            </w:r>
          </w:p>
        </w:tc>
        <w:tc>
          <w:tcPr>
            <w:tcW w:w="1350" w:type="dxa"/>
            <w:tcBorders>
              <w:top w:val="nil"/>
              <w:left w:val="nil"/>
              <w:bottom w:val="nil"/>
              <w:right w:val="nil"/>
            </w:tcBorders>
          </w:tcPr>
          <w:p w14:paraId="7E3DEE65"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0.118***</w:t>
            </w:r>
          </w:p>
        </w:tc>
        <w:tc>
          <w:tcPr>
            <w:tcW w:w="1350" w:type="dxa"/>
            <w:tcBorders>
              <w:top w:val="nil"/>
              <w:left w:val="nil"/>
              <w:bottom w:val="nil"/>
              <w:right w:val="nil"/>
            </w:tcBorders>
          </w:tcPr>
          <w:p w14:paraId="28EF9D04"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(0.0267)</w:t>
            </w:r>
          </w:p>
        </w:tc>
        <w:tc>
          <w:tcPr>
            <w:tcW w:w="1101" w:type="dxa"/>
            <w:tcBorders>
              <w:top w:val="nil"/>
              <w:left w:val="nil"/>
              <w:bottom w:val="nil"/>
              <w:right w:val="nil"/>
            </w:tcBorders>
          </w:tcPr>
          <w:p w14:paraId="0B6773E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0.00638</w:t>
            </w:r>
          </w:p>
        </w:tc>
        <w:tc>
          <w:tcPr>
            <w:tcW w:w="1239" w:type="dxa"/>
            <w:tcBorders>
              <w:top w:val="nil"/>
              <w:left w:val="nil"/>
              <w:bottom w:val="nil"/>
              <w:right w:val="nil"/>
            </w:tcBorders>
          </w:tcPr>
          <w:p w14:paraId="1AD62968"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(0.0237)</w:t>
            </w:r>
          </w:p>
        </w:tc>
      </w:tr>
      <w:tr w:rsidR="00ED532F" w:rsidRPr="009219BF" w14:paraId="10B9FE71" w14:textId="77777777" w:rsidTr="00ED532F">
        <w:trPr>
          <w:trHeight w:val="144"/>
          <w:jc w:val="center"/>
        </w:trPr>
        <w:tc>
          <w:tcPr>
            <w:tcW w:w="4611" w:type="dxa"/>
            <w:tcBorders>
              <w:top w:val="nil"/>
              <w:left w:val="nil"/>
              <w:bottom w:val="nil"/>
              <w:right w:val="nil"/>
            </w:tcBorders>
          </w:tcPr>
          <w:p w14:paraId="6CBB2A5A"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Caste</w:t>
            </w:r>
          </w:p>
        </w:tc>
        <w:tc>
          <w:tcPr>
            <w:tcW w:w="1350" w:type="dxa"/>
            <w:tcBorders>
              <w:top w:val="nil"/>
              <w:left w:val="nil"/>
              <w:bottom w:val="nil"/>
              <w:right w:val="nil"/>
            </w:tcBorders>
          </w:tcPr>
          <w:p w14:paraId="6354BB99"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44ADD4FE"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5BD0EA24"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78B3470F"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35326961" w14:textId="77777777" w:rsidTr="00ED532F">
        <w:trPr>
          <w:trHeight w:val="144"/>
          <w:jc w:val="center"/>
        </w:trPr>
        <w:tc>
          <w:tcPr>
            <w:tcW w:w="4611" w:type="dxa"/>
            <w:tcBorders>
              <w:top w:val="nil"/>
              <w:left w:val="nil"/>
              <w:bottom w:val="nil"/>
              <w:right w:val="nil"/>
            </w:tcBorders>
          </w:tcPr>
          <w:p w14:paraId="4A62EF6B"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 xml:space="preserve">  Brahmin</w:t>
            </w:r>
          </w:p>
        </w:tc>
        <w:tc>
          <w:tcPr>
            <w:tcW w:w="1350" w:type="dxa"/>
            <w:tcBorders>
              <w:top w:val="nil"/>
              <w:left w:val="nil"/>
              <w:bottom w:val="nil"/>
              <w:right w:val="nil"/>
            </w:tcBorders>
          </w:tcPr>
          <w:p w14:paraId="5087C8D1"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-0.0114</w:t>
            </w:r>
          </w:p>
        </w:tc>
        <w:tc>
          <w:tcPr>
            <w:tcW w:w="1350" w:type="dxa"/>
            <w:tcBorders>
              <w:top w:val="nil"/>
              <w:left w:val="nil"/>
              <w:bottom w:val="nil"/>
              <w:right w:val="nil"/>
            </w:tcBorders>
          </w:tcPr>
          <w:p w14:paraId="042FD7D1"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(0.0226)</w:t>
            </w:r>
          </w:p>
        </w:tc>
        <w:tc>
          <w:tcPr>
            <w:tcW w:w="1101" w:type="dxa"/>
            <w:tcBorders>
              <w:top w:val="nil"/>
              <w:left w:val="nil"/>
              <w:bottom w:val="nil"/>
              <w:right w:val="nil"/>
            </w:tcBorders>
          </w:tcPr>
          <w:p w14:paraId="3A7710E4"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0.0187</w:t>
            </w:r>
          </w:p>
        </w:tc>
        <w:tc>
          <w:tcPr>
            <w:tcW w:w="1239" w:type="dxa"/>
            <w:tcBorders>
              <w:top w:val="nil"/>
              <w:left w:val="nil"/>
              <w:bottom w:val="nil"/>
              <w:right w:val="nil"/>
            </w:tcBorders>
          </w:tcPr>
          <w:p w14:paraId="04CFDBDD"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(0.0213)</w:t>
            </w:r>
          </w:p>
        </w:tc>
      </w:tr>
      <w:tr w:rsidR="00ED532F" w:rsidRPr="009219BF" w14:paraId="3FFE3D0D" w14:textId="77777777" w:rsidTr="00ED532F">
        <w:trPr>
          <w:trHeight w:val="144"/>
          <w:jc w:val="center"/>
        </w:trPr>
        <w:tc>
          <w:tcPr>
            <w:tcW w:w="4611" w:type="dxa"/>
            <w:tcBorders>
              <w:top w:val="nil"/>
              <w:left w:val="nil"/>
              <w:bottom w:val="nil"/>
              <w:right w:val="nil"/>
            </w:tcBorders>
          </w:tcPr>
          <w:p w14:paraId="6A017BA3"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 xml:space="preserve">  High Caste</w:t>
            </w:r>
          </w:p>
        </w:tc>
        <w:tc>
          <w:tcPr>
            <w:tcW w:w="1350" w:type="dxa"/>
            <w:tcBorders>
              <w:top w:val="nil"/>
              <w:left w:val="nil"/>
              <w:bottom w:val="nil"/>
              <w:right w:val="nil"/>
            </w:tcBorders>
          </w:tcPr>
          <w:p w14:paraId="55F10E68"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-0.0153</w:t>
            </w:r>
          </w:p>
        </w:tc>
        <w:tc>
          <w:tcPr>
            <w:tcW w:w="1350" w:type="dxa"/>
            <w:tcBorders>
              <w:top w:val="nil"/>
              <w:left w:val="nil"/>
              <w:bottom w:val="nil"/>
              <w:right w:val="nil"/>
            </w:tcBorders>
          </w:tcPr>
          <w:p w14:paraId="1BC27EBB"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(0.0155)</w:t>
            </w:r>
          </w:p>
        </w:tc>
        <w:tc>
          <w:tcPr>
            <w:tcW w:w="1101" w:type="dxa"/>
            <w:tcBorders>
              <w:top w:val="nil"/>
              <w:left w:val="nil"/>
              <w:bottom w:val="nil"/>
              <w:right w:val="nil"/>
            </w:tcBorders>
          </w:tcPr>
          <w:p w14:paraId="0F848256"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0.0266*</w:t>
            </w:r>
          </w:p>
        </w:tc>
        <w:tc>
          <w:tcPr>
            <w:tcW w:w="1239" w:type="dxa"/>
            <w:tcBorders>
              <w:top w:val="nil"/>
              <w:left w:val="nil"/>
              <w:bottom w:val="nil"/>
              <w:right w:val="nil"/>
            </w:tcBorders>
          </w:tcPr>
          <w:p w14:paraId="6988CBC5"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(0.0137)</w:t>
            </w:r>
          </w:p>
        </w:tc>
      </w:tr>
      <w:tr w:rsidR="00ED532F" w:rsidRPr="009219BF" w14:paraId="34877FA7" w14:textId="77777777" w:rsidTr="00ED532F">
        <w:trPr>
          <w:trHeight w:val="144"/>
          <w:jc w:val="center"/>
        </w:trPr>
        <w:tc>
          <w:tcPr>
            <w:tcW w:w="4611" w:type="dxa"/>
            <w:tcBorders>
              <w:top w:val="nil"/>
              <w:left w:val="nil"/>
              <w:bottom w:val="nil"/>
              <w:right w:val="nil"/>
            </w:tcBorders>
          </w:tcPr>
          <w:p w14:paraId="1778F890"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 xml:space="preserve">  Dalit</w:t>
            </w:r>
          </w:p>
        </w:tc>
        <w:tc>
          <w:tcPr>
            <w:tcW w:w="1350" w:type="dxa"/>
            <w:tcBorders>
              <w:top w:val="nil"/>
              <w:left w:val="nil"/>
              <w:bottom w:val="nil"/>
              <w:right w:val="nil"/>
            </w:tcBorders>
          </w:tcPr>
          <w:p w14:paraId="16E461D0"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-0.0664***</w:t>
            </w:r>
          </w:p>
        </w:tc>
        <w:tc>
          <w:tcPr>
            <w:tcW w:w="1350" w:type="dxa"/>
            <w:tcBorders>
              <w:top w:val="nil"/>
              <w:left w:val="nil"/>
              <w:bottom w:val="nil"/>
              <w:right w:val="nil"/>
            </w:tcBorders>
          </w:tcPr>
          <w:p w14:paraId="52893690"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(0.0154)</w:t>
            </w:r>
          </w:p>
        </w:tc>
        <w:tc>
          <w:tcPr>
            <w:tcW w:w="1101" w:type="dxa"/>
            <w:tcBorders>
              <w:top w:val="nil"/>
              <w:left w:val="nil"/>
              <w:bottom w:val="nil"/>
              <w:right w:val="nil"/>
            </w:tcBorders>
          </w:tcPr>
          <w:p w14:paraId="74FF0F85"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-0.0678***</w:t>
            </w:r>
          </w:p>
        </w:tc>
        <w:tc>
          <w:tcPr>
            <w:tcW w:w="1239" w:type="dxa"/>
            <w:tcBorders>
              <w:top w:val="nil"/>
              <w:left w:val="nil"/>
              <w:bottom w:val="nil"/>
              <w:right w:val="nil"/>
            </w:tcBorders>
          </w:tcPr>
          <w:p w14:paraId="78036004"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(0.0130)</w:t>
            </w:r>
          </w:p>
        </w:tc>
      </w:tr>
      <w:tr w:rsidR="00ED532F" w:rsidRPr="009219BF" w14:paraId="3310B8EA" w14:textId="77777777" w:rsidTr="00ED532F">
        <w:trPr>
          <w:trHeight w:val="144"/>
          <w:jc w:val="center"/>
        </w:trPr>
        <w:tc>
          <w:tcPr>
            <w:tcW w:w="4611" w:type="dxa"/>
            <w:tcBorders>
              <w:top w:val="nil"/>
              <w:left w:val="nil"/>
              <w:bottom w:val="nil"/>
              <w:right w:val="nil"/>
            </w:tcBorders>
          </w:tcPr>
          <w:p w14:paraId="4D38E96E"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Adivasi</w:t>
            </w:r>
          </w:p>
        </w:tc>
        <w:tc>
          <w:tcPr>
            <w:tcW w:w="1350" w:type="dxa"/>
            <w:tcBorders>
              <w:top w:val="nil"/>
              <w:left w:val="nil"/>
              <w:bottom w:val="nil"/>
              <w:right w:val="nil"/>
            </w:tcBorders>
          </w:tcPr>
          <w:p w14:paraId="1B6010E8"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0.0391*</w:t>
            </w:r>
          </w:p>
        </w:tc>
        <w:tc>
          <w:tcPr>
            <w:tcW w:w="1350" w:type="dxa"/>
            <w:tcBorders>
              <w:top w:val="nil"/>
              <w:left w:val="nil"/>
              <w:bottom w:val="nil"/>
              <w:right w:val="nil"/>
            </w:tcBorders>
          </w:tcPr>
          <w:p w14:paraId="4F7555FE"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(0.0207)</w:t>
            </w:r>
          </w:p>
        </w:tc>
        <w:tc>
          <w:tcPr>
            <w:tcW w:w="1101" w:type="dxa"/>
            <w:tcBorders>
              <w:top w:val="nil"/>
              <w:left w:val="nil"/>
              <w:bottom w:val="nil"/>
              <w:right w:val="nil"/>
            </w:tcBorders>
          </w:tcPr>
          <w:p w14:paraId="6370D693"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-0.0359*</w:t>
            </w:r>
          </w:p>
        </w:tc>
        <w:tc>
          <w:tcPr>
            <w:tcW w:w="1239" w:type="dxa"/>
            <w:tcBorders>
              <w:top w:val="nil"/>
              <w:left w:val="nil"/>
              <w:bottom w:val="nil"/>
              <w:right w:val="nil"/>
            </w:tcBorders>
          </w:tcPr>
          <w:p w14:paraId="7AE4B56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(0.0201)</w:t>
            </w:r>
          </w:p>
        </w:tc>
      </w:tr>
      <w:tr w:rsidR="00ED532F" w:rsidRPr="009219BF" w14:paraId="63C1D68B" w14:textId="77777777" w:rsidTr="00ED532F">
        <w:trPr>
          <w:trHeight w:val="144"/>
          <w:jc w:val="center"/>
        </w:trPr>
        <w:tc>
          <w:tcPr>
            <w:tcW w:w="4611" w:type="dxa"/>
            <w:tcBorders>
              <w:top w:val="nil"/>
              <w:left w:val="nil"/>
              <w:bottom w:val="nil"/>
              <w:right w:val="nil"/>
            </w:tcBorders>
          </w:tcPr>
          <w:p w14:paraId="2392CA57"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Others</w:t>
            </w:r>
          </w:p>
        </w:tc>
        <w:tc>
          <w:tcPr>
            <w:tcW w:w="1350" w:type="dxa"/>
            <w:tcBorders>
              <w:top w:val="nil"/>
              <w:left w:val="nil"/>
              <w:bottom w:val="nil"/>
              <w:right w:val="nil"/>
            </w:tcBorders>
          </w:tcPr>
          <w:p w14:paraId="51694392"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-0.0830**</w:t>
            </w:r>
          </w:p>
        </w:tc>
        <w:tc>
          <w:tcPr>
            <w:tcW w:w="1350" w:type="dxa"/>
            <w:tcBorders>
              <w:top w:val="nil"/>
              <w:left w:val="nil"/>
              <w:bottom w:val="nil"/>
              <w:right w:val="nil"/>
            </w:tcBorders>
          </w:tcPr>
          <w:p w14:paraId="4E521B52"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(0.0368)</w:t>
            </w:r>
          </w:p>
        </w:tc>
        <w:tc>
          <w:tcPr>
            <w:tcW w:w="1101" w:type="dxa"/>
            <w:tcBorders>
              <w:top w:val="nil"/>
              <w:left w:val="nil"/>
              <w:bottom w:val="nil"/>
              <w:right w:val="nil"/>
            </w:tcBorders>
          </w:tcPr>
          <w:p w14:paraId="3EEEE61E"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0.0847**</w:t>
            </w:r>
          </w:p>
        </w:tc>
        <w:tc>
          <w:tcPr>
            <w:tcW w:w="1239" w:type="dxa"/>
            <w:tcBorders>
              <w:top w:val="nil"/>
              <w:left w:val="nil"/>
              <w:bottom w:val="nil"/>
              <w:right w:val="nil"/>
            </w:tcBorders>
          </w:tcPr>
          <w:p w14:paraId="6DFED1C1"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(0.0337)</w:t>
            </w:r>
          </w:p>
        </w:tc>
      </w:tr>
      <w:tr w:rsidR="00ED532F" w:rsidRPr="009219BF" w14:paraId="2434D141" w14:textId="77777777" w:rsidTr="00FB113C">
        <w:trPr>
          <w:trHeight w:val="144"/>
          <w:jc w:val="center"/>
        </w:trPr>
        <w:tc>
          <w:tcPr>
            <w:tcW w:w="4611" w:type="dxa"/>
            <w:tcBorders>
              <w:top w:val="nil"/>
              <w:left w:val="nil"/>
              <w:right w:val="nil"/>
            </w:tcBorders>
          </w:tcPr>
          <w:p w14:paraId="1E506F09"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Household remittance</w:t>
            </w:r>
          </w:p>
        </w:tc>
        <w:tc>
          <w:tcPr>
            <w:tcW w:w="1350" w:type="dxa"/>
            <w:tcBorders>
              <w:top w:val="nil"/>
              <w:left w:val="nil"/>
              <w:right w:val="nil"/>
            </w:tcBorders>
          </w:tcPr>
          <w:p w14:paraId="0EC06C43"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nil"/>
              <w:left w:val="nil"/>
              <w:right w:val="nil"/>
            </w:tcBorders>
          </w:tcPr>
          <w:p w14:paraId="0705FE7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nil"/>
              <w:left w:val="nil"/>
              <w:right w:val="nil"/>
            </w:tcBorders>
          </w:tcPr>
          <w:p w14:paraId="0BFFD095"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right w:val="nil"/>
            </w:tcBorders>
          </w:tcPr>
          <w:p w14:paraId="6FF1A43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0A207305" w14:textId="77777777" w:rsidTr="009B592E">
        <w:trPr>
          <w:trHeight w:val="144"/>
          <w:jc w:val="center"/>
        </w:trPr>
        <w:tc>
          <w:tcPr>
            <w:tcW w:w="4611" w:type="dxa"/>
            <w:tcBorders>
              <w:top w:val="nil"/>
              <w:left w:val="nil"/>
              <w:bottom w:val="single" w:sz="4" w:space="0" w:color="auto"/>
              <w:right w:val="nil"/>
            </w:tcBorders>
          </w:tcPr>
          <w:p w14:paraId="194C825B"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Yes</w:t>
            </w:r>
          </w:p>
        </w:tc>
        <w:tc>
          <w:tcPr>
            <w:tcW w:w="1350" w:type="dxa"/>
            <w:tcBorders>
              <w:top w:val="nil"/>
              <w:left w:val="nil"/>
              <w:bottom w:val="single" w:sz="4" w:space="0" w:color="auto"/>
              <w:right w:val="nil"/>
            </w:tcBorders>
          </w:tcPr>
          <w:p w14:paraId="2731AB6F"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0.0673***</w:t>
            </w:r>
          </w:p>
        </w:tc>
        <w:tc>
          <w:tcPr>
            <w:tcW w:w="1350" w:type="dxa"/>
            <w:tcBorders>
              <w:top w:val="nil"/>
              <w:left w:val="nil"/>
              <w:bottom w:val="single" w:sz="4" w:space="0" w:color="auto"/>
              <w:right w:val="nil"/>
            </w:tcBorders>
          </w:tcPr>
          <w:p w14:paraId="378A9B04"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(0.0261)</w:t>
            </w:r>
          </w:p>
        </w:tc>
        <w:tc>
          <w:tcPr>
            <w:tcW w:w="1101" w:type="dxa"/>
            <w:tcBorders>
              <w:top w:val="nil"/>
              <w:left w:val="nil"/>
              <w:bottom w:val="single" w:sz="4" w:space="0" w:color="auto"/>
              <w:right w:val="nil"/>
            </w:tcBorders>
          </w:tcPr>
          <w:p w14:paraId="5B69AC30"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-0.0345</w:t>
            </w:r>
          </w:p>
        </w:tc>
        <w:tc>
          <w:tcPr>
            <w:tcW w:w="1239" w:type="dxa"/>
            <w:tcBorders>
              <w:top w:val="nil"/>
              <w:left w:val="nil"/>
              <w:bottom w:val="single" w:sz="4" w:space="0" w:color="auto"/>
              <w:right w:val="nil"/>
            </w:tcBorders>
          </w:tcPr>
          <w:p w14:paraId="7FFF8F1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(0.0219)</w:t>
            </w:r>
          </w:p>
        </w:tc>
      </w:tr>
      <w:tr w:rsidR="00FB113C" w:rsidRPr="009219BF" w14:paraId="464FF51F" w14:textId="77777777" w:rsidTr="009B592E">
        <w:trPr>
          <w:trHeight w:val="144"/>
          <w:jc w:val="center"/>
        </w:trPr>
        <w:tc>
          <w:tcPr>
            <w:tcW w:w="4611" w:type="dxa"/>
            <w:tcBorders>
              <w:top w:val="single" w:sz="4" w:space="0" w:color="auto"/>
              <w:left w:val="nil"/>
              <w:bottom w:val="single" w:sz="4" w:space="0" w:color="auto"/>
              <w:right w:val="nil"/>
            </w:tcBorders>
          </w:tcPr>
          <w:p w14:paraId="19E93367" w14:textId="77777777" w:rsidR="00FB113C" w:rsidRPr="000C41DE" w:rsidRDefault="00FB113C" w:rsidP="000C41DE">
            <w:pPr>
              <w:pStyle w:val="ListParagraph"/>
              <w:widowControl w:val="0"/>
              <w:numPr>
                <w:ilvl w:val="0"/>
                <w:numId w:val="13"/>
              </w:numPr>
              <w:autoSpaceDE w:val="0"/>
              <w:autoSpaceDN w:val="0"/>
              <w:adjustRightInd w:val="0"/>
              <w:spacing w:after="0" w:line="240" w:lineRule="auto"/>
              <w:rPr>
                <w:rFonts w:ascii="Arial" w:hAnsi="Arial" w:cs="Arial"/>
                <w:b/>
                <w:i/>
                <w:sz w:val="16"/>
                <w:szCs w:val="16"/>
              </w:rPr>
            </w:pPr>
            <w:r w:rsidRPr="000C41DE">
              <w:rPr>
                <w:rFonts w:ascii="Arial" w:hAnsi="Arial" w:cs="Arial"/>
                <w:b/>
                <w:i/>
                <w:sz w:val="16"/>
                <w:szCs w:val="16"/>
              </w:rPr>
              <w:t xml:space="preserve">Employment </w:t>
            </w:r>
            <w:r w:rsidR="00682B9C" w:rsidRPr="000C41DE">
              <w:rPr>
                <w:rFonts w:ascii="Arial" w:hAnsi="Arial" w:cs="Arial"/>
                <w:b/>
                <w:i/>
                <w:sz w:val="16"/>
                <w:szCs w:val="16"/>
              </w:rPr>
              <w:t>(2005)</w:t>
            </w:r>
          </w:p>
        </w:tc>
        <w:tc>
          <w:tcPr>
            <w:tcW w:w="1350" w:type="dxa"/>
            <w:tcBorders>
              <w:top w:val="single" w:sz="4" w:space="0" w:color="auto"/>
              <w:left w:val="nil"/>
              <w:bottom w:val="single" w:sz="4" w:space="0" w:color="auto"/>
              <w:right w:val="nil"/>
            </w:tcBorders>
          </w:tcPr>
          <w:p w14:paraId="2265ACD1" w14:textId="77777777" w:rsidR="00FB113C" w:rsidRPr="00D445FC"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single" w:sz="4" w:space="0" w:color="auto"/>
              <w:right w:val="nil"/>
            </w:tcBorders>
          </w:tcPr>
          <w:p w14:paraId="31A3A2D2" w14:textId="77777777" w:rsidR="00FB113C" w:rsidRPr="00D445FC"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single" w:sz="4" w:space="0" w:color="auto"/>
              <w:left w:val="nil"/>
              <w:bottom w:val="single" w:sz="4" w:space="0" w:color="auto"/>
              <w:right w:val="nil"/>
            </w:tcBorders>
          </w:tcPr>
          <w:p w14:paraId="6DAA2468" w14:textId="77777777" w:rsidR="00FB113C" w:rsidRPr="00D445FC"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single" w:sz="4" w:space="0" w:color="auto"/>
              <w:left w:val="nil"/>
              <w:bottom w:val="single" w:sz="4" w:space="0" w:color="auto"/>
              <w:right w:val="nil"/>
            </w:tcBorders>
          </w:tcPr>
          <w:p w14:paraId="3343ACFB" w14:textId="77777777" w:rsidR="00FB113C" w:rsidRPr="00D445FC" w:rsidRDefault="00FB113C"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7F79A827" w14:textId="77777777" w:rsidTr="009B592E">
        <w:trPr>
          <w:trHeight w:val="144"/>
          <w:jc w:val="center"/>
        </w:trPr>
        <w:tc>
          <w:tcPr>
            <w:tcW w:w="4611" w:type="dxa"/>
            <w:tcBorders>
              <w:top w:val="single" w:sz="4" w:space="0" w:color="auto"/>
              <w:left w:val="nil"/>
              <w:bottom w:val="nil"/>
              <w:right w:val="nil"/>
            </w:tcBorders>
          </w:tcPr>
          <w:p w14:paraId="047B7B3C"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Any Work</w:t>
            </w:r>
          </w:p>
        </w:tc>
        <w:tc>
          <w:tcPr>
            <w:tcW w:w="1350" w:type="dxa"/>
            <w:tcBorders>
              <w:top w:val="single" w:sz="4" w:space="0" w:color="auto"/>
              <w:left w:val="nil"/>
              <w:bottom w:val="nil"/>
              <w:right w:val="nil"/>
            </w:tcBorders>
          </w:tcPr>
          <w:p w14:paraId="10335F87"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350" w:type="dxa"/>
            <w:tcBorders>
              <w:top w:val="single" w:sz="4" w:space="0" w:color="auto"/>
              <w:left w:val="nil"/>
              <w:bottom w:val="nil"/>
              <w:right w:val="nil"/>
            </w:tcBorders>
          </w:tcPr>
          <w:p w14:paraId="1DE4706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101" w:type="dxa"/>
            <w:tcBorders>
              <w:top w:val="single" w:sz="4" w:space="0" w:color="auto"/>
              <w:left w:val="nil"/>
              <w:bottom w:val="nil"/>
              <w:right w:val="nil"/>
            </w:tcBorders>
          </w:tcPr>
          <w:p w14:paraId="5FB8AEED"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239" w:type="dxa"/>
            <w:tcBorders>
              <w:top w:val="single" w:sz="4" w:space="0" w:color="auto"/>
              <w:left w:val="nil"/>
              <w:bottom w:val="nil"/>
              <w:right w:val="nil"/>
            </w:tcBorders>
          </w:tcPr>
          <w:p w14:paraId="4B1BAAF0"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r>
      <w:tr w:rsidR="00ED532F" w:rsidRPr="009219BF" w14:paraId="633C5986" w14:textId="77777777" w:rsidTr="00ED532F">
        <w:trPr>
          <w:trHeight w:val="144"/>
          <w:jc w:val="center"/>
        </w:trPr>
        <w:tc>
          <w:tcPr>
            <w:tcW w:w="4611" w:type="dxa"/>
            <w:tcBorders>
              <w:top w:val="nil"/>
              <w:left w:val="nil"/>
              <w:bottom w:val="nil"/>
              <w:right w:val="nil"/>
            </w:tcBorders>
          </w:tcPr>
          <w:p w14:paraId="7934E0BE"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&lt; 240Hrs</w:t>
            </w:r>
          </w:p>
        </w:tc>
        <w:tc>
          <w:tcPr>
            <w:tcW w:w="1350" w:type="dxa"/>
            <w:tcBorders>
              <w:top w:val="nil"/>
              <w:left w:val="nil"/>
              <w:bottom w:val="nil"/>
              <w:right w:val="nil"/>
            </w:tcBorders>
          </w:tcPr>
          <w:p w14:paraId="7C9ECD8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0.0305*</w:t>
            </w:r>
          </w:p>
        </w:tc>
        <w:tc>
          <w:tcPr>
            <w:tcW w:w="1350" w:type="dxa"/>
            <w:tcBorders>
              <w:top w:val="nil"/>
              <w:left w:val="nil"/>
              <w:bottom w:val="nil"/>
              <w:right w:val="nil"/>
            </w:tcBorders>
          </w:tcPr>
          <w:p w14:paraId="733FEBFD"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(0.0185)</w:t>
            </w:r>
          </w:p>
        </w:tc>
        <w:tc>
          <w:tcPr>
            <w:tcW w:w="1101" w:type="dxa"/>
            <w:tcBorders>
              <w:top w:val="nil"/>
              <w:left w:val="nil"/>
              <w:bottom w:val="nil"/>
              <w:right w:val="nil"/>
            </w:tcBorders>
          </w:tcPr>
          <w:p w14:paraId="764D466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0.0290*</w:t>
            </w:r>
          </w:p>
        </w:tc>
        <w:tc>
          <w:tcPr>
            <w:tcW w:w="1239" w:type="dxa"/>
            <w:tcBorders>
              <w:top w:val="nil"/>
              <w:left w:val="nil"/>
              <w:bottom w:val="nil"/>
              <w:right w:val="nil"/>
            </w:tcBorders>
          </w:tcPr>
          <w:p w14:paraId="0D9333F1"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(0.0164)</w:t>
            </w:r>
          </w:p>
        </w:tc>
      </w:tr>
      <w:tr w:rsidR="00ED532F" w:rsidRPr="009219BF" w14:paraId="517F5404" w14:textId="77777777" w:rsidTr="00ED532F">
        <w:trPr>
          <w:trHeight w:val="144"/>
          <w:jc w:val="center"/>
        </w:trPr>
        <w:tc>
          <w:tcPr>
            <w:tcW w:w="4611" w:type="dxa"/>
            <w:tcBorders>
              <w:top w:val="nil"/>
              <w:left w:val="nil"/>
              <w:bottom w:val="nil"/>
              <w:right w:val="nil"/>
            </w:tcBorders>
          </w:tcPr>
          <w:p w14:paraId="1D4353A1"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Number of Working Adults (20-50) males in HH</w:t>
            </w:r>
          </w:p>
        </w:tc>
        <w:tc>
          <w:tcPr>
            <w:tcW w:w="1350" w:type="dxa"/>
            <w:tcBorders>
              <w:top w:val="nil"/>
              <w:left w:val="nil"/>
              <w:bottom w:val="nil"/>
              <w:right w:val="nil"/>
            </w:tcBorders>
          </w:tcPr>
          <w:p w14:paraId="3AEC1B2F"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nil"/>
              <w:left w:val="nil"/>
              <w:bottom w:val="nil"/>
              <w:right w:val="nil"/>
            </w:tcBorders>
          </w:tcPr>
          <w:p w14:paraId="0EDBAFCC"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nil"/>
              <w:left w:val="nil"/>
              <w:bottom w:val="nil"/>
              <w:right w:val="nil"/>
            </w:tcBorders>
          </w:tcPr>
          <w:p w14:paraId="1CF3D0CC"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nil"/>
              <w:left w:val="nil"/>
              <w:bottom w:val="nil"/>
              <w:right w:val="nil"/>
            </w:tcBorders>
          </w:tcPr>
          <w:p w14:paraId="509DD19D"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728D2FC9" w14:textId="77777777" w:rsidTr="00ED532F">
        <w:trPr>
          <w:trHeight w:val="144"/>
          <w:jc w:val="center"/>
        </w:trPr>
        <w:tc>
          <w:tcPr>
            <w:tcW w:w="4611" w:type="dxa"/>
            <w:tcBorders>
              <w:top w:val="nil"/>
              <w:left w:val="nil"/>
              <w:bottom w:val="nil"/>
              <w:right w:val="nil"/>
            </w:tcBorders>
          </w:tcPr>
          <w:p w14:paraId="1CC71172"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0</w:t>
            </w:r>
          </w:p>
        </w:tc>
        <w:tc>
          <w:tcPr>
            <w:tcW w:w="1350" w:type="dxa"/>
            <w:tcBorders>
              <w:top w:val="nil"/>
              <w:left w:val="nil"/>
              <w:bottom w:val="nil"/>
              <w:right w:val="nil"/>
            </w:tcBorders>
          </w:tcPr>
          <w:p w14:paraId="1BF4FCC9"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-0.0874***</w:t>
            </w:r>
          </w:p>
        </w:tc>
        <w:tc>
          <w:tcPr>
            <w:tcW w:w="1350" w:type="dxa"/>
            <w:tcBorders>
              <w:top w:val="nil"/>
              <w:left w:val="nil"/>
              <w:bottom w:val="nil"/>
              <w:right w:val="nil"/>
            </w:tcBorders>
          </w:tcPr>
          <w:p w14:paraId="2092719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(0.0150)</w:t>
            </w:r>
          </w:p>
        </w:tc>
        <w:tc>
          <w:tcPr>
            <w:tcW w:w="1101" w:type="dxa"/>
            <w:tcBorders>
              <w:top w:val="nil"/>
              <w:left w:val="nil"/>
              <w:bottom w:val="nil"/>
              <w:right w:val="nil"/>
            </w:tcBorders>
          </w:tcPr>
          <w:p w14:paraId="2D1CFED5"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0.0481***</w:t>
            </w:r>
          </w:p>
        </w:tc>
        <w:tc>
          <w:tcPr>
            <w:tcW w:w="1239" w:type="dxa"/>
            <w:tcBorders>
              <w:top w:val="nil"/>
              <w:left w:val="nil"/>
              <w:bottom w:val="nil"/>
              <w:right w:val="nil"/>
            </w:tcBorders>
          </w:tcPr>
          <w:p w14:paraId="4C68FBB5"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(0.0127)</w:t>
            </w:r>
          </w:p>
        </w:tc>
      </w:tr>
      <w:tr w:rsidR="00ED532F" w:rsidRPr="009219BF" w14:paraId="78993CA7" w14:textId="77777777" w:rsidTr="00ED532F">
        <w:trPr>
          <w:trHeight w:val="144"/>
          <w:jc w:val="center"/>
        </w:trPr>
        <w:tc>
          <w:tcPr>
            <w:tcW w:w="4611" w:type="dxa"/>
            <w:tcBorders>
              <w:top w:val="nil"/>
              <w:left w:val="nil"/>
              <w:bottom w:val="nil"/>
              <w:right w:val="nil"/>
            </w:tcBorders>
          </w:tcPr>
          <w:p w14:paraId="2D6F147A"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&gt;=2</w:t>
            </w:r>
          </w:p>
        </w:tc>
        <w:tc>
          <w:tcPr>
            <w:tcW w:w="1350" w:type="dxa"/>
            <w:tcBorders>
              <w:top w:val="nil"/>
              <w:left w:val="nil"/>
              <w:bottom w:val="nil"/>
              <w:right w:val="nil"/>
            </w:tcBorders>
          </w:tcPr>
          <w:p w14:paraId="197159E0"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0.0510***</w:t>
            </w:r>
          </w:p>
        </w:tc>
        <w:tc>
          <w:tcPr>
            <w:tcW w:w="1350" w:type="dxa"/>
            <w:tcBorders>
              <w:top w:val="nil"/>
              <w:left w:val="nil"/>
              <w:bottom w:val="nil"/>
              <w:right w:val="nil"/>
            </w:tcBorders>
          </w:tcPr>
          <w:p w14:paraId="2C9199C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(0.0187)</w:t>
            </w:r>
          </w:p>
        </w:tc>
        <w:tc>
          <w:tcPr>
            <w:tcW w:w="1101" w:type="dxa"/>
            <w:tcBorders>
              <w:top w:val="nil"/>
              <w:left w:val="nil"/>
              <w:bottom w:val="nil"/>
              <w:right w:val="nil"/>
            </w:tcBorders>
          </w:tcPr>
          <w:p w14:paraId="68C531FF"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-0.142***</w:t>
            </w:r>
          </w:p>
        </w:tc>
        <w:tc>
          <w:tcPr>
            <w:tcW w:w="1239" w:type="dxa"/>
            <w:tcBorders>
              <w:top w:val="nil"/>
              <w:left w:val="nil"/>
              <w:bottom w:val="nil"/>
              <w:right w:val="nil"/>
            </w:tcBorders>
          </w:tcPr>
          <w:p w14:paraId="701BE125"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(0.0160)</w:t>
            </w:r>
          </w:p>
        </w:tc>
      </w:tr>
      <w:tr w:rsidR="00ED532F" w:rsidRPr="009219BF" w14:paraId="199C11DF" w14:textId="77777777" w:rsidTr="00ED532F">
        <w:trPr>
          <w:trHeight w:val="144"/>
          <w:jc w:val="center"/>
        </w:trPr>
        <w:tc>
          <w:tcPr>
            <w:tcW w:w="4611" w:type="dxa"/>
            <w:tcBorders>
              <w:top w:val="nil"/>
              <w:left w:val="nil"/>
              <w:bottom w:val="nil"/>
              <w:right w:val="nil"/>
            </w:tcBorders>
          </w:tcPr>
          <w:p w14:paraId="29B8C862"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Number of Working Adults (20-50) Females in HH</w:t>
            </w:r>
          </w:p>
        </w:tc>
        <w:tc>
          <w:tcPr>
            <w:tcW w:w="1350" w:type="dxa"/>
            <w:tcBorders>
              <w:top w:val="nil"/>
              <w:left w:val="nil"/>
              <w:bottom w:val="nil"/>
              <w:right w:val="nil"/>
            </w:tcBorders>
          </w:tcPr>
          <w:p w14:paraId="30EC18DE"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6C82B824"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6DDF1F75"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23C6B860"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4EE71831" w14:textId="77777777" w:rsidTr="00FB113C">
        <w:trPr>
          <w:trHeight w:val="144"/>
          <w:jc w:val="center"/>
        </w:trPr>
        <w:tc>
          <w:tcPr>
            <w:tcW w:w="4611" w:type="dxa"/>
            <w:tcBorders>
              <w:top w:val="nil"/>
              <w:left w:val="nil"/>
              <w:right w:val="nil"/>
            </w:tcBorders>
          </w:tcPr>
          <w:p w14:paraId="13664712"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 xml:space="preserve">  1</w:t>
            </w:r>
          </w:p>
        </w:tc>
        <w:tc>
          <w:tcPr>
            <w:tcW w:w="1350" w:type="dxa"/>
            <w:tcBorders>
              <w:top w:val="nil"/>
              <w:left w:val="nil"/>
              <w:right w:val="nil"/>
            </w:tcBorders>
          </w:tcPr>
          <w:p w14:paraId="55C133B6"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0.00927</w:t>
            </w:r>
          </w:p>
        </w:tc>
        <w:tc>
          <w:tcPr>
            <w:tcW w:w="1350" w:type="dxa"/>
            <w:tcBorders>
              <w:top w:val="nil"/>
              <w:left w:val="nil"/>
              <w:right w:val="nil"/>
            </w:tcBorders>
          </w:tcPr>
          <w:p w14:paraId="6FE9B377"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(0.0119)</w:t>
            </w:r>
          </w:p>
        </w:tc>
        <w:tc>
          <w:tcPr>
            <w:tcW w:w="1101" w:type="dxa"/>
            <w:tcBorders>
              <w:top w:val="nil"/>
              <w:left w:val="nil"/>
              <w:right w:val="nil"/>
            </w:tcBorders>
          </w:tcPr>
          <w:p w14:paraId="7396E113"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0.00308</w:t>
            </w:r>
          </w:p>
        </w:tc>
        <w:tc>
          <w:tcPr>
            <w:tcW w:w="1239" w:type="dxa"/>
            <w:tcBorders>
              <w:top w:val="nil"/>
              <w:left w:val="nil"/>
              <w:right w:val="nil"/>
            </w:tcBorders>
          </w:tcPr>
          <w:p w14:paraId="7E45980D"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(0.0103)</w:t>
            </w:r>
          </w:p>
        </w:tc>
      </w:tr>
      <w:tr w:rsidR="00ED532F" w:rsidRPr="009219BF" w14:paraId="60D0CF92" w14:textId="77777777" w:rsidTr="009B592E">
        <w:trPr>
          <w:trHeight w:val="144"/>
          <w:jc w:val="center"/>
        </w:trPr>
        <w:tc>
          <w:tcPr>
            <w:tcW w:w="4611" w:type="dxa"/>
            <w:tcBorders>
              <w:top w:val="nil"/>
              <w:left w:val="nil"/>
              <w:bottom w:val="single" w:sz="4" w:space="0" w:color="auto"/>
              <w:right w:val="nil"/>
            </w:tcBorders>
          </w:tcPr>
          <w:p w14:paraId="1297F82E" w14:textId="77777777" w:rsidR="00ED532F" w:rsidRPr="00D445FC" w:rsidRDefault="00ED532F" w:rsidP="00ED532F">
            <w:pPr>
              <w:widowControl w:val="0"/>
              <w:autoSpaceDE w:val="0"/>
              <w:autoSpaceDN w:val="0"/>
              <w:adjustRightInd w:val="0"/>
              <w:spacing w:after="0" w:line="240" w:lineRule="auto"/>
              <w:rPr>
                <w:rFonts w:ascii="Arial" w:hAnsi="Arial" w:cs="Arial"/>
                <w:sz w:val="16"/>
                <w:szCs w:val="16"/>
              </w:rPr>
            </w:pPr>
            <w:r w:rsidRPr="00D445FC">
              <w:rPr>
                <w:rFonts w:ascii="Arial" w:hAnsi="Arial" w:cs="Arial"/>
                <w:sz w:val="16"/>
                <w:szCs w:val="16"/>
              </w:rPr>
              <w:t>&gt;=2</w:t>
            </w:r>
          </w:p>
        </w:tc>
        <w:tc>
          <w:tcPr>
            <w:tcW w:w="1350" w:type="dxa"/>
            <w:tcBorders>
              <w:top w:val="nil"/>
              <w:left w:val="nil"/>
              <w:bottom w:val="single" w:sz="4" w:space="0" w:color="auto"/>
              <w:right w:val="nil"/>
            </w:tcBorders>
          </w:tcPr>
          <w:p w14:paraId="6B18B129"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0.0367</w:t>
            </w:r>
          </w:p>
        </w:tc>
        <w:tc>
          <w:tcPr>
            <w:tcW w:w="1350" w:type="dxa"/>
            <w:tcBorders>
              <w:top w:val="nil"/>
              <w:left w:val="nil"/>
              <w:bottom w:val="single" w:sz="4" w:space="0" w:color="auto"/>
              <w:right w:val="nil"/>
            </w:tcBorders>
          </w:tcPr>
          <w:p w14:paraId="2D51516E"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(0.0298)</w:t>
            </w:r>
          </w:p>
        </w:tc>
        <w:tc>
          <w:tcPr>
            <w:tcW w:w="1101" w:type="dxa"/>
            <w:tcBorders>
              <w:top w:val="nil"/>
              <w:left w:val="nil"/>
              <w:bottom w:val="single" w:sz="4" w:space="0" w:color="auto"/>
              <w:right w:val="nil"/>
            </w:tcBorders>
          </w:tcPr>
          <w:p w14:paraId="23ADB338"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-0.102***</w:t>
            </w:r>
          </w:p>
        </w:tc>
        <w:tc>
          <w:tcPr>
            <w:tcW w:w="1239" w:type="dxa"/>
            <w:tcBorders>
              <w:top w:val="nil"/>
              <w:left w:val="nil"/>
              <w:bottom w:val="single" w:sz="4" w:space="0" w:color="auto"/>
              <w:right w:val="nil"/>
            </w:tcBorders>
          </w:tcPr>
          <w:p w14:paraId="59C11F0B" w14:textId="77777777" w:rsidR="00ED532F" w:rsidRPr="00D445FC" w:rsidRDefault="00ED532F" w:rsidP="00ED532F">
            <w:pPr>
              <w:widowControl w:val="0"/>
              <w:autoSpaceDE w:val="0"/>
              <w:autoSpaceDN w:val="0"/>
              <w:adjustRightInd w:val="0"/>
              <w:spacing w:after="0" w:line="240" w:lineRule="auto"/>
              <w:jc w:val="center"/>
              <w:rPr>
                <w:rFonts w:ascii="Arial" w:hAnsi="Arial" w:cs="Arial"/>
                <w:sz w:val="16"/>
                <w:szCs w:val="16"/>
              </w:rPr>
            </w:pPr>
            <w:r w:rsidRPr="00D445FC">
              <w:rPr>
                <w:rFonts w:ascii="Arial" w:hAnsi="Arial" w:cs="Arial"/>
                <w:sz w:val="16"/>
                <w:szCs w:val="16"/>
              </w:rPr>
              <w:t>(0.0272)</w:t>
            </w:r>
          </w:p>
        </w:tc>
      </w:tr>
      <w:tr w:rsidR="00FB113C" w:rsidRPr="009219BF" w14:paraId="3B798967" w14:textId="77777777" w:rsidTr="009B592E">
        <w:trPr>
          <w:trHeight w:val="144"/>
          <w:jc w:val="center"/>
        </w:trPr>
        <w:tc>
          <w:tcPr>
            <w:tcW w:w="4611" w:type="dxa"/>
            <w:tcBorders>
              <w:top w:val="single" w:sz="4" w:space="0" w:color="auto"/>
              <w:left w:val="nil"/>
              <w:bottom w:val="single" w:sz="4" w:space="0" w:color="auto"/>
              <w:right w:val="nil"/>
            </w:tcBorders>
          </w:tcPr>
          <w:p w14:paraId="45B8076E" w14:textId="77777777" w:rsidR="00FB113C" w:rsidRPr="009B592E" w:rsidRDefault="009B592E" w:rsidP="009B592E">
            <w:pPr>
              <w:widowControl w:val="0"/>
              <w:autoSpaceDE w:val="0"/>
              <w:autoSpaceDN w:val="0"/>
              <w:adjustRightInd w:val="0"/>
              <w:spacing w:after="0" w:line="240" w:lineRule="auto"/>
              <w:rPr>
                <w:rFonts w:ascii="Arial" w:hAnsi="Arial" w:cs="Arial"/>
                <w:b/>
                <w:sz w:val="16"/>
                <w:szCs w:val="16"/>
              </w:rPr>
            </w:pPr>
            <w:r w:rsidRPr="009B592E">
              <w:rPr>
                <w:rFonts w:ascii="Arial" w:hAnsi="Arial" w:cs="Arial"/>
                <w:b/>
                <w:i/>
                <w:sz w:val="16"/>
                <w:szCs w:val="16"/>
              </w:rPr>
              <w:t xml:space="preserve">(3) </w:t>
            </w:r>
            <w:r w:rsidR="00FB113C" w:rsidRPr="009B592E">
              <w:rPr>
                <w:rFonts w:ascii="Arial" w:hAnsi="Arial" w:cs="Arial"/>
                <w:b/>
                <w:i/>
                <w:sz w:val="16"/>
                <w:szCs w:val="16"/>
              </w:rPr>
              <w:t>Health &amp; Disability</w:t>
            </w:r>
            <w:r w:rsidR="00682B9C">
              <w:rPr>
                <w:rFonts w:ascii="Arial" w:hAnsi="Arial" w:cs="Arial"/>
                <w:b/>
                <w:i/>
                <w:sz w:val="16"/>
                <w:szCs w:val="16"/>
              </w:rPr>
              <w:t xml:space="preserve"> (2005)</w:t>
            </w:r>
          </w:p>
        </w:tc>
        <w:tc>
          <w:tcPr>
            <w:tcW w:w="1350" w:type="dxa"/>
            <w:tcBorders>
              <w:top w:val="single" w:sz="4" w:space="0" w:color="auto"/>
              <w:left w:val="nil"/>
              <w:bottom w:val="single" w:sz="4" w:space="0" w:color="auto"/>
              <w:right w:val="nil"/>
            </w:tcBorders>
          </w:tcPr>
          <w:p w14:paraId="4001D64F" w14:textId="77777777" w:rsidR="00FB113C" w:rsidRPr="00D445FC" w:rsidRDefault="00FB113C"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single" w:sz="4" w:space="0" w:color="auto"/>
              <w:left w:val="nil"/>
              <w:bottom w:val="single" w:sz="4" w:space="0" w:color="auto"/>
              <w:right w:val="nil"/>
            </w:tcBorders>
          </w:tcPr>
          <w:p w14:paraId="21877C41" w14:textId="77777777" w:rsidR="00FB113C" w:rsidRPr="00D445FC" w:rsidRDefault="00FB113C"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single" w:sz="4" w:space="0" w:color="auto"/>
              <w:left w:val="nil"/>
              <w:bottom w:val="single" w:sz="4" w:space="0" w:color="auto"/>
              <w:right w:val="nil"/>
            </w:tcBorders>
          </w:tcPr>
          <w:p w14:paraId="65B67E23" w14:textId="77777777" w:rsidR="00FB113C" w:rsidRPr="00D445FC" w:rsidRDefault="00FB113C"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single" w:sz="4" w:space="0" w:color="auto"/>
              <w:left w:val="nil"/>
              <w:bottom w:val="single" w:sz="4" w:space="0" w:color="auto"/>
              <w:right w:val="nil"/>
            </w:tcBorders>
          </w:tcPr>
          <w:p w14:paraId="2511EB38" w14:textId="77777777" w:rsidR="00FB113C" w:rsidRPr="00D445FC" w:rsidRDefault="00FB113C"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7A6E6935" w14:textId="77777777" w:rsidTr="009B592E">
        <w:trPr>
          <w:trHeight w:val="144"/>
          <w:jc w:val="center"/>
        </w:trPr>
        <w:tc>
          <w:tcPr>
            <w:tcW w:w="4611" w:type="dxa"/>
            <w:tcBorders>
              <w:top w:val="single" w:sz="4" w:space="0" w:color="auto"/>
              <w:left w:val="nil"/>
              <w:bottom w:val="nil"/>
              <w:right w:val="nil"/>
            </w:tcBorders>
          </w:tcPr>
          <w:p w14:paraId="409907E3"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NCD</w:t>
            </w:r>
          </w:p>
        </w:tc>
        <w:tc>
          <w:tcPr>
            <w:tcW w:w="1350" w:type="dxa"/>
            <w:tcBorders>
              <w:top w:val="single" w:sz="4" w:space="0" w:color="auto"/>
              <w:left w:val="nil"/>
              <w:bottom w:val="nil"/>
              <w:right w:val="nil"/>
            </w:tcBorders>
          </w:tcPr>
          <w:p w14:paraId="49D076A4"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single" w:sz="4" w:space="0" w:color="auto"/>
              <w:left w:val="nil"/>
              <w:bottom w:val="nil"/>
              <w:right w:val="nil"/>
            </w:tcBorders>
          </w:tcPr>
          <w:p w14:paraId="5D644FFC"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single" w:sz="4" w:space="0" w:color="auto"/>
              <w:left w:val="nil"/>
              <w:bottom w:val="nil"/>
              <w:right w:val="nil"/>
            </w:tcBorders>
          </w:tcPr>
          <w:p w14:paraId="6C5D71A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single" w:sz="4" w:space="0" w:color="auto"/>
              <w:left w:val="nil"/>
              <w:bottom w:val="nil"/>
              <w:right w:val="nil"/>
            </w:tcBorders>
          </w:tcPr>
          <w:p w14:paraId="57DDFE3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07CEE82D" w14:textId="77777777" w:rsidTr="00FB113C">
        <w:trPr>
          <w:trHeight w:val="144"/>
          <w:jc w:val="center"/>
        </w:trPr>
        <w:tc>
          <w:tcPr>
            <w:tcW w:w="4611" w:type="dxa"/>
            <w:tcBorders>
              <w:top w:val="nil"/>
              <w:left w:val="nil"/>
              <w:right w:val="nil"/>
            </w:tcBorders>
          </w:tcPr>
          <w:p w14:paraId="78C6FF4D"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Yes</w:t>
            </w:r>
          </w:p>
        </w:tc>
        <w:tc>
          <w:tcPr>
            <w:tcW w:w="1350" w:type="dxa"/>
            <w:tcBorders>
              <w:top w:val="nil"/>
              <w:left w:val="nil"/>
              <w:right w:val="nil"/>
            </w:tcBorders>
          </w:tcPr>
          <w:p w14:paraId="053D204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-0.0371*</w:t>
            </w:r>
          </w:p>
        </w:tc>
        <w:tc>
          <w:tcPr>
            <w:tcW w:w="1350" w:type="dxa"/>
            <w:tcBorders>
              <w:top w:val="nil"/>
              <w:left w:val="nil"/>
              <w:right w:val="nil"/>
            </w:tcBorders>
          </w:tcPr>
          <w:p w14:paraId="150C7F5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(0.0204)</w:t>
            </w:r>
          </w:p>
        </w:tc>
        <w:tc>
          <w:tcPr>
            <w:tcW w:w="1101" w:type="dxa"/>
            <w:tcBorders>
              <w:top w:val="nil"/>
              <w:left w:val="nil"/>
              <w:right w:val="nil"/>
            </w:tcBorders>
          </w:tcPr>
          <w:p w14:paraId="1B7DF8E3"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0.0239</w:t>
            </w:r>
          </w:p>
        </w:tc>
        <w:tc>
          <w:tcPr>
            <w:tcW w:w="1239" w:type="dxa"/>
            <w:tcBorders>
              <w:top w:val="nil"/>
              <w:left w:val="nil"/>
              <w:right w:val="nil"/>
            </w:tcBorders>
          </w:tcPr>
          <w:p w14:paraId="4AC1CC7E"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(0.0163)</w:t>
            </w:r>
          </w:p>
        </w:tc>
      </w:tr>
      <w:tr w:rsidR="00ED532F" w:rsidRPr="009219BF" w14:paraId="5FB09453" w14:textId="77777777" w:rsidTr="00ED532F">
        <w:trPr>
          <w:trHeight w:val="144"/>
          <w:jc w:val="center"/>
        </w:trPr>
        <w:tc>
          <w:tcPr>
            <w:tcW w:w="4611" w:type="dxa"/>
            <w:tcBorders>
              <w:top w:val="nil"/>
              <w:left w:val="nil"/>
              <w:bottom w:val="nil"/>
              <w:right w:val="nil"/>
            </w:tcBorders>
          </w:tcPr>
          <w:p w14:paraId="27ADB721"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Disability</w:t>
            </w:r>
          </w:p>
        </w:tc>
        <w:tc>
          <w:tcPr>
            <w:tcW w:w="1350" w:type="dxa"/>
            <w:tcBorders>
              <w:top w:val="nil"/>
              <w:left w:val="nil"/>
              <w:bottom w:val="nil"/>
              <w:right w:val="nil"/>
            </w:tcBorders>
          </w:tcPr>
          <w:p w14:paraId="4E5729F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nil"/>
              <w:left w:val="nil"/>
              <w:bottom w:val="nil"/>
              <w:right w:val="nil"/>
            </w:tcBorders>
          </w:tcPr>
          <w:p w14:paraId="00F2567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nil"/>
              <w:left w:val="nil"/>
              <w:bottom w:val="nil"/>
              <w:right w:val="nil"/>
            </w:tcBorders>
          </w:tcPr>
          <w:p w14:paraId="6BEC6D6B"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nil"/>
              <w:left w:val="nil"/>
              <w:bottom w:val="nil"/>
              <w:right w:val="nil"/>
            </w:tcBorders>
          </w:tcPr>
          <w:p w14:paraId="682E9FAD"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01E2105F" w14:textId="77777777" w:rsidTr="009B592E">
        <w:trPr>
          <w:trHeight w:val="144"/>
          <w:jc w:val="center"/>
        </w:trPr>
        <w:tc>
          <w:tcPr>
            <w:tcW w:w="4611" w:type="dxa"/>
            <w:tcBorders>
              <w:top w:val="nil"/>
              <w:left w:val="nil"/>
              <w:bottom w:val="single" w:sz="4" w:space="0" w:color="auto"/>
              <w:right w:val="nil"/>
            </w:tcBorders>
          </w:tcPr>
          <w:p w14:paraId="14372440"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Yes</w:t>
            </w:r>
          </w:p>
        </w:tc>
        <w:tc>
          <w:tcPr>
            <w:tcW w:w="1350" w:type="dxa"/>
            <w:tcBorders>
              <w:top w:val="nil"/>
              <w:left w:val="nil"/>
              <w:bottom w:val="single" w:sz="4" w:space="0" w:color="auto"/>
              <w:right w:val="nil"/>
            </w:tcBorders>
          </w:tcPr>
          <w:p w14:paraId="2276548A"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-0.0743***</w:t>
            </w:r>
          </w:p>
        </w:tc>
        <w:tc>
          <w:tcPr>
            <w:tcW w:w="1350" w:type="dxa"/>
            <w:tcBorders>
              <w:top w:val="nil"/>
              <w:left w:val="nil"/>
              <w:bottom w:val="single" w:sz="4" w:space="0" w:color="auto"/>
              <w:right w:val="nil"/>
            </w:tcBorders>
          </w:tcPr>
          <w:p w14:paraId="3095E8D5"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(0.0284)</w:t>
            </w:r>
          </w:p>
        </w:tc>
        <w:tc>
          <w:tcPr>
            <w:tcW w:w="1101" w:type="dxa"/>
            <w:tcBorders>
              <w:top w:val="nil"/>
              <w:left w:val="nil"/>
              <w:bottom w:val="single" w:sz="4" w:space="0" w:color="auto"/>
              <w:right w:val="nil"/>
            </w:tcBorders>
          </w:tcPr>
          <w:p w14:paraId="0211FDC9"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-0.0347</w:t>
            </w:r>
          </w:p>
        </w:tc>
        <w:tc>
          <w:tcPr>
            <w:tcW w:w="1239" w:type="dxa"/>
            <w:tcBorders>
              <w:top w:val="nil"/>
              <w:left w:val="nil"/>
              <w:bottom w:val="single" w:sz="4" w:space="0" w:color="auto"/>
              <w:right w:val="nil"/>
            </w:tcBorders>
          </w:tcPr>
          <w:p w14:paraId="0741C9A9"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(0.0229)</w:t>
            </w:r>
          </w:p>
        </w:tc>
      </w:tr>
      <w:tr w:rsidR="00FB113C" w:rsidRPr="009219BF" w14:paraId="2AC6967B" w14:textId="77777777" w:rsidTr="009B592E">
        <w:trPr>
          <w:trHeight w:val="144"/>
          <w:jc w:val="center"/>
        </w:trPr>
        <w:tc>
          <w:tcPr>
            <w:tcW w:w="4611" w:type="dxa"/>
            <w:tcBorders>
              <w:top w:val="single" w:sz="4" w:space="0" w:color="auto"/>
              <w:left w:val="nil"/>
              <w:bottom w:val="single" w:sz="4" w:space="0" w:color="auto"/>
              <w:right w:val="nil"/>
            </w:tcBorders>
          </w:tcPr>
          <w:p w14:paraId="589ACAEB" w14:textId="77777777" w:rsidR="00FB113C" w:rsidRPr="009B592E" w:rsidRDefault="009B592E" w:rsidP="009B592E">
            <w:pPr>
              <w:widowControl w:val="0"/>
              <w:autoSpaceDE w:val="0"/>
              <w:autoSpaceDN w:val="0"/>
              <w:adjustRightInd w:val="0"/>
              <w:spacing w:after="0" w:line="240" w:lineRule="auto"/>
              <w:rPr>
                <w:rFonts w:ascii="Arial" w:hAnsi="Arial" w:cs="Arial"/>
                <w:b/>
                <w:i/>
                <w:sz w:val="16"/>
                <w:szCs w:val="16"/>
              </w:rPr>
            </w:pPr>
            <w:r w:rsidRPr="009B592E">
              <w:rPr>
                <w:rFonts w:ascii="Arial" w:hAnsi="Arial" w:cs="Arial"/>
                <w:b/>
                <w:i/>
                <w:sz w:val="16"/>
                <w:szCs w:val="16"/>
              </w:rPr>
              <w:t xml:space="preserve">(4) </w:t>
            </w:r>
            <w:r w:rsidR="00FB113C" w:rsidRPr="009B592E">
              <w:rPr>
                <w:rFonts w:ascii="Arial" w:hAnsi="Arial" w:cs="Arial"/>
                <w:b/>
                <w:i/>
                <w:sz w:val="16"/>
                <w:szCs w:val="16"/>
              </w:rPr>
              <w:t xml:space="preserve">Media Access </w:t>
            </w:r>
            <w:r w:rsidR="00682B9C">
              <w:rPr>
                <w:rFonts w:ascii="Arial" w:hAnsi="Arial" w:cs="Arial"/>
                <w:b/>
                <w:i/>
                <w:sz w:val="16"/>
                <w:szCs w:val="16"/>
              </w:rPr>
              <w:t>(2005)</w:t>
            </w:r>
          </w:p>
        </w:tc>
        <w:tc>
          <w:tcPr>
            <w:tcW w:w="1350" w:type="dxa"/>
            <w:tcBorders>
              <w:top w:val="single" w:sz="4" w:space="0" w:color="auto"/>
              <w:left w:val="nil"/>
              <w:bottom w:val="single" w:sz="4" w:space="0" w:color="auto"/>
              <w:right w:val="nil"/>
            </w:tcBorders>
          </w:tcPr>
          <w:p w14:paraId="45676FB8" w14:textId="77777777" w:rsidR="00FB113C" w:rsidRPr="00D445FC" w:rsidRDefault="00FB113C"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single" w:sz="4" w:space="0" w:color="auto"/>
              <w:left w:val="nil"/>
              <w:bottom w:val="single" w:sz="4" w:space="0" w:color="auto"/>
              <w:right w:val="nil"/>
            </w:tcBorders>
          </w:tcPr>
          <w:p w14:paraId="2C35C155" w14:textId="77777777" w:rsidR="00FB113C" w:rsidRPr="00D445FC" w:rsidRDefault="00FB113C"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single" w:sz="4" w:space="0" w:color="auto"/>
              <w:left w:val="nil"/>
              <w:bottom w:val="single" w:sz="4" w:space="0" w:color="auto"/>
              <w:right w:val="nil"/>
            </w:tcBorders>
          </w:tcPr>
          <w:p w14:paraId="2546AB67" w14:textId="77777777" w:rsidR="00FB113C" w:rsidRPr="009219BF"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single" w:sz="4" w:space="0" w:color="auto"/>
              <w:left w:val="nil"/>
              <w:bottom w:val="single" w:sz="4" w:space="0" w:color="auto"/>
              <w:right w:val="nil"/>
            </w:tcBorders>
          </w:tcPr>
          <w:p w14:paraId="232A59DF" w14:textId="77777777" w:rsidR="00FB113C" w:rsidRPr="009219BF" w:rsidRDefault="00FB113C"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39D56796" w14:textId="77777777" w:rsidTr="009B592E">
        <w:trPr>
          <w:trHeight w:val="144"/>
          <w:jc w:val="center"/>
        </w:trPr>
        <w:tc>
          <w:tcPr>
            <w:tcW w:w="4611" w:type="dxa"/>
            <w:tcBorders>
              <w:top w:val="single" w:sz="4" w:space="0" w:color="auto"/>
              <w:left w:val="nil"/>
              <w:bottom w:val="nil"/>
              <w:right w:val="nil"/>
            </w:tcBorders>
          </w:tcPr>
          <w:p w14:paraId="1F87B7B0"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Radio regular Men</w:t>
            </w:r>
          </w:p>
        </w:tc>
        <w:tc>
          <w:tcPr>
            <w:tcW w:w="1350" w:type="dxa"/>
            <w:tcBorders>
              <w:top w:val="single" w:sz="4" w:space="0" w:color="auto"/>
              <w:left w:val="nil"/>
              <w:bottom w:val="nil"/>
              <w:right w:val="nil"/>
            </w:tcBorders>
          </w:tcPr>
          <w:p w14:paraId="349EADF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single" w:sz="4" w:space="0" w:color="auto"/>
              <w:left w:val="nil"/>
              <w:bottom w:val="nil"/>
              <w:right w:val="nil"/>
            </w:tcBorders>
          </w:tcPr>
          <w:p w14:paraId="468473BC"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single" w:sz="4" w:space="0" w:color="auto"/>
              <w:left w:val="nil"/>
              <w:bottom w:val="nil"/>
              <w:right w:val="nil"/>
            </w:tcBorders>
          </w:tcPr>
          <w:p w14:paraId="6258C41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single" w:sz="4" w:space="0" w:color="auto"/>
              <w:left w:val="nil"/>
              <w:bottom w:val="nil"/>
              <w:right w:val="nil"/>
            </w:tcBorders>
          </w:tcPr>
          <w:p w14:paraId="0266B90A"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33D5C478" w14:textId="77777777" w:rsidTr="00ED532F">
        <w:trPr>
          <w:trHeight w:val="144"/>
          <w:jc w:val="center"/>
        </w:trPr>
        <w:tc>
          <w:tcPr>
            <w:tcW w:w="4611" w:type="dxa"/>
            <w:tcBorders>
              <w:top w:val="nil"/>
              <w:left w:val="nil"/>
              <w:bottom w:val="nil"/>
              <w:right w:val="nil"/>
            </w:tcBorders>
          </w:tcPr>
          <w:p w14:paraId="4AF3ACC0"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Regularly</w:t>
            </w:r>
          </w:p>
        </w:tc>
        <w:tc>
          <w:tcPr>
            <w:tcW w:w="1350" w:type="dxa"/>
            <w:tcBorders>
              <w:top w:val="nil"/>
              <w:left w:val="nil"/>
              <w:bottom w:val="nil"/>
              <w:right w:val="nil"/>
            </w:tcBorders>
          </w:tcPr>
          <w:p w14:paraId="013728A1"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0.0954***</w:t>
            </w:r>
          </w:p>
        </w:tc>
        <w:tc>
          <w:tcPr>
            <w:tcW w:w="1350" w:type="dxa"/>
            <w:tcBorders>
              <w:top w:val="nil"/>
              <w:left w:val="nil"/>
              <w:bottom w:val="nil"/>
              <w:right w:val="nil"/>
            </w:tcBorders>
          </w:tcPr>
          <w:p w14:paraId="3C1E6B0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(0.0252)</w:t>
            </w:r>
          </w:p>
        </w:tc>
        <w:tc>
          <w:tcPr>
            <w:tcW w:w="1101" w:type="dxa"/>
            <w:tcBorders>
              <w:top w:val="nil"/>
              <w:left w:val="nil"/>
              <w:bottom w:val="nil"/>
              <w:right w:val="nil"/>
            </w:tcBorders>
          </w:tcPr>
          <w:p w14:paraId="75FCAA68"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-0.0109</w:t>
            </w:r>
          </w:p>
        </w:tc>
        <w:tc>
          <w:tcPr>
            <w:tcW w:w="1239" w:type="dxa"/>
            <w:tcBorders>
              <w:top w:val="nil"/>
              <w:left w:val="nil"/>
              <w:bottom w:val="nil"/>
              <w:right w:val="nil"/>
            </w:tcBorders>
          </w:tcPr>
          <w:p w14:paraId="79224C4B"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(0.0226)</w:t>
            </w:r>
          </w:p>
        </w:tc>
      </w:tr>
      <w:tr w:rsidR="00ED532F" w:rsidRPr="009219BF" w14:paraId="42D5CC36" w14:textId="77777777" w:rsidTr="00ED532F">
        <w:trPr>
          <w:trHeight w:val="144"/>
          <w:jc w:val="center"/>
        </w:trPr>
        <w:tc>
          <w:tcPr>
            <w:tcW w:w="4611" w:type="dxa"/>
            <w:tcBorders>
              <w:top w:val="nil"/>
              <w:left w:val="nil"/>
              <w:bottom w:val="nil"/>
              <w:right w:val="nil"/>
            </w:tcBorders>
          </w:tcPr>
          <w:p w14:paraId="2ADF06BD"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Radio regular Women</w:t>
            </w:r>
          </w:p>
        </w:tc>
        <w:tc>
          <w:tcPr>
            <w:tcW w:w="1350" w:type="dxa"/>
            <w:tcBorders>
              <w:top w:val="nil"/>
              <w:left w:val="nil"/>
              <w:bottom w:val="nil"/>
              <w:right w:val="nil"/>
            </w:tcBorders>
          </w:tcPr>
          <w:p w14:paraId="49123DA7"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nil"/>
              <w:left w:val="nil"/>
              <w:bottom w:val="nil"/>
              <w:right w:val="nil"/>
            </w:tcBorders>
          </w:tcPr>
          <w:p w14:paraId="5BD403F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nil"/>
              <w:left w:val="nil"/>
              <w:bottom w:val="nil"/>
              <w:right w:val="nil"/>
            </w:tcBorders>
          </w:tcPr>
          <w:p w14:paraId="6FA8DB77"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nil"/>
              <w:left w:val="nil"/>
              <w:bottom w:val="nil"/>
              <w:right w:val="nil"/>
            </w:tcBorders>
          </w:tcPr>
          <w:p w14:paraId="3BF86209"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03EDCE21" w14:textId="77777777" w:rsidTr="00ED532F">
        <w:trPr>
          <w:trHeight w:val="144"/>
          <w:jc w:val="center"/>
        </w:trPr>
        <w:tc>
          <w:tcPr>
            <w:tcW w:w="4611" w:type="dxa"/>
            <w:tcBorders>
              <w:top w:val="nil"/>
              <w:left w:val="nil"/>
              <w:bottom w:val="nil"/>
              <w:right w:val="nil"/>
            </w:tcBorders>
          </w:tcPr>
          <w:p w14:paraId="1F07FE66" w14:textId="77777777" w:rsidR="00ED532F" w:rsidRPr="00D445FC" w:rsidRDefault="00ED532F" w:rsidP="00ED532F">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 xml:space="preserve">  Regularly</w:t>
            </w:r>
          </w:p>
        </w:tc>
        <w:tc>
          <w:tcPr>
            <w:tcW w:w="1350" w:type="dxa"/>
            <w:tcBorders>
              <w:top w:val="nil"/>
              <w:left w:val="nil"/>
              <w:bottom w:val="nil"/>
              <w:right w:val="nil"/>
            </w:tcBorders>
          </w:tcPr>
          <w:p w14:paraId="10B74D2C"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-0.0508*</w:t>
            </w:r>
          </w:p>
        </w:tc>
        <w:tc>
          <w:tcPr>
            <w:tcW w:w="1350" w:type="dxa"/>
            <w:tcBorders>
              <w:top w:val="nil"/>
              <w:left w:val="nil"/>
              <w:bottom w:val="nil"/>
              <w:right w:val="nil"/>
            </w:tcBorders>
          </w:tcPr>
          <w:p w14:paraId="63185AB6" w14:textId="77777777" w:rsidR="00ED532F" w:rsidRPr="00D445FC" w:rsidRDefault="00ED532F" w:rsidP="00ED532F">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(0.0278)</w:t>
            </w:r>
          </w:p>
        </w:tc>
        <w:tc>
          <w:tcPr>
            <w:tcW w:w="1101" w:type="dxa"/>
            <w:tcBorders>
              <w:top w:val="nil"/>
              <w:left w:val="nil"/>
              <w:bottom w:val="nil"/>
              <w:right w:val="nil"/>
            </w:tcBorders>
          </w:tcPr>
          <w:p w14:paraId="385CEE21"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0.00732</w:t>
            </w:r>
          </w:p>
        </w:tc>
        <w:tc>
          <w:tcPr>
            <w:tcW w:w="1239" w:type="dxa"/>
            <w:tcBorders>
              <w:top w:val="nil"/>
              <w:left w:val="nil"/>
              <w:bottom w:val="nil"/>
              <w:right w:val="nil"/>
            </w:tcBorders>
          </w:tcPr>
          <w:p w14:paraId="6028450C"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(0.0239)</w:t>
            </w:r>
          </w:p>
        </w:tc>
      </w:tr>
      <w:tr w:rsidR="00ED532F" w:rsidRPr="009219BF" w14:paraId="2332EB5D" w14:textId="77777777" w:rsidTr="00ED532F">
        <w:trPr>
          <w:trHeight w:val="144"/>
          <w:jc w:val="center"/>
        </w:trPr>
        <w:tc>
          <w:tcPr>
            <w:tcW w:w="4611" w:type="dxa"/>
            <w:tcBorders>
              <w:top w:val="nil"/>
              <w:left w:val="nil"/>
              <w:bottom w:val="nil"/>
              <w:right w:val="nil"/>
            </w:tcBorders>
          </w:tcPr>
          <w:p w14:paraId="550989A0" w14:textId="77777777" w:rsidR="00ED532F" w:rsidRPr="00193B71" w:rsidRDefault="00ED532F" w:rsidP="00ED532F">
            <w:pPr>
              <w:widowControl w:val="0"/>
              <w:autoSpaceDE w:val="0"/>
              <w:autoSpaceDN w:val="0"/>
              <w:adjustRightInd w:val="0"/>
              <w:spacing w:after="0" w:line="240" w:lineRule="auto"/>
              <w:rPr>
                <w:rFonts w:ascii="Arial" w:hAnsi="Arial" w:cs="Arial"/>
                <w:b/>
                <w:sz w:val="16"/>
                <w:szCs w:val="16"/>
              </w:rPr>
            </w:pPr>
            <w:r w:rsidRPr="00193B71">
              <w:rPr>
                <w:rFonts w:ascii="Arial" w:hAnsi="Arial" w:cs="Arial"/>
                <w:b/>
                <w:sz w:val="16"/>
                <w:szCs w:val="16"/>
              </w:rPr>
              <w:t>Newspaper regular Men</w:t>
            </w:r>
          </w:p>
        </w:tc>
        <w:tc>
          <w:tcPr>
            <w:tcW w:w="1350" w:type="dxa"/>
            <w:tcBorders>
              <w:top w:val="nil"/>
              <w:left w:val="nil"/>
              <w:bottom w:val="nil"/>
              <w:right w:val="nil"/>
            </w:tcBorders>
          </w:tcPr>
          <w:p w14:paraId="69F19D75"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nil"/>
              <w:left w:val="nil"/>
              <w:bottom w:val="nil"/>
              <w:right w:val="nil"/>
            </w:tcBorders>
          </w:tcPr>
          <w:p w14:paraId="753285A4"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nil"/>
              <w:left w:val="nil"/>
              <w:bottom w:val="nil"/>
              <w:right w:val="nil"/>
            </w:tcBorders>
          </w:tcPr>
          <w:p w14:paraId="2E3DD340"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nil"/>
              <w:left w:val="nil"/>
              <w:bottom w:val="nil"/>
              <w:right w:val="nil"/>
            </w:tcBorders>
          </w:tcPr>
          <w:p w14:paraId="14DDFCAB"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p>
        </w:tc>
      </w:tr>
      <w:tr w:rsidR="00ED532F" w:rsidRPr="009219BF" w14:paraId="788D10E1" w14:textId="77777777" w:rsidTr="00ED532F">
        <w:trPr>
          <w:trHeight w:val="144"/>
          <w:jc w:val="center"/>
        </w:trPr>
        <w:tc>
          <w:tcPr>
            <w:tcW w:w="4611" w:type="dxa"/>
            <w:tcBorders>
              <w:top w:val="nil"/>
              <w:left w:val="nil"/>
              <w:bottom w:val="nil"/>
              <w:right w:val="nil"/>
            </w:tcBorders>
          </w:tcPr>
          <w:p w14:paraId="737C0DF2" w14:textId="77777777" w:rsidR="00ED532F" w:rsidRPr="00193B71" w:rsidRDefault="00ED532F" w:rsidP="00ED532F">
            <w:pPr>
              <w:widowControl w:val="0"/>
              <w:autoSpaceDE w:val="0"/>
              <w:autoSpaceDN w:val="0"/>
              <w:adjustRightInd w:val="0"/>
              <w:spacing w:after="0" w:line="240" w:lineRule="auto"/>
              <w:rPr>
                <w:rFonts w:ascii="Arial" w:hAnsi="Arial" w:cs="Arial"/>
                <w:b/>
                <w:sz w:val="16"/>
                <w:szCs w:val="16"/>
              </w:rPr>
            </w:pPr>
            <w:r w:rsidRPr="00193B71">
              <w:rPr>
                <w:rFonts w:ascii="Arial" w:hAnsi="Arial" w:cs="Arial"/>
                <w:b/>
                <w:sz w:val="16"/>
                <w:szCs w:val="16"/>
              </w:rPr>
              <w:t xml:space="preserve">  Regularly</w:t>
            </w:r>
          </w:p>
        </w:tc>
        <w:tc>
          <w:tcPr>
            <w:tcW w:w="1350" w:type="dxa"/>
            <w:tcBorders>
              <w:top w:val="nil"/>
              <w:left w:val="nil"/>
              <w:bottom w:val="nil"/>
              <w:right w:val="nil"/>
            </w:tcBorders>
          </w:tcPr>
          <w:p w14:paraId="793001D5"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0.0565***</w:t>
            </w:r>
          </w:p>
        </w:tc>
        <w:tc>
          <w:tcPr>
            <w:tcW w:w="1350" w:type="dxa"/>
            <w:tcBorders>
              <w:top w:val="nil"/>
              <w:left w:val="nil"/>
              <w:bottom w:val="nil"/>
              <w:right w:val="nil"/>
            </w:tcBorders>
          </w:tcPr>
          <w:p w14:paraId="41C35193"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(0.0186)</w:t>
            </w:r>
          </w:p>
        </w:tc>
        <w:tc>
          <w:tcPr>
            <w:tcW w:w="1101" w:type="dxa"/>
            <w:tcBorders>
              <w:top w:val="nil"/>
              <w:left w:val="nil"/>
              <w:bottom w:val="nil"/>
              <w:right w:val="nil"/>
            </w:tcBorders>
          </w:tcPr>
          <w:p w14:paraId="7D1D3E5A"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0.0211</w:t>
            </w:r>
          </w:p>
        </w:tc>
        <w:tc>
          <w:tcPr>
            <w:tcW w:w="1239" w:type="dxa"/>
            <w:tcBorders>
              <w:top w:val="nil"/>
              <w:left w:val="nil"/>
              <w:bottom w:val="nil"/>
              <w:right w:val="nil"/>
            </w:tcBorders>
          </w:tcPr>
          <w:p w14:paraId="65EE0D9C"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(0.0151)</w:t>
            </w:r>
          </w:p>
        </w:tc>
      </w:tr>
      <w:tr w:rsidR="00ED532F" w:rsidRPr="00514F20" w14:paraId="63882B52" w14:textId="77777777" w:rsidTr="00ED532F">
        <w:trPr>
          <w:trHeight w:val="144"/>
          <w:jc w:val="center"/>
        </w:trPr>
        <w:tc>
          <w:tcPr>
            <w:tcW w:w="4611" w:type="dxa"/>
            <w:tcBorders>
              <w:top w:val="nil"/>
              <w:left w:val="nil"/>
              <w:bottom w:val="nil"/>
              <w:right w:val="nil"/>
            </w:tcBorders>
          </w:tcPr>
          <w:p w14:paraId="56CD8791"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lastRenderedPageBreak/>
              <w:t>Newspaper regular Women</w:t>
            </w:r>
          </w:p>
        </w:tc>
        <w:tc>
          <w:tcPr>
            <w:tcW w:w="1350" w:type="dxa"/>
            <w:tcBorders>
              <w:top w:val="nil"/>
              <w:left w:val="nil"/>
              <w:bottom w:val="nil"/>
              <w:right w:val="nil"/>
            </w:tcBorders>
          </w:tcPr>
          <w:p w14:paraId="25D69B05"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350" w:type="dxa"/>
            <w:tcBorders>
              <w:top w:val="nil"/>
              <w:left w:val="nil"/>
              <w:bottom w:val="nil"/>
              <w:right w:val="nil"/>
            </w:tcBorders>
          </w:tcPr>
          <w:p w14:paraId="3505E463"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101" w:type="dxa"/>
            <w:tcBorders>
              <w:top w:val="nil"/>
              <w:left w:val="nil"/>
              <w:bottom w:val="nil"/>
              <w:right w:val="nil"/>
            </w:tcBorders>
          </w:tcPr>
          <w:p w14:paraId="3E176E13"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239" w:type="dxa"/>
            <w:tcBorders>
              <w:top w:val="nil"/>
              <w:left w:val="nil"/>
              <w:bottom w:val="nil"/>
              <w:right w:val="nil"/>
            </w:tcBorders>
          </w:tcPr>
          <w:p w14:paraId="23E6AD04"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r>
      <w:tr w:rsidR="00ED532F" w:rsidRPr="00514F20" w14:paraId="6F01C192" w14:textId="77777777" w:rsidTr="00ED532F">
        <w:trPr>
          <w:trHeight w:val="144"/>
          <w:jc w:val="center"/>
        </w:trPr>
        <w:tc>
          <w:tcPr>
            <w:tcW w:w="4611" w:type="dxa"/>
            <w:tcBorders>
              <w:top w:val="nil"/>
              <w:left w:val="nil"/>
              <w:bottom w:val="nil"/>
              <w:right w:val="nil"/>
            </w:tcBorders>
          </w:tcPr>
          <w:p w14:paraId="79F2E3D1"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 xml:space="preserve">  Regularly</w:t>
            </w:r>
          </w:p>
        </w:tc>
        <w:tc>
          <w:tcPr>
            <w:tcW w:w="1350" w:type="dxa"/>
            <w:tcBorders>
              <w:top w:val="nil"/>
              <w:left w:val="nil"/>
              <w:bottom w:val="nil"/>
              <w:right w:val="nil"/>
            </w:tcBorders>
          </w:tcPr>
          <w:p w14:paraId="761AD2DE"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0.0404**</w:t>
            </w:r>
          </w:p>
        </w:tc>
        <w:tc>
          <w:tcPr>
            <w:tcW w:w="1350" w:type="dxa"/>
            <w:tcBorders>
              <w:top w:val="nil"/>
              <w:left w:val="nil"/>
              <w:bottom w:val="nil"/>
              <w:right w:val="nil"/>
            </w:tcBorders>
          </w:tcPr>
          <w:p w14:paraId="7E1877EB"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(0.0201)</w:t>
            </w:r>
          </w:p>
        </w:tc>
        <w:tc>
          <w:tcPr>
            <w:tcW w:w="1101" w:type="dxa"/>
            <w:tcBorders>
              <w:top w:val="nil"/>
              <w:left w:val="nil"/>
              <w:bottom w:val="nil"/>
              <w:right w:val="nil"/>
            </w:tcBorders>
          </w:tcPr>
          <w:p w14:paraId="0BBD7A85"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0.108***</w:t>
            </w:r>
          </w:p>
        </w:tc>
        <w:tc>
          <w:tcPr>
            <w:tcW w:w="1239" w:type="dxa"/>
            <w:tcBorders>
              <w:top w:val="nil"/>
              <w:left w:val="nil"/>
              <w:bottom w:val="nil"/>
              <w:right w:val="nil"/>
            </w:tcBorders>
          </w:tcPr>
          <w:p w14:paraId="7F11F570"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(0.0177)</w:t>
            </w:r>
          </w:p>
        </w:tc>
      </w:tr>
      <w:tr w:rsidR="00ED532F" w:rsidRPr="009219BF" w14:paraId="331E85BD" w14:textId="77777777" w:rsidTr="00ED532F">
        <w:trPr>
          <w:trHeight w:val="144"/>
          <w:jc w:val="center"/>
        </w:trPr>
        <w:tc>
          <w:tcPr>
            <w:tcW w:w="4611" w:type="dxa"/>
            <w:tcBorders>
              <w:top w:val="nil"/>
              <w:left w:val="nil"/>
              <w:bottom w:val="nil"/>
              <w:right w:val="nil"/>
            </w:tcBorders>
          </w:tcPr>
          <w:p w14:paraId="316BEFDB"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TV regular Men</w:t>
            </w:r>
          </w:p>
        </w:tc>
        <w:tc>
          <w:tcPr>
            <w:tcW w:w="1350" w:type="dxa"/>
            <w:tcBorders>
              <w:top w:val="nil"/>
              <w:left w:val="nil"/>
              <w:bottom w:val="nil"/>
              <w:right w:val="nil"/>
            </w:tcBorders>
          </w:tcPr>
          <w:p w14:paraId="14DD7B1B"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0FC8666C"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160DE5C6"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2E349AAC"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6433A866" w14:textId="77777777" w:rsidTr="00ED532F">
        <w:trPr>
          <w:trHeight w:val="144"/>
          <w:jc w:val="center"/>
        </w:trPr>
        <w:tc>
          <w:tcPr>
            <w:tcW w:w="4611" w:type="dxa"/>
            <w:tcBorders>
              <w:top w:val="nil"/>
              <w:left w:val="nil"/>
              <w:bottom w:val="nil"/>
              <w:right w:val="nil"/>
            </w:tcBorders>
          </w:tcPr>
          <w:p w14:paraId="34FD618D"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Regularly</w:t>
            </w:r>
          </w:p>
        </w:tc>
        <w:tc>
          <w:tcPr>
            <w:tcW w:w="1350" w:type="dxa"/>
            <w:tcBorders>
              <w:top w:val="nil"/>
              <w:left w:val="nil"/>
              <w:bottom w:val="nil"/>
              <w:right w:val="nil"/>
            </w:tcBorders>
          </w:tcPr>
          <w:p w14:paraId="77943968"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-0.00981</w:t>
            </w:r>
          </w:p>
        </w:tc>
        <w:tc>
          <w:tcPr>
            <w:tcW w:w="1350" w:type="dxa"/>
            <w:tcBorders>
              <w:top w:val="nil"/>
              <w:left w:val="nil"/>
              <w:bottom w:val="nil"/>
              <w:right w:val="nil"/>
            </w:tcBorders>
          </w:tcPr>
          <w:p w14:paraId="0C6B4D29"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(0.0175)</w:t>
            </w:r>
          </w:p>
        </w:tc>
        <w:tc>
          <w:tcPr>
            <w:tcW w:w="1101" w:type="dxa"/>
            <w:tcBorders>
              <w:top w:val="nil"/>
              <w:left w:val="nil"/>
              <w:bottom w:val="nil"/>
              <w:right w:val="nil"/>
            </w:tcBorders>
          </w:tcPr>
          <w:p w14:paraId="0B7BD379"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-0.00216</w:t>
            </w:r>
          </w:p>
        </w:tc>
        <w:tc>
          <w:tcPr>
            <w:tcW w:w="1239" w:type="dxa"/>
            <w:tcBorders>
              <w:top w:val="nil"/>
              <w:left w:val="nil"/>
              <w:bottom w:val="nil"/>
              <w:right w:val="nil"/>
            </w:tcBorders>
          </w:tcPr>
          <w:p w14:paraId="286C7790"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(0.0159)</w:t>
            </w:r>
          </w:p>
        </w:tc>
      </w:tr>
      <w:tr w:rsidR="00ED532F" w:rsidRPr="009219BF" w14:paraId="14C1BB83" w14:textId="77777777" w:rsidTr="00FB113C">
        <w:trPr>
          <w:trHeight w:val="144"/>
          <w:jc w:val="center"/>
        </w:trPr>
        <w:tc>
          <w:tcPr>
            <w:tcW w:w="4611" w:type="dxa"/>
            <w:tcBorders>
              <w:top w:val="nil"/>
              <w:left w:val="nil"/>
              <w:right w:val="nil"/>
            </w:tcBorders>
          </w:tcPr>
          <w:p w14:paraId="2CD05022"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TV regular Women</w:t>
            </w:r>
          </w:p>
        </w:tc>
        <w:tc>
          <w:tcPr>
            <w:tcW w:w="1350" w:type="dxa"/>
            <w:tcBorders>
              <w:top w:val="nil"/>
              <w:left w:val="nil"/>
              <w:right w:val="nil"/>
            </w:tcBorders>
          </w:tcPr>
          <w:p w14:paraId="4E9F049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350" w:type="dxa"/>
            <w:tcBorders>
              <w:top w:val="nil"/>
              <w:left w:val="nil"/>
              <w:right w:val="nil"/>
            </w:tcBorders>
          </w:tcPr>
          <w:p w14:paraId="457FDF5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101" w:type="dxa"/>
            <w:tcBorders>
              <w:top w:val="nil"/>
              <w:left w:val="nil"/>
              <w:right w:val="nil"/>
            </w:tcBorders>
          </w:tcPr>
          <w:p w14:paraId="55A7AED9"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c>
          <w:tcPr>
            <w:tcW w:w="1239" w:type="dxa"/>
            <w:tcBorders>
              <w:top w:val="nil"/>
              <w:left w:val="nil"/>
              <w:right w:val="nil"/>
            </w:tcBorders>
          </w:tcPr>
          <w:p w14:paraId="1CEB950C"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p>
        </w:tc>
      </w:tr>
      <w:tr w:rsidR="00ED532F" w:rsidRPr="009219BF" w14:paraId="4572D421" w14:textId="77777777" w:rsidTr="009B592E">
        <w:trPr>
          <w:trHeight w:val="144"/>
          <w:jc w:val="center"/>
        </w:trPr>
        <w:tc>
          <w:tcPr>
            <w:tcW w:w="4611" w:type="dxa"/>
            <w:tcBorders>
              <w:top w:val="nil"/>
              <w:left w:val="nil"/>
              <w:bottom w:val="single" w:sz="4" w:space="0" w:color="auto"/>
              <w:right w:val="nil"/>
            </w:tcBorders>
          </w:tcPr>
          <w:p w14:paraId="6743555F"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hAnsi="Arial" w:cs="Arial"/>
                <w:i/>
                <w:sz w:val="16"/>
                <w:szCs w:val="16"/>
              </w:rPr>
              <w:t xml:space="preserve">  Regularly</w:t>
            </w:r>
          </w:p>
        </w:tc>
        <w:tc>
          <w:tcPr>
            <w:tcW w:w="1350" w:type="dxa"/>
            <w:tcBorders>
              <w:top w:val="nil"/>
              <w:left w:val="nil"/>
              <w:bottom w:val="single" w:sz="4" w:space="0" w:color="auto"/>
              <w:right w:val="nil"/>
            </w:tcBorders>
          </w:tcPr>
          <w:p w14:paraId="1D2F13FA"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0.0563***</w:t>
            </w:r>
          </w:p>
        </w:tc>
        <w:tc>
          <w:tcPr>
            <w:tcW w:w="1350" w:type="dxa"/>
            <w:tcBorders>
              <w:top w:val="nil"/>
              <w:left w:val="nil"/>
              <w:bottom w:val="single" w:sz="4" w:space="0" w:color="auto"/>
              <w:right w:val="nil"/>
            </w:tcBorders>
          </w:tcPr>
          <w:p w14:paraId="321E17F7"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(0.0176)</w:t>
            </w:r>
          </w:p>
        </w:tc>
        <w:tc>
          <w:tcPr>
            <w:tcW w:w="1101" w:type="dxa"/>
            <w:tcBorders>
              <w:top w:val="nil"/>
              <w:left w:val="nil"/>
              <w:bottom w:val="single" w:sz="4" w:space="0" w:color="auto"/>
              <w:right w:val="nil"/>
            </w:tcBorders>
          </w:tcPr>
          <w:p w14:paraId="478A36C5"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0.0314**</w:t>
            </w:r>
          </w:p>
        </w:tc>
        <w:tc>
          <w:tcPr>
            <w:tcW w:w="1239" w:type="dxa"/>
            <w:tcBorders>
              <w:top w:val="nil"/>
              <w:left w:val="nil"/>
              <w:bottom w:val="single" w:sz="4" w:space="0" w:color="auto"/>
              <w:right w:val="nil"/>
            </w:tcBorders>
          </w:tcPr>
          <w:p w14:paraId="1C640DD1"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(0.0157)</w:t>
            </w:r>
          </w:p>
        </w:tc>
      </w:tr>
      <w:tr w:rsidR="00FB113C" w:rsidRPr="009219BF" w14:paraId="1BBFFD19" w14:textId="77777777" w:rsidTr="009B592E">
        <w:trPr>
          <w:trHeight w:val="144"/>
          <w:jc w:val="center"/>
        </w:trPr>
        <w:tc>
          <w:tcPr>
            <w:tcW w:w="4611" w:type="dxa"/>
            <w:tcBorders>
              <w:top w:val="single" w:sz="4" w:space="0" w:color="auto"/>
              <w:left w:val="nil"/>
              <w:bottom w:val="single" w:sz="4" w:space="0" w:color="auto"/>
              <w:right w:val="nil"/>
            </w:tcBorders>
          </w:tcPr>
          <w:p w14:paraId="6140E195" w14:textId="77777777" w:rsidR="00FB113C" w:rsidRPr="009B592E" w:rsidRDefault="00FB113C" w:rsidP="009B592E">
            <w:pPr>
              <w:pStyle w:val="ListParagraph"/>
              <w:widowControl w:val="0"/>
              <w:numPr>
                <w:ilvl w:val="0"/>
                <w:numId w:val="11"/>
              </w:numPr>
              <w:autoSpaceDE w:val="0"/>
              <w:autoSpaceDN w:val="0"/>
              <w:adjustRightInd w:val="0"/>
              <w:spacing w:after="0" w:line="240" w:lineRule="auto"/>
              <w:rPr>
                <w:rFonts w:ascii="Arial" w:hAnsi="Arial" w:cs="Arial"/>
                <w:b/>
                <w:i/>
                <w:sz w:val="16"/>
                <w:szCs w:val="16"/>
              </w:rPr>
            </w:pPr>
            <w:r w:rsidRPr="009B592E">
              <w:rPr>
                <w:rFonts w:ascii="Arial" w:hAnsi="Arial" w:cs="Arial"/>
                <w:b/>
                <w:i/>
                <w:sz w:val="16"/>
                <w:szCs w:val="16"/>
              </w:rPr>
              <w:t xml:space="preserve">Other Variables </w:t>
            </w:r>
            <w:r w:rsidR="00682B9C">
              <w:rPr>
                <w:rFonts w:ascii="Arial" w:hAnsi="Arial" w:cs="Arial"/>
                <w:b/>
                <w:i/>
                <w:sz w:val="16"/>
                <w:szCs w:val="16"/>
              </w:rPr>
              <w:t>(2005)</w:t>
            </w:r>
          </w:p>
        </w:tc>
        <w:tc>
          <w:tcPr>
            <w:tcW w:w="1350" w:type="dxa"/>
            <w:tcBorders>
              <w:top w:val="single" w:sz="4" w:space="0" w:color="auto"/>
              <w:left w:val="nil"/>
              <w:bottom w:val="single" w:sz="4" w:space="0" w:color="auto"/>
              <w:right w:val="nil"/>
            </w:tcBorders>
          </w:tcPr>
          <w:p w14:paraId="111B0B0A" w14:textId="77777777" w:rsidR="00FB113C" w:rsidRPr="00193B71"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single" w:sz="4" w:space="0" w:color="auto"/>
              <w:right w:val="nil"/>
            </w:tcBorders>
          </w:tcPr>
          <w:p w14:paraId="5583466A" w14:textId="77777777" w:rsidR="00FB113C" w:rsidRPr="00193B71"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single" w:sz="4" w:space="0" w:color="auto"/>
              <w:left w:val="nil"/>
              <w:bottom w:val="single" w:sz="4" w:space="0" w:color="auto"/>
              <w:right w:val="nil"/>
            </w:tcBorders>
          </w:tcPr>
          <w:p w14:paraId="28312ACC" w14:textId="77777777" w:rsidR="00FB113C" w:rsidRPr="00193B71" w:rsidRDefault="00FB113C"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single" w:sz="4" w:space="0" w:color="auto"/>
              <w:left w:val="nil"/>
              <w:bottom w:val="single" w:sz="4" w:space="0" w:color="auto"/>
              <w:right w:val="nil"/>
            </w:tcBorders>
          </w:tcPr>
          <w:p w14:paraId="0143A93B" w14:textId="77777777" w:rsidR="00FB113C" w:rsidRPr="00193B71" w:rsidRDefault="00FB113C"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3C427469" w14:textId="77777777" w:rsidTr="009B592E">
        <w:trPr>
          <w:trHeight w:val="144"/>
          <w:jc w:val="center"/>
        </w:trPr>
        <w:tc>
          <w:tcPr>
            <w:tcW w:w="4611" w:type="dxa"/>
            <w:tcBorders>
              <w:top w:val="single" w:sz="4" w:space="0" w:color="auto"/>
              <w:left w:val="nil"/>
              <w:bottom w:val="nil"/>
              <w:right w:val="nil"/>
            </w:tcBorders>
          </w:tcPr>
          <w:p w14:paraId="2F5D788F" w14:textId="77777777" w:rsidR="00ED532F" w:rsidRPr="00FB113C" w:rsidRDefault="00ED532F" w:rsidP="00ED532F">
            <w:pPr>
              <w:widowControl w:val="0"/>
              <w:autoSpaceDE w:val="0"/>
              <w:autoSpaceDN w:val="0"/>
              <w:adjustRightInd w:val="0"/>
              <w:spacing w:after="0" w:line="240" w:lineRule="auto"/>
              <w:rPr>
                <w:rFonts w:ascii="Arial" w:hAnsi="Arial" w:cs="Arial"/>
                <w:b/>
                <w:sz w:val="16"/>
                <w:szCs w:val="16"/>
              </w:rPr>
            </w:pPr>
            <w:r w:rsidRPr="00FB113C">
              <w:rPr>
                <w:rFonts w:ascii="Arial" w:hAnsi="Arial" w:cs="Arial"/>
                <w:b/>
                <w:sz w:val="16"/>
                <w:szCs w:val="16"/>
              </w:rPr>
              <w:t>Social Networks</w:t>
            </w:r>
          </w:p>
        </w:tc>
        <w:tc>
          <w:tcPr>
            <w:tcW w:w="1350" w:type="dxa"/>
            <w:tcBorders>
              <w:top w:val="single" w:sz="4" w:space="0" w:color="auto"/>
              <w:left w:val="nil"/>
              <w:bottom w:val="nil"/>
              <w:right w:val="nil"/>
            </w:tcBorders>
          </w:tcPr>
          <w:p w14:paraId="2FE6C813" w14:textId="77777777" w:rsidR="00ED532F" w:rsidRPr="00193B71"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439652FD" w14:textId="77777777" w:rsidR="00ED532F" w:rsidRPr="00193B71"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single" w:sz="4" w:space="0" w:color="auto"/>
              <w:left w:val="nil"/>
              <w:bottom w:val="nil"/>
              <w:right w:val="nil"/>
            </w:tcBorders>
          </w:tcPr>
          <w:p w14:paraId="78FA7A14" w14:textId="77777777" w:rsidR="00ED532F" w:rsidRPr="00193B71"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single" w:sz="4" w:space="0" w:color="auto"/>
              <w:left w:val="nil"/>
              <w:bottom w:val="nil"/>
              <w:right w:val="nil"/>
            </w:tcBorders>
          </w:tcPr>
          <w:p w14:paraId="3C2A4268" w14:textId="77777777" w:rsidR="00ED532F" w:rsidRPr="00193B71"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53679F04" w14:textId="77777777" w:rsidTr="00ED532F">
        <w:trPr>
          <w:trHeight w:val="144"/>
          <w:jc w:val="center"/>
        </w:trPr>
        <w:tc>
          <w:tcPr>
            <w:tcW w:w="4611" w:type="dxa"/>
            <w:tcBorders>
              <w:top w:val="nil"/>
              <w:left w:val="nil"/>
              <w:bottom w:val="nil"/>
              <w:right w:val="nil"/>
            </w:tcBorders>
          </w:tcPr>
          <w:p w14:paraId="5C78B7CF"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1</w:t>
            </w:r>
          </w:p>
        </w:tc>
        <w:tc>
          <w:tcPr>
            <w:tcW w:w="1350" w:type="dxa"/>
            <w:tcBorders>
              <w:top w:val="nil"/>
              <w:left w:val="nil"/>
              <w:bottom w:val="nil"/>
              <w:right w:val="nil"/>
            </w:tcBorders>
          </w:tcPr>
          <w:p w14:paraId="1E306DF9"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0.00994</w:t>
            </w:r>
          </w:p>
        </w:tc>
        <w:tc>
          <w:tcPr>
            <w:tcW w:w="1350" w:type="dxa"/>
            <w:tcBorders>
              <w:top w:val="nil"/>
              <w:left w:val="nil"/>
              <w:bottom w:val="nil"/>
              <w:right w:val="nil"/>
            </w:tcBorders>
          </w:tcPr>
          <w:p w14:paraId="42F7A0E7"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(0.0149)</w:t>
            </w:r>
          </w:p>
        </w:tc>
        <w:tc>
          <w:tcPr>
            <w:tcW w:w="1101" w:type="dxa"/>
            <w:tcBorders>
              <w:top w:val="nil"/>
              <w:left w:val="nil"/>
              <w:bottom w:val="nil"/>
              <w:right w:val="nil"/>
            </w:tcBorders>
          </w:tcPr>
          <w:p w14:paraId="30E4A7A5"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-0.0152</w:t>
            </w:r>
          </w:p>
        </w:tc>
        <w:tc>
          <w:tcPr>
            <w:tcW w:w="1239" w:type="dxa"/>
            <w:tcBorders>
              <w:top w:val="nil"/>
              <w:left w:val="nil"/>
              <w:bottom w:val="nil"/>
              <w:right w:val="nil"/>
            </w:tcBorders>
          </w:tcPr>
          <w:p w14:paraId="4F0023BB"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(0.0127)</w:t>
            </w:r>
          </w:p>
        </w:tc>
      </w:tr>
      <w:tr w:rsidR="00ED532F" w:rsidRPr="009219BF" w14:paraId="7B3A3292" w14:textId="77777777" w:rsidTr="00ED532F">
        <w:trPr>
          <w:trHeight w:val="144"/>
          <w:jc w:val="center"/>
        </w:trPr>
        <w:tc>
          <w:tcPr>
            <w:tcW w:w="4611" w:type="dxa"/>
            <w:tcBorders>
              <w:top w:val="nil"/>
              <w:left w:val="nil"/>
              <w:bottom w:val="nil"/>
              <w:right w:val="nil"/>
            </w:tcBorders>
          </w:tcPr>
          <w:p w14:paraId="494C2D60" w14:textId="77777777" w:rsidR="00ED532F" w:rsidRPr="00193B71" w:rsidRDefault="00ED532F" w:rsidP="00ED532F">
            <w:pPr>
              <w:widowControl w:val="0"/>
              <w:autoSpaceDE w:val="0"/>
              <w:autoSpaceDN w:val="0"/>
              <w:adjustRightInd w:val="0"/>
              <w:spacing w:after="0" w:line="240" w:lineRule="auto"/>
              <w:rPr>
                <w:rFonts w:ascii="Arial" w:hAnsi="Arial" w:cs="Arial"/>
                <w:b/>
                <w:sz w:val="16"/>
                <w:szCs w:val="16"/>
              </w:rPr>
            </w:pPr>
            <w:r w:rsidRPr="00193B71">
              <w:rPr>
                <w:rFonts w:ascii="Arial" w:hAnsi="Arial" w:cs="Arial"/>
                <w:b/>
                <w:sz w:val="16"/>
                <w:szCs w:val="16"/>
              </w:rPr>
              <w:t xml:space="preserve">  2</w:t>
            </w:r>
          </w:p>
        </w:tc>
        <w:tc>
          <w:tcPr>
            <w:tcW w:w="1350" w:type="dxa"/>
            <w:tcBorders>
              <w:top w:val="nil"/>
              <w:left w:val="nil"/>
              <w:bottom w:val="nil"/>
              <w:right w:val="nil"/>
            </w:tcBorders>
          </w:tcPr>
          <w:p w14:paraId="0A759C50"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-0.0469***</w:t>
            </w:r>
          </w:p>
        </w:tc>
        <w:tc>
          <w:tcPr>
            <w:tcW w:w="1350" w:type="dxa"/>
            <w:tcBorders>
              <w:top w:val="nil"/>
              <w:left w:val="nil"/>
              <w:bottom w:val="nil"/>
              <w:right w:val="nil"/>
            </w:tcBorders>
          </w:tcPr>
          <w:p w14:paraId="5CFA53C5"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(0.0175)</w:t>
            </w:r>
          </w:p>
        </w:tc>
        <w:tc>
          <w:tcPr>
            <w:tcW w:w="1101" w:type="dxa"/>
            <w:tcBorders>
              <w:top w:val="nil"/>
              <w:left w:val="nil"/>
              <w:bottom w:val="nil"/>
              <w:right w:val="nil"/>
            </w:tcBorders>
          </w:tcPr>
          <w:p w14:paraId="0A6C9AF0"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-0.0120</w:t>
            </w:r>
          </w:p>
        </w:tc>
        <w:tc>
          <w:tcPr>
            <w:tcW w:w="1239" w:type="dxa"/>
            <w:tcBorders>
              <w:top w:val="nil"/>
              <w:left w:val="nil"/>
              <w:bottom w:val="nil"/>
              <w:right w:val="nil"/>
            </w:tcBorders>
          </w:tcPr>
          <w:p w14:paraId="0380B206"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(0.0148)</w:t>
            </w:r>
          </w:p>
        </w:tc>
      </w:tr>
      <w:tr w:rsidR="00ED532F" w:rsidRPr="009219BF" w14:paraId="3EFBAB9C" w14:textId="77777777" w:rsidTr="00ED532F">
        <w:trPr>
          <w:trHeight w:val="144"/>
          <w:jc w:val="center"/>
        </w:trPr>
        <w:tc>
          <w:tcPr>
            <w:tcW w:w="4611" w:type="dxa"/>
            <w:tcBorders>
              <w:top w:val="nil"/>
              <w:left w:val="nil"/>
              <w:bottom w:val="nil"/>
              <w:right w:val="nil"/>
            </w:tcBorders>
          </w:tcPr>
          <w:p w14:paraId="02B2F332"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&gt;2</w:t>
            </w:r>
          </w:p>
        </w:tc>
        <w:tc>
          <w:tcPr>
            <w:tcW w:w="1350" w:type="dxa"/>
            <w:tcBorders>
              <w:top w:val="nil"/>
              <w:left w:val="nil"/>
              <w:bottom w:val="nil"/>
              <w:right w:val="nil"/>
            </w:tcBorders>
          </w:tcPr>
          <w:p w14:paraId="262864DC"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0.00267</w:t>
            </w:r>
          </w:p>
        </w:tc>
        <w:tc>
          <w:tcPr>
            <w:tcW w:w="1350" w:type="dxa"/>
            <w:tcBorders>
              <w:top w:val="nil"/>
              <w:left w:val="nil"/>
              <w:bottom w:val="nil"/>
              <w:right w:val="nil"/>
            </w:tcBorders>
          </w:tcPr>
          <w:p w14:paraId="76B21F64"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(0.0182)</w:t>
            </w:r>
          </w:p>
        </w:tc>
        <w:tc>
          <w:tcPr>
            <w:tcW w:w="1101" w:type="dxa"/>
            <w:tcBorders>
              <w:top w:val="nil"/>
              <w:left w:val="nil"/>
              <w:bottom w:val="nil"/>
              <w:right w:val="nil"/>
            </w:tcBorders>
          </w:tcPr>
          <w:p w14:paraId="2A6B3D82"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0.00385</w:t>
            </w:r>
          </w:p>
        </w:tc>
        <w:tc>
          <w:tcPr>
            <w:tcW w:w="1239" w:type="dxa"/>
            <w:tcBorders>
              <w:top w:val="nil"/>
              <w:left w:val="nil"/>
              <w:bottom w:val="nil"/>
              <w:right w:val="nil"/>
            </w:tcBorders>
          </w:tcPr>
          <w:p w14:paraId="6F237991"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(0.0173)</w:t>
            </w:r>
          </w:p>
        </w:tc>
      </w:tr>
      <w:tr w:rsidR="00ED532F" w:rsidRPr="009219BF" w14:paraId="2660C23B" w14:textId="77777777" w:rsidTr="00ED532F">
        <w:trPr>
          <w:trHeight w:val="144"/>
          <w:jc w:val="center"/>
        </w:trPr>
        <w:tc>
          <w:tcPr>
            <w:tcW w:w="4611" w:type="dxa"/>
            <w:tcBorders>
              <w:top w:val="nil"/>
              <w:left w:val="nil"/>
              <w:bottom w:val="nil"/>
              <w:right w:val="nil"/>
            </w:tcBorders>
          </w:tcPr>
          <w:p w14:paraId="57F343EE"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Theft</w:t>
            </w:r>
          </w:p>
        </w:tc>
        <w:tc>
          <w:tcPr>
            <w:tcW w:w="1350" w:type="dxa"/>
            <w:tcBorders>
              <w:top w:val="nil"/>
              <w:left w:val="nil"/>
              <w:bottom w:val="nil"/>
              <w:right w:val="nil"/>
            </w:tcBorders>
          </w:tcPr>
          <w:p w14:paraId="2A81ED82"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55816B38"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60FB18C3"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1BF1CD61"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73CC3AF3" w14:textId="77777777" w:rsidTr="00ED532F">
        <w:trPr>
          <w:trHeight w:val="144"/>
          <w:jc w:val="center"/>
        </w:trPr>
        <w:tc>
          <w:tcPr>
            <w:tcW w:w="4611" w:type="dxa"/>
            <w:tcBorders>
              <w:top w:val="nil"/>
              <w:left w:val="nil"/>
              <w:bottom w:val="nil"/>
              <w:right w:val="nil"/>
            </w:tcBorders>
          </w:tcPr>
          <w:p w14:paraId="6908098D"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Yes</w:t>
            </w:r>
          </w:p>
        </w:tc>
        <w:tc>
          <w:tcPr>
            <w:tcW w:w="1350" w:type="dxa"/>
            <w:tcBorders>
              <w:top w:val="nil"/>
              <w:left w:val="nil"/>
              <w:bottom w:val="nil"/>
              <w:right w:val="nil"/>
            </w:tcBorders>
          </w:tcPr>
          <w:p w14:paraId="7463684C"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-0.0269</w:t>
            </w:r>
          </w:p>
        </w:tc>
        <w:tc>
          <w:tcPr>
            <w:tcW w:w="1350" w:type="dxa"/>
            <w:tcBorders>
              <w:top w:val="nil"/>
              <w:left w:val="nil"/>
              <w:bottom w:val="nil"/>
              <w:right w:val="nil"/>
            </w:tcBorders>
          </w:tcPr>
          <w:p w14:paraId="24A5120A"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(0.0255)</w:t>
            </w:r>
          </w:p>
        </w:tc>
        <w:tc>
          <w:tcPr>
            <w:tcW w:w="1101" w:type="dxa"/>
            <w:tcBorders>
              <w:top w:val="nil"/>
              <w:left w:val="nil"/>
              <w:bottom w:val="nil"/>
              <w:right w:val="nil"/>
            </w:tcBorders>
          </w:tcPr>
          <w:p w14:paraId="6BB1C8CC"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-0.0643***</w:t>
            </w:r>
          </w:p>
        </w:tc>
        <w:tc>
          <w:tcPr>
            <w:tcW w:w="1239" w:type="dxa"/>
            <w:tcBorders>
              <w:top w:val="nil"/>
              <w:left w:val="nil"/>
              <w:bottom w:val="nil"/>
              <w:right w:val="nil"/>
            </w:tcBorders>
          </w:tcPr>
          <w:p w14:paraId="1E7118AC"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(0.0212)</w:t>
            </w:r>
          </w:p>
        </w:tc>
      </w:tr>
      <w:tr w:rsidR="00ED532F" w:rsidRPr="009219BF" w14:paraId="2271DABF" w14:textId="77777777" w:rsidTr="00ED532F">
        <w:trPr>
          <w:trHeight w:val="144"/>
          <w:jc w:val="center"/>
        </w:trPr>
        <w:tc>
          <w:tcPr>
            <w:tcW w:w="4611" w:type="dxa"/>
            <w:tcBorders>
              <w:top w:val="nil"/>
              <w:left w:val="nil"/>
              <w:bottom w:val="nil"/>
              <w:right w:val="nil"/>
            </w:tcBorders>
          </w:tcPr>
          <w:p w14:paraId="7CFE6C84"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Conflict in village</w:t>
            </w:r>
          </w:p>
        </w:tc>
        <w:tc>
          <w:tcPr>
            <w:tcW w:w="1350" w:type="dxa"/>
            <w:tcBorders>
              <w:top w:val="nil"/>
              <w:left w:val="nil"/>
              <w:bottom w:val="nil"/>
              <w:right w:val="nil"/>
            </w:tcBorders>
          </w:tcPr>
          <w:p w14:paraId="4796080D"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61BFBD8D"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13D7BA78"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561944D1"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4926D80A" w14:textId="77777777" w:rsidTr="009B592E">
        <w:trPr>
          <w:trHeight w:val="144"/>
          <w:jc w:val="center"/>
        </w:trPr>
        <w:tc>
          <w:tcPr>
            <w:tcW w:w="4611" w:type="dxa"/>
            <w:tcBorders>
              <w:top w:val="nil"/>
              <w:left w:val="nil"/>
              <w:bottom w:val="single" w:sz="4" w:space="0" w:color="auto"/>
              <w:right w:val="nil"/>
            </w:tcBorders>
          </w:tcPr>
          <w:p w14:paraId="04E19C8B"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 xml:space="preserve">  Yes</w:t>
            </w:r>
          </w:p>
        </w:tc>
        <w:tc>
          <w:tcPr>
            <w:tcW w:w="1350" w:type="dxa"/>
            <w:tcBorders>
              <w:top w:val="nil"/>
              <w:left w:val="nil"/>
              <w:bottom w:val="single" w:sz="4" w:space="0" w:color="auto"/>
              <w:right w:val="nil"/>
            </w:tcBorders>
          </w:tcPr>
          <w:p w14:paraId="5E3F3B17"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0.0163</w:t>
            </w:r>
          </w:p>
        </w:tc>
        <w:tc>
          <w:tcPr>
            <w:tcW w:w="1350" w:type="dxa"/>
            <w:tcBorders>
              <w:top w:val="nil"/>
              <w:left w:val="nil"/>
              <w:bottom w:val="single" w:sz="4" w:space="0" w:color="auto"/>
              <w:right w:val="nil"/>
            </w:tcBorders>
          </w:tcPr>
          <w:p w14:paraId="3ACABCD8"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(0.0105)</w:t>
            </w:r>
          </w:p>
        </w:tc>
        <w:tc>
          <w:tcPr>
            <w:tcW w:w="1101" w:type="dxa"/>
            <w:tcBorders>
              <w:top w:val="nil"/>
              <w:left w:val="nil"/>
              <w:bottom w:val="single" w:sz="4" w:space="0" w:color="auto"/>
              <w:right w:val="nil"/>
            </w:tcBorders>
          </w:tcPr>
          <w:p w14:paraId="0EBB7BFE"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-0.0373***</w:t>
            </w:r>
          </w:p>
        </w:tc>
        <w:tc>
          <w:tcPr>
            <w:tcW w:w="1239" w:type="dxa"/>
            <w:tcBorders>
              <w:top w:val="nil"/>
              <w:left w:val="nil"/>
              <w:bottom w:val="single" w:sz="4" w:space="0" w:color="auto"/>
              <w:right w:val="nil"/>
            </w:tcBorders>
          </w:tcPr>
          <w:p w14:paraId="49908ABA"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(0.00929)</w:t>
            </w:r>
          </w:p>
        </w:tc>
      </w:tr>
      <w:tr w:rsidR="00FB113C" w:rsidRPr="009219BF" w14:paraId="69CAFE8C" w14:textId="77777777" w:rsidTr="009B592E">
        <w:trPr>
          <w:trHeight w:val="144"/>
          <w:jc w:val="center"/>
        </w:trPr>
        <w:tc>
          <w:tcPr>
            <w:tcW w:w="4611" w:type="dxa"/>
            <w:tcBorders>
              <w:top w:val="single" w:sz="4" w:space="0" w:color="auto"/>
              <w:left w:val="nil"/>
              <w:bottom w:val="single" w:sz="4" w:space="0" w:color="auto"/>
              <w:right w:val="nil"/>
            </w:tcBorders>
          </w:tcPr>
          <w:p w14:paraId="723AC2A2" w14:textId="77777777" w:rsidR="00FB113C" w:rsidRPr="00FB113C" w:rsidRDefault="00FB113C" w:rsidP="009B592E">
            <w:pPr>
              <w:pStyle w:val="ListParagraph"/>
              <w:widowControl w:val="0"/>
              <w:numPr>
                <w:ilvl w:val="0"/>
                <w:numId w:val="11"/>
              </w:numPr>
              <w:autoSpaceDE w:val="0"/>
              <w:autoSpaceDN w:val="0"/>
              <w:adjustRightInd w:val="0"/>
              <w:spacing w:after="0" w:line="240" w:lineRule="auto"/>
              <w:rPr>
                <w:rFonts w:ascii="Arial" w:hAnsi="Arial" w:cs="Arial"/>
                <w:b/>
                <w:i/>
                <w:sz w:val="16"/>
                <w:szCs w:val="16"/>
              </w:rPr>
            </w:pPr>
            <w:r w:rsidRPr="00FB113C">
              <w:rPr>
                <w:rFonts w:ascii="Arial" w:hAnsi="Arial" w:cs="Arial"/>
                <w:b/>
                <w:i/>
                <w:sz w:val="16"/>
                <w:szCs w:val="16"/>
              </w:rPr>
              <w:t xml:space="preserve">Initial Economic Conditions </w:t>
            </w:r>
            <w:r w:rsidR="00682B9C">
              <w:rPr>
                <w:rFonts w:ascii="Arial" w:hAnsi="Arial" w:cs="Arial"/>
                <w:b/>
                <w:i/>
                <w:sz w:val="16"/>
                <w:szCs w:val="16"/>
              </w:rPr>
              <w:t>(2005)</w:t>
            </w:r>
          </w:p>
        </w:tc>
        <w:tc>
          <w:tcPr>
            <w:tcW w:w="1350" w:type="dxa"/>
            <w:tcBorders>
              <w:top w:val="single" w:sz="4" w:space="0" w:color="auto"/>
              <w:left w:val="nil"/>
              <w:bottom w:val="single" w:sz="4" w:space="0" w:color="auto"/>
              <w:right w:val="nil"/>
            </w:tcBorders>
          </w:tcPr>
          <w:p w14:paraId="5349BA3C"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p>
        </w:tc>
        <w:tc>
          <w:tcPr>
            <w:tcW w:w="1350" w:type="dxa"/>
            <w:tcBorders>
              <w:top w:val="single" w:sz="4" w:space="0" w:color="auto"/>
              <w:left w:val="nil"/>
              <w:bottom w:val="single" w:sz="4" w:space="0" w:color="auto"/>
              <w:right w:val="nil"/>
            </w:tcBorders>
          </w:tcPr>
          <w:p w14:paraId="4E7A7387"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p>
        </w:tc>
        <w:tc>
          <w:tcPr>
            <w:tcW w:w="1101" w:type="dxa"/>
            <w:tcBorders>
              <w:top w:val="single" w:sz="4" w:space="0" w:color="auto"/>
              <w:left w:val="nil"/>
              <w:bottom w:val="single" w:sz="4" w:space="0" w:color="auto"/>
              <w:right w:val="nil"/>
            </w:tcBorders>
          </w:tcPr>
          <w:p w14:paraId="4AAED2D1"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p>
        </w:tc>
        <w:tc>
          <w:tcPr>
            <w:tcW w:w="1239" w:type="dxa"/>
            <w:tcBorders>
              <w:top w:val="single" w:sz="4" w:space="0" w:color="auto"/>
              <w:left w:val="nil"/>
              <w:bottom w:val="single" w:sz="4" w:space="0" w:color="auto"/>
              <w:right w:val="nil"/>
            </w:tcBorders>
          </w:tcPr>
          <w:p w14:paraId="2FDA6E6C"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p>
        </w:tc>
      </w:tr>
      <w:tr w:rsidR="00FB113C" w:rsidRPr="009219BF" w14:paraId="297989EA" w14:textId="77777777" w:rsidTr="009B592E">
        <w:trPr>
          <w:trHeight w:val="144"/>
          <w:jc w:val="center"/>
        </w:trPr>
        <w:tc>
          <w:tcPr>
            <w:tcW w:w="4611" w:type="dxa"/>
            <w:tcBorders>
              <w:top w:val="single" w:sz="4" w:space="0" w:color="auto"/>
              <w:left w:val="nil"/>
              <w:bottom w:val="nil"/>
              <w:right w:val="nil"/>
            </w:tcBorders>
          </w:tcPr>
          <w:p w14:paraId="2B942E7B" w14:textId="77777777" w:rsidR="00FB113C" w:rsidRPr="00D445FC" w:rsidRDefault="00FB113C" w:rsidP="00153CFA">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Monthly Per capita expenditure (’00)</w:t>
            </w:r>
          </w:p>
        </w:tc>
        <w:tc>
          <w:tcPr>
            <w:tcW w:w="1350" w:type="dxa"/>
            <w:tcBorders>
              <w:top w:val="single" w:sz="4" w:space="0" w:color="auto"/>
              <w:left w:val="nil"/>
              <w:bottom w:val="nil"/>
              <w:right w:val="nil"/>
            </w:tcBorders>
          </w:tcPr>
          <w:p w14:paraId="6EC7F48E"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0.00449***</w:t>
            </w:r>
          </w:p>
        </w:tc>
        <w:tc>
          <w:tcPr>
            <w:tcW w:w="1350" w:type="dxa"/>
            <w:tcBorders>
              <w:top w:val="single" w:sz="4" w:space="0" w:color="auto"/>
              <w:left w:val="nil"/>
              <w:bottom w:val="nil"/>
              <w:right w:val="nil"/>
            </w:tcBorders>
          </w:tcPr>
          <w:p w14:paraId="07FDDD8E"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(0.00117)</w:t>
            </w:r>
          </w:p>
        </w:tc>
        <w:tc>
          <w:tcPr>
            <w:tcW w:w="1101" w:type="dxa"/>
            <w:tcBorders>
              <w:top w:val="single" w:sz="4" w:space="0" w:color="auto"/>
              <w:left w:val="nil"/>
              <w:bottom w:val="nil"/>
              <w:right w:val="nil"/>
            </w:tcBorders>
          </w:tcPr>
          <w:p w14:paraId="31294EB4"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-0.0463***</w:t>
            </w:r>
          </w:p>
        </w:tc>
        <w:tc>
          <w:tcPr>
            <w:tcW w:w="1239" w:type="dxa"/>
            <w:tcBorders>
              <w:top w:val="single" w:sz="4" w:space="0" w:color="auto"/>
              <w:left w:val="nil"/>
              <w:bottom w:val="nil"/>
              <w:right w:val="nil"/>
            </w:tcBorders>
          </w:tcPr>
          <w:p w14:paraId="18BD191F"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(0.00269)</w:t>
            </w:r>
          </w:p>
        </w:tc>
      </w:tr>
      <w:tr w:rsidR="00FB113C" w:rsidRPr="009219BF" w14:paraId="478389C7" w14:textId="77777777" w:rsidTr="00153CFA">
        <w:trPr>
          <w:trHeight w:val="144"/>
          <w:jc w:val="center"/>
        </w:trPr>
        <w:tc>
          <w:tcPr>
            <w:tcW w:w="4611" w:type="dxa"/>
            <w:tcBorders>
              <w:top w:val="nil"/>
              <w:left w:val="nil"/>
              <w:bottom w:val="nil"/>
              <w:right w:val="nil"/>
            </w:tcBorders>
          </w:tcPr>
          <w:p w14:paraId="36AC8CB5" w14:textId="77777777" w:rsidR="00FB113C" w:rsidRPr="00D445FC" w:rsidRDefault="00FB113C" w:rsidP="00153CFA">
            <w:pPr>
              <w:widowControl w:val="0"/>
              <w:autoSpaceDE w:val="0"/>
              <w:autoSpaceDN w:val="0"/>
              <w:adjustRightInd w:val="0"/>
              <w:spacing w:after="0" w:line="240" w:lineRule="auto"/>
              <w:rPr>
                <w:rFonts w:ascii="Arial" w:hAnsi="Arial" w:cs="Arial"/>
                <w:b/>
                <w:sz w:val="16"/>
                <w:szCs w:val="16"/>
              </w:rPr>
            </w:pPr>
            <w:r w:rsidRPr="00D445FC">
              <w:rPr>
                <w:rFonts w:ascii="Arial" w:hAnsi="Arial" w:cs="Arial"/>
                <w:b/>
                <w:sz w:val="16"/>
                <w:szCs w:val="16"/>
              </w:rPr>
              <w:t>Square of Monthly Per capita expenditure (’00)</w:t>
            </w:r>
          </w:p>
        </w:tc>
        <w:tc>
          <w:tcPr>
            <w:tcW w:w="1350" w:type="dxa"/>
            <w:tcBorders>
              <w:top w:val="nil"/>
              <w:left w:val="nil"/>
              <w:bottom w:val="nil"/>
              <w:right w:val="nil"/>
            </w:tcBorders>
          </w:tcPr>
          <w:p w14:paraId="149EC629"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-2.38e-05**</w:t>
            </w:r>
          </w:p>
        </w:tc>
        <w:tc>
          <w:tcPr>
            <w:tcW w:w="1350" w:type="dxa"/>
            <w:tcBorders>
              <w:top w:val="nil"/>
              <w:left w:val="nil"/>
              <w:bottom w:val="nil"/>
              <w:right w:val="nil"/>
            </w:tcBorders>
          </w:tcPr>
          <w:p w14:paraId="2A24D489"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(1.02e-05)</w:t>
            </w:r>
          </w:p>
        </w:tc>
        <w:tc>
          <w:tcPr>
            <w:tcW w:w="1101" w:type="dxa"/>
            <w:tcBorders>
              <w:top w:val="nil"/>
              <w:left w:val="nil"/>
              <w:bottom w:val="nil"/>
              <w:right w:val="nil"/>
            </w:tcBorders>
          </w:tcPr>
          <w:p w14:paraId="61FA43BD"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0.000204***</w:t>
            </w:r>
          </w:p>
        </w:tc>
        <w:tc>
          <w:tcPr>
            <w:tcW w:w="1239" w:type="dxa"/>
            <w:tcBorders>
              <w:top w:val="nil"/>
              <w:left w:val="nil"/>
              <w:bottom w:val="nil"/>
              <w:right w:val="nil"/>
            </w:tcBorders>
          </w:tcPr>
          <w:p w14:paraId="59059DCC" w14:textId="77777777" w:rsidR="00FB113C" w:rsidRPr="00D445FC" w:rsidRDefault="00FB113C" w:rsidP="00153CFA">
            <w:pPr>
              <w:widowControl w:val="0"/>
              <w:autoSpaceDE w:val="0"/>
              <w:autoSpaceDN w:val="0"/>
              <w:adjustRightInd w:val="0"/>
              <w:spacing w:after="0" w:line="240" w:lineRule="auto"/>
              <w:jc w:val="center"/>
              <w:rPr>
                <w:rFonts w:ascii="Arial" w:hAnsi="Arial" w:cs="Arial"/>
                <w:b/>
                <w:sz w:val="16"/>
                <w:szCs w:val="16"/>
              </w:rPr>
            </w:pPr>
            <w:r w:rsidRPr="00D445FC">
              <w:rPr>
                <w:rFonts w:ascii="Arial" w:hAnsi="Arial" w:cs="Arial"/>
                <w:b/>
                <w:sz w:val="16"/>
                <w:szCs w:val="16"/>
              </w:rPr>
              <w:t>(3.89e-05)</w:t>
            </w:r>
          </w:p>
        </w:tc>
      </w:tr>
      <w:tr w:rsidR="00FB113C" w:rsidRPr="009219BF" w14:paraId="05768EEB" w14:textId="77777777" w:rsidTr="00153CFA">
        <w:trPr>
          <w:trHeight w:val="144"/>
          <w:jc w:val="center"/>
        </w:trPr>
        <w:tc>
          <w:tcPr>
            <w:tcW w:w="4611" w:type="dxa"/>
            <w:tcBorders>
              <w:top w:val="nil"/>
              <w:left w:val="nil"/>
              <w:bottom w:val="nil"/>
              <w:right w:val="nil"/>
            </w:tcBorders>
          </w:tcPr>
          <w:p w14:paraId="1C497C00" w14:textId="77777777" w:rsidR="00FB113C" w:rsidRPr="00702F5C" w:rsidRDefault="00FB113C" w:rsidP="00153CFA">
            <w:pPr>
              <w:widowControl w:val="0"/>
              <w:autoSpaceDE w:val="0"/>
              <w:autoSpaceDN w:val="0"/>
              <w:adjustRightInd w:val="0"/>
              <w:spacing w:after="0" w:line="240" w:lineRule="auto"/>
              <w:rPr>
                <w:rFonts w:ascii="Arial" w:hAnsi="Arial" w:cs="Arial"/>
                <w:b/>
                <w:sz w:val="16"/>
                <w:szCs w:val="16"/>
              </w:rPr>
            </w:pPr>
            <w:r w:rsidRPr="00702F5C">
              <w:rPr>
                <w:rFonts w:ascii="Arial" w:hAnsi="Arial" w:cs="Arial"/>
                <w:b/>
                <w:sz w:val="16"/>
                <w:szCs w:val="16"/>
              </w:rPr>
              <w:t>Household per capita expenditure as fraction of highest in PSU</w:t>
            </w:r>
          </w:p>
        </w:tc>
        <w:tc>
          <w:tcPr>
            <w:tcW w:w="1350" w:type="dxa"/>
            <w:tcBorders>
              <w:top w:val="nil"/>
              <w:left w:val="nil"/>
              <w:bottom w:val="nil"/>
              <w:right w:val="nil"/>
            </w:tcBorders>
          </w:tcPr>
          <w:p w14:paraId="4A26C445" w14:textId="77777777" w:rsidR="00FB113C" w:rsidRPr="00702F5C" w:rsidRDefault="00FB113C" w:rsidP="00153CFA">
            <w:pPr>
              <w:widowControl w:val="0"/>
              <w:autoSpaceDE w:val="0"/>
              <w:autoSpaceDN w:val="0"/>
              <w:adjustRightInd w:val="0"/>
              <w:spacing w:after="0" w:line="240" w:lineRule="auto"/>
              <w:jc w:val="center"/>
              <w:rPr>
                <w:rFonts w:ascii="Arial" w:hAnsi="Arial" w:cs="Arial"/>
                <w:b/>
                <w:sz w:val="16"/>
                <w:szCs w:val="16"/>
              </w:rPr>
            </w:pPr>
            <w:r w:rsidRPr="00702F5C">
              <w:rPr>
                <w:rFonts w:ascii="Arial" w:hAnsi="Arial" w:cs="Arial"/>
                <w:b/>
                <w:sz w:val="16"/>
                <w:szCs w:val="16"/>
              </w:rPr>
              <w:t>0.0685***</w:t>
            </w:r>
          </w:p>
        </w:tc>
        <w:tc>
          <w:tcPr>
            <w:tcW w:w="1350" w:type="dxa"/>
            <w:tcBorders>
              <w:top w:val="nil"/>
              <w:left w:val="nil"/>
              <w:bottom w:val="nil"/>
              <w:right w:val="nil"/>
            </w:tcBorders>
          </w:tcPr>
          <w:p w14:paraId="4C4474B7" w14:textId="77777777" w:rsidR="00FB113C" w:rsidRPr="00702F5C" w:rsidRDefault="00FB113C" w:rsidP="00153CFA">
            <w:pPr>
              <w:widowControl w:val="0"/>
              <w:autoSpaceDE w:val="0"/>
              <w:autoSpaceDN w:val="0"/>
              <w:adjustRightInd w:val="0"/>
              <w:spacing w:after="0" w:line="240" w:lineRule="auto"/>
              <w:jc w:val="center"/>
              <w:rPr>
                <w:rFonts w:ascii="Arial" w:hAnsi="Arial" w:cs="Arial"/>
                <w:b/>
                <w:sz w:val="16"/>
                <w:szCs w:val="16"/>
              </w:rPr>
            </w:pPr>
            <w:r w:rsidRPr="00702F5C">
              <w:rPr>
                <w:rFonts w:ascii="Arial" w:hAnsi="Arial" w:cs="Arial"/>
                <w:b/>
                <w:sz w:val="16"/>
                <w:szCs w:val="16"/>
              </w:rPr>
              <w:t>(0.0258)</w:t>
            </w:r>
          </w:p>
        </w:tc>
        <w:tc>
          <w:tcPr>
            <w:tcW w:w="1101" w:type="dxa"/>
            <w:tcBorders>
              <w:top w:val="nil"/>
              <w:left w:val="nil"/>
              <w:bottom w:val="nil"/>
              <w:right w:val="nil"/>
            </w:tcBorders>
          </w:tcPr>
          <w:p w14:paraId="793E6EAA" w14:textId="77777777" w:rsidR="00FB113C" w:rsidRPr="00702F5C" w:rsidRDefault="00FB113C" w:rsidP="00153CFA">
            <w:pPr>
              <w:widowControl w:val="0"/>
              <w:autoSpaceDE w:val="0"/>
              <w:autoSpaceDN w:val="0"/>
              <w:adjustRightInd w:val="0"/>
              <w:spacing w:after="0" w:line="240" w:lineRule="auto"/>
              <w:jc w:val="center"/>
              <w:rPr>
                <w:rFonts w:ascii="Arial" w:hAnsi="Arial" w:cs="Arial"/>
                <w:b/>
                <w:sz w:val="16"/>
                <w:szCs w:val="16"/>
              </w:rPr>
            </w:pPr>
            <w:r w:rsidRPr="00702F5C">
              <w:rPr>
                <w:rFonts w:ascii="Arial" w:hAnsi="Arial" w:cs="Arial"/>
                <w:b/>
                <w:sz w:val="16"/>
                <w:szCs w:val="16"/>
              </w:rPr>
              <w:t>-0.249***</w:t>
            </w:r>
          </w:p>
        </w:tc>
        <w:tc>
          <w:tcPr>
            <w:tcW w:w="1239" w:type="dxa"/>
            <w:tcBorders>
              <w:top w:val="nil"/>
              <w:left w:val="nil"/>
              <w:bottom w:val="nil"/>
              <w:right w:val="nil"/>
            </w:tcBorders>
          </w:tcPr>
          <w:p w14:paraId="6B2855F5" w14:textId="77777777" w:rsidR="00FB113C" w:rsidRPr="00702F5C" w:rsidRDefault="00FB113C" w:rsidP="00153CFA">
            <w:pPr>
              <w:widowControl w:val="0"/>
              <w:autoSpaceDE w:val="0"/>
              <w:autoSpaceDN w:val="0"/>
              <w:adjustRightInd w:val="0"/>
              <w:spacing w:after="0" w:line="240" w:lineRule="auto"/>
              <w:jc w:val="center"/>
              <w:rPr>
                <w:rFonts w:ascii="Arial" w:hAnsi="Arial" w:cs="Arial"/>
                <w:b/>
                <w:sz w:val="16"/>
                <w:szCs w:val="16"/>
              </w:rPr>
            </w:pPr>
            <w:r w:rsidRPr="00702F5C">
              <w:rPr>
                <w:rFonts w:ascii="Arial" w:hAnsi="Arial" w:cs="Arial"/>
                <w:b/>
                <w:sz w:val="16"/>
                <w:szCs w:val="16"/>
              </w:rPr>
              <w:t>(0.0252)</w:t>
            </w:r>
          </w:p>
        </w:tc>
      </w:tr>
      <w:tr w:rsidR="00ED532F" w:rsidRPr="009219BF" w14:paraId="09F5252E" w14:textId="77777777" w:rsidTr="00ED532F">
        <w:trPr>
          <w:trHeight w:val="144"/>
          <w:jc w:val="center"/>
        </w:trPr>
        <w:tc>
          <w:tcPr>
            <w:tcW w:w="4611" w:type="dxa"/>
            <w:tcBorders>
              <w:top w:val="nil"/>
              <w:left w:val="nil"/>
              <w:bottom w:val="nil"/>
              <w:right w:val="nil"/>
            </w:tcBorders>
          </w:tcPr>
          <w:p w14:paraId="30558B0A" w14:textId="77777777" w:rsidR="00ED532F" w:rsidRPr="00193B71" w:rsidRDefault="00ED532F" w:rsidP="00ED532F">
            <w:pPr>
              <w:widowControl w:val="0"/>
              <w:autoSpaceDE w:val="0"/>
              <w:autoSpaceDN w:val="0"/>
              <w:adjustRightInd w:val="0"/>
              <w:spacing w:after="0" w:line="240" w:lineRule="auto"/>
              <w:rPr>
                <w:rFonts w:ascii="Arial" w:hAnsi="Arial" w:cs="Arial"/>
                <w:b/>
                <w:sz w:val="16"/>
                <w:szCs w:val="16"/>
              </w:rPr>
            </w:pPr>
            <w:r w:rsidRPr="00193B71">
              <w:rPr>
                <w:rFonts w:ascii="Arial" w:hAnsi="Arial" w:cs="Arial"/>
                <w:b/>
                <w:sz w:val="16"/>
                <w:szCs w:val="16"/>
              </w:rPr>
              <w:t>Ratio of share top 1% to bottom 50%</w:t>
            </w:r>
          </w:p>
        </w:tc>
        <w:tc>
          <w:tcPr>
            <w:tcW w:w="1350" w:type="dxa"/>
            <w:tcBorders>
              <w:top w:val="nil"/>
              <w:left w:val="nil"/>
              <w:bottom w:val="nil"/>
              <w:right w:val="nil"/>
            </w:tcBorders>
          </w:tcPr>
          <w:p w14:paraId="5CC3C4EA"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0.261***</w:t>
            </w:r>
          </w:p>
        </w:tc>
        <w:tc>
          <w:tcPr>
            <w:tcW w:w="1350" w:type="dxa"/>
            <w:tcBorders>
              <w:top w:val="nil"/>
              <w:left w:val="nil"/>
              <w:bottom w:val="nil"/>
              <w:right w:val="nil"/>
            </w:tcBorders>
          </w:tcPr>
          <w:p w14:paraId="5D662D62"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(0.0364)</w:t>
            </w:r>
          </w:p>
        </w:tc>
        <w:tc>
          <w:tcPr>
            <w:tcW w:w="1101" w:type="dxa"/>
            <w:tcBorders>
              <w:top w:val="nil"/>
              <w:left w:val="nil"/>
              <w:bottom w:val="nil"/>
              <w:right w:val="nil"/>
            </w:tcBorders>
          </w:tcPr>
          <w:p w14:paraId="33E7E36A"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-0.0670**</w:t>
            </w:r>
          </w:p>
        </w:tc>
        <w:tc>
          <w:tcPr>
            <w:tcW w:w="1239" w:type="dxa"/>
            <w:tcBorders>
              <w:top w:val="nil"/>
              <w:left w:val="nil"/>
              <w:bottom w:val="nil"/>
              <w:right w:val="nil"/>
            </w:tcBorders>
          </w:tcPr>
          <w:p w14:paraId="620C390A" w14:textId="77777777" w:rsidR="00ED532F" w:rsidRPr="00193B71" w:rsidRDefault="00ED532F" w:rsidP="00ED532F">
            <w:pPr>
              <w:widowControl w:val="0"/>
              <w:autoSpaceDE w:val="0"/>
              <w:autoSpaceDN w:val="0"/>
              <w:adjustRightInd w:val="0"/>
              <w:spacing w:after="0" w:line="240" w:lineRule="auto"/>
              <w:jc w:val="center"/>
              <w:rPr>
                <w:rFonts w:ascii="Arial" w:hAnsi="Arial" w:cs="Arial"/>
                <w:b/>
                <w:sz w:val="16"/>
                <w:szCs w:val="16"/>
              </w:rPr>
            </w:pPr>
            <w:r w:rsidRPr="00193B71">
              <w:rPr>
                <w:rFonts w:ascii="Arial" w:hAnsi="Arial" w:cs="Arial"/>
                <w:b/>
                <w:sz w:val="16"/>
                <w:szCs w:val="16"/>
              </w:rPr>
              <w:t>(0.0332)</w:t>
            </w:r>
          </w:p>
        </w:tc>
      </w:tr>
      <w:tr w:rsidR="00ED532F" w:rsidRPr="009219BF" w14:paraId="5EF5F09A" w14:textId="77777777" w:rsidTr="00ED532F">
        <w:trPr>
          <w:trHeight w:val="144"/>
          <w:jc w:val="center"/>
        </w:trPr>
        <w:tc>
          <w:tcPr>
            <w:tcW w:w="4611" w:type="dxa"/>
            <w:tcBorders>
              <w:top w:val="nil"/>
              <w:left w:val="nil"/>
              <w:bottom w:val="nil"/>
              <w:right w:val="nil"/>
            </w:tcBorders>
          </w:tcPr>
          <w:p w14:paraId="1CA00272"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eastAsia="Times New Roman" w:hAnsi="Arial" w:cs="Arial"/>
                <w:i/>
                <w:sz w:val="16"/>
                <w:szCs w:val="16"/>
              </w:rPr>
              <w:t>Net State domestic Product (in ‘000)</w:t>
            </w:r>
          </w:p>
        </w:tc>
        <w:tc>
          <w:tcPr>
            <w:tcW w:w="1350" w:type="dxa"/>
            <w:tcBorders>
              <w:top w:val="nil"/>
              <w:left w:val="nil"/>
              <w:bottom w:val="nil"/>
              <w:right w:val="nil"/>
            </w:tcBorders>
          </w:tcPr>
          <w:p w14:paraId="418A93C0"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0.00738***</w:t>
            </w:r>
          </w:p>
        </w:tc>
        <w:tc>
          <w:tcPr>
            <w:tcW w:w="1350" w:type="dxa"/>
            <w:tcBorders>
              <w:top w:val="nil"/>
              <w:left w:val="nil"/>
              <w:bottom w:val="nil"/>
              <w:right w:val="nil"/>
            </w:tcBorders>
          </w:tcPr>
          <w:p w14:paraId="7C52F966"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(0.00201)</w:t>
            </w:r>
          </w:p>
        </w:tc>
        <w:tc>
          <w:tcPr>
            <w:tcW w:w="1101" w:type="dxa"/>
            <w:tcBorders>
              <w:top w:val="nil"/>
              <w:left w:val="nil"/>
              <w:bottom w:val="nil"/>
              <w:right w:val="nil"/>
            </w:tcBorders>
          </w:tcPr>
          <w:p w14:paraId="1636B74B"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0.0120***</w:t>
            </w:r>
          </w:p>
        </w:tc>
        <w:tc>
          <w:tcPr>
            <w:tcW w:w="1239" w:type="dxa"/>
            <w:tcBorders>
              <w:top w:val="nil"/>
              <w:left w:val="nil"/>
              <w:bottom w:val="nil"/>
              <w:right w:val="nil"/>
            </w:tcBorders>
          </w:tcPr>
          <w:p w14:paraId="4C2267D3"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(0.00176)</w:t>
            </w:r>
          </w:p>
        </w:tc>
      </w:tr>
      <w:tr w:rsidR="00ED532F" w:rsidRPr="009219BF" w14:paraId="780CA6A9" w14:textId="77777777" w:rsidTr="00ED532F">
        <w:trPr>
          <w:trHeight w:val="144"/>
          <w:jc w:val="center"/>
        </w:trPr>
        <w:tc>
          <w:tcPr>
            <w:tcW w:w="4611" w:type="dxa"/>
            <w:tcBorders>
              <w:top w:val="nil"/>
              <w:left w:val="nil"/>
              <w:bottom w:val="nil"/>
              <w:right w:val="nil"/>
            </w:tcBorders>
          </w:tcPr>
          <w:p w14:paraId="1C1C33D1" w14:textId="77777777" w:rsidR="00ED532F" w:rsidRPr="00514F20" w:rsidRDefault="00ED532F" w:rsidP="00ED532F">
            <w:pPr>
              <w:widowControl w:val="0"/>
              <w:autoSpaceDE w:val="0"/>
              <w:autoSpaceDN w:val="0"/>
              <w:adjustRightInd w:val="0"/>
              <w:spacing w:after="0" w:line="240" w:lineRule="auto"/>
              <w:rPr>
                <w:rFonts w:ascii="Arial" w:hAnsi="Arial" w:cs="Arial"/>
                <w:i/>
                <w:sz w:val="16"/>
                <w:szCs w:val="16"/>
              </w:rPr>
            </w:pPr>
            <w:r w:rsidRPr="00514F20">
              <w:rPr>
                <w:rFonts w:ascii="Arial" w:eastAsia="Times New Roman" w:hAnsi="Arial" w:cs="Arial"/>
                <w:i/>
                <w:sz w:val="16"/>
                <w:szCs w:val="16"/>
              </w:rPr>
              <w:t>Net State domestic Product (in ‘000) Square</w:t>
            </w:r>
          </w:p>
        </w:tc>
        <w:tc>
          <w:tcPr>
            <w:tcW w:w="1350" w:type="dxa"/>
            <w:tcBorders>
              <w:top w:val="nil"/>
              <w:left w:val="nil"/>
              <w:bottom w:val="nil"/>
              <w:right w:val="nil"/>
            </w:tcBorders>
          </w:tcPr>
          <w:p w14:paraId="00FC93AC"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-7.77e-05**</w:t>
            </w:r>
          </w:p>
        </w:tc>
        <w:tc>
          <w:tcPr>
            <w:tcW w:w="1350" w:type="dxa"/>
            <w:tcBorders>
              <w:top w:val="nil"/>
              <w:left w:val="nil"/>
              <w:bottom w:val="nil"/>
              <w:right w:val="nil"/>
            </w:tcBorders>
          </w:tcPr>
          <w:p w14:paraId="74B9F08B"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(3.09e-05)</w:t>
            </w:r>
          </w:p>
        </w:tc>
        <w:tc>
          <w:tcPr>
            <w:tcW w:w="1101" w:type="dxa"/>
            <w:tcBorders>
              <w:top w:val="nil"/>
              <w:left w:val="nil"/>
              <w:bottom w:val="nil"/>
              <w:right w:val="nil"/>
            </w:tcBorders>
          </w:tcPr>
          <w:p w14:paraId="1C4DF425"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-0.000133***</w:t>
            </w:r>
          </w:p>
        </w:tc>
        <w:tc>
          <w:tcPr>
            <w:tcW w:w="1239" w:type="dxa"/>
            <w:tcBorders>
              <w:top w:val="nil"/>
              <w:left w:val="nil"/>
              <w:bottom w:val="nil"/>
              <w:right w:val="nil"/>
            </w:tcBorders>
          </w:tcPr>
          <w:p w14:paraId="759BE0D1" w14:textId="77777777" w:rsidR="00ED532F" w:rsidRPr="00514F20" w:rsidRDefault="00ED532F" w:rsidP="00ED532F">
            <w:pPr>
              <w:widowControl w:val="0"/>
              <w:autoSpaceDE w:val="0"/>
              <w:autoSpaceDN w:val="0"/>
              <w:adjustRightInd w:val="0"/>
              <w:spacing w:after="0" w:line="240" w:lineRule="auto"/>
              <w:jc w:val="center"/>
              <w:rPr>
                <w:rFonts w:ascii="Arial" w:hAnsi="Arial" w:cs="Arial"/>
                <w:i/>
                <w:sz w:val="16"/>
                <w:szCs w:val="16"/>
              </w:rPr>
            </w:pPr>
            <w:r w:rsidRPr="00514F20">
              <w:rPr>
                <w:rFonts w:ascii="Arial" w:hAnsi="Arial" w:cs="Arial"/>
                <w:i/>
                <w:sz w:val="16"/>
                <w:szCs w:val="16"/>
              </w:rPr>
              <w:t>(2.68e-05)</w:t>
            </w:r>
          </w:p>
        </w:tc>
      </w:tr>
      <w:tr w:rsidR="00ED532F" w:rsidRPr="009219BF" w14:paraId="14F6C305" w14:textId="77777777" w:rsidTr="00ED532F">
        <w:trPr>
          <w:trHeight w:val="144"/>
          <w:jc w:val="center"/>
        </w:trPr>
        <w:tc>
          <w:tcPr>
            <w:tcW w:w="4611" w:type="dxa"/>
            <w:tcBorders>
              <w:top w:val="nil"/>
              <w:left w:val="nil"/>
              <w:bottom w:val="nil"/>
              <w:right w:val="nil"/>
            </w:tcBorders>
          </w:tcPr>
          <w:p w14:paraId="1862A199"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Constant</w:t>
            </w:r>
          </w:p>
        </w:tc>
        <w:tc>
          <w:tcPr>
            <w:tcW w:w="1350" w:type="dxa"/>
            <w:tcBorders>
              <w:top w:val="nil"/>
              <w:left w:val="nil"/>
              <w:bottom w:val="nil"/>
              <w:right w:val="nil"/>
            </w:tcBorders>
          </w:tcPr>
          <w:p w14:paraId="1ADE3C55" w14:textId="77777777" w:rsidR="00ED532F" w:rsidRPr="009219BF" w:rsidRDefault="00ED532F" w:rsidP="00F061D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0.736</w:t>
            </w:r>
          </w:p>
        </w:tc>
        <w:tc>
          <w:tcPr>
            <w:tcW w:w="1350" w:type="dxa"/>
            <w:tcBorders>
              <w:top w:val="nil"/>
              <w:left w:val="nil"/>
              <w:bottom w:val="nil"/>
              <w:right w:val="nil"/>
            </w:tcBorders>
          </w:tcPr>
          <w:p w14:paraId="5ABD42DF"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(0.0639)</w:t>
            </w:r>
          </w:p>
        </w:tc>
        <w:tc>
          <w:tcPr>
            <w:tcW w:w="1101" w:type="dxa"/>
            <w:tcBorders>
              <w:top w:val="nil"/>
              <w:left w:val="nil"/>
              <w:bottom w:val="nil"/>
              <w:right w:val="nil"/>
            </w:tcBorders>
          </w:tcPr>
          <w:p w14:paraId="29BB557B" w14:textId="77777777" w:rsidR="00ED532F" w:rsidRPr="00473B68" w:rsidRDefault="00ED532F" w:rsidP="00F061D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1.124</w:t>
            </w:r>
          </w:p>
        </w:tc>
        <w:tc>
          <w:tcPr>
            <w:tcW w:w="1239" w:type="dxa"/>
            <w:tcBorders>
              <w:top w:val="nil"/>
              <w:left w:val="nil"/>
              <w:bottom w:val="nil"/>
              <w:right w:val="nil"/>
            </w:tcBorders>
          </w:tcPr>
          <w:p w14:paraId="12CB1BD0" w14:textId="77777777" w:rsidR="00ED532F" w:rsidRPr="00473B68"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(0.0776)</w:t>
            </w:r>
          </w:p>
        </w:tc>
      </w:tr>
      <w:tr w:rsidR="00ED532F" w:rsidRPr="009219BF" w14:paraId="2739326B" w14:textId="77777777" w:rsidTr="00ED532F">
        <w:trPr>
          <w:trHeight w:val="144"/>
          <w:jc w:val="center"/>
        </w:trPr>
        <w:tc>
          <w:tcPr>
            <w:tcW w:w="4611" w:type="dxa"/>
            <w:tcBorders>
              <w:top w:val="nil"/>
              <w:left w:val="nil"/>
              <w:bottom w:val="nil"/>
              <w:right w:val="nil"/>
            </w:tcBorders>
          </w:tcPr>
          <w:p w14:paraId="59A46318"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p>
        </w:tc>
        <w:tc>
          <w:tcPr>
            <w:tcW w:w="1350" w:type="dxa"/>
            <w:tcBorders>
              <w:top w:val="nil"/>
              <w:left w:val="nil"/>
              <w:bottom w:val="nil"/>
              <w:right w:val="nil"/>
            </w:tcBorders>
          </w:tcPr>
          <w:p w14:paraId="127A661D"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7CAC2A91"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73E9FA2E"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239" w:type="dxa"/>
            <w:tcBorders>
              <w:top w:val="nil"/>
              <w:left w:val="nil"/>
              <w:bottom w:val="nil"/>
              <w:right w:val="nil"/>
            </w:tcBorders>
          </w:tcPr>
          <w:p w14:paraId="722F9A23"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0C440532" w14:textId="77777777" w:rsidTr="00ED532F">
        <w:trPr>
          <w:trHeight w:val="144"/>
          <w:jc w:val="center"/>
        </w:trPr>
        <w:tc>
          <w:tcPr>
            <w:tcW w:w="4611" w:type="dxa"/>
            <w:tcBorders>
              <w:top w:val="nil"/>
              <w:left w:val="nil"/>
              <w:bottom w:val="nil"/>
              <w:right w:val="nil"/>
            </w:tcBorders>
          </w:tcPr>
          <w:p w14:paraId="584FF688"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Observations</w:t>
            </w:r>
          </w:p>
        </w:tc>
        <w:tc>
          <w:tcPr>
            <w:tcW w:w="1350" w:type="dxa"/>
            <w:tcBorders>
              <w:top w:val="nil"/>
              <w:left w:val="nil"/>
              <w:bottom w:val="nil"/>
              <w:right w:val="nil"/>
            </w:tcBorders>
          </w:tcPr>
          <w:p w14:paraId="0EB19A13"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27,958</w:t>
            </w:r>
          </w:p>
        </w:tc>
        <w:tc>
          <w:tcPr>
            <w:tcW w:w="1350" w:type="dxa"/>
            <w:tcBorders>
              <w:top w:val="nil"/>
              <w:left w:val="nil"/>
              <w:bottom w:val="nil"/>
              <w:right w:val="nil"/>
            </w:tcBorders>
          </w:tcPr>
          <w:p w14:paraId="4E707623"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nil"/>
              <w:right w:val="nil"/>
            </w:tcBorders>
          </w:tcPr>
          <w:p w14:paraId="4B70EF23"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27,945</w:t>
            </w:r>
          </w:p>
        </w:tc>
        <w:tc>
          <w:tcPr>
            <w:tcW w:w="1239" w:type="dxa"/>
            <w:tcBorders>
              <w:top w:val="nil"/>
              <w:left w:val="nil"/>
              <w:bottom w:val="nil"/>
              <w:right w:val="nil"/>
            </w:tcBorders>
          </w:tcPr>
          <w:p w14:paraId="4692E410"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r w:rsidR="00ED532F" w:rsidRPr="009219BF" w14:paraId="31013E0B" w14:textId="77777777" w:rsidTr="00ED532F">
        <w:tblPrEx>
          <w:tblBorders>
            <w:bottom w:val="single" w:sz="6" w:space="0" w:color="auto"/>
          </w:tblBorders>
        </w:tblPrEx>
        <w:trPr>
          <w:trHeight w:val="144"/>
          <w:jc w:val="center"/>
        </w:trPr>
        <w:tc>
          <w:tcPr>
            <w:tcW w:w="4611" w:type="dxa"/>
            <w:tcBorders>
              <w:top w:val="nil"/>
              <w:left w:val="nil"/>
              <w:bottom w:val="single" w:sz="6" w:space="0" w:color="auto"/>
              <w:right w:val="nil"/>
            </w:tcBorders>
          </w:tcPr>
          <w:p w14:paraId="2887F84D"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r w:rsidRPr="009219BF">
              <w:rPr>
                <w:rFonts w:ascii="Arial" w:hAnsi="Arial" w:cs="Arial"/>
                <w:sz w:val="16"/>
                <w:szCs w:val="16"/>
              </w:rPr>
              <w:t>R-squared</w:t>
            </w:r>
          </w:p>
        </w:tc>
        <w:tc>
          <w:tcPr>
            <w:tcW w:w="1350" w:type="dxa"/>
            <w:tcBorders>
              <w:top w:val="nil"/>
              <w:left w:val="nil"/>
              <w:bottom w:val="single" w:sz="6" w:space="0" w:color="auto"/>
              <w:right w:val="nil"/>
            </w:tcBorders>
          </w:tcPr>
          <w:p w14:paraId="034D711A"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9219BF">
              <w:rPr>
                <w:rFonts w:ascii="Arial" w:hAnsi="Arial" w:cs="Arial"/>
                <w:sz w:val="16"/>
                <w:szCs w:val="16"/>
              </w:rPr>
              <w:t>0.063</w:t>
            </w:r>
          </w:p>
        </w:tc>
        <w:tc>
          <w:tcPr>
            <w:tcW w:w="1350" w:type="dxa"/>
            <w:tcBorders>
              <w:top w:val="nil"/>
              <w:left w:val="nil"/>
              <w:bottom w:val="single" w:sz="6" w:space="0" w:color="auto"/>
              <w:right w:val="nil"/>
            </w:tcBorders>
          </w:tcPr>
          <w:p w14:paraId="4CF89EBA"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c>
          <w:tcPr>
            <w:tcW w:w="1101" w:type="dxa"/>
            <w:tcBorders>
              <w:top w:val="nil"/>
              <w:left w:val="nil"/>
              <w:bottom w:val="single" w:sz="6" w:space="0" w:color="auto"/>
              <w:right w:val="nil"/>
            </w:tcBorders>
          </w:tcPr>
          <w:p w14:paraId="78EE2CD2"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r w:rsidRPr="00D63153">
              <w:rPr>
                <w:rFonts w:ascii="Arial" w:hAnsi="Arial" w:cs="Arial"/>
                <w:sz w:val="16"/>
                <w:szCs w:val="16"/>
              </w:rPr>
              <w:t>0.223</w:t>
            </w:r>
          </w:p>
        </w:tc>
        <w:tc>
          <w:tcPr>
            <w:tcW w:w="1239" w:type="dxa"/>
            <w:tcBorders>
              <w:top w:val="nil"/>
              <w:left w:val="nil"/>
              <w:bottom w:val="single" w:sz="6" w:space="0" w:color="auto"/>
              <w:right w:val="nil"/>
            </w:tcBorders>
          </w:tcPr>
          <w:p w14:paraId="643A70AB" w14:textId="77777777" w:rsidR="00ED532F" w:rsidRPr="009219BF" w:rsidRDefault="00ED532F" w:rsidP="00ED532F">
            <w:pPr>
              <w:widowControl w:val="0"/>
              <w:autoSpaceDE w:val="0"/>
              <w:autoSpaceDN w:val="0"/>
              <w:adjustRightInd w:val="0"/>
              <w:spacing w:after="0" w:line="240" w:lineRule="auto"/>
              <w:jc w:val="center"/>
              <w:rPr>
                <w:rFonts w:ascii="Arial" w:hAnsi="Arial" w:cs="Arial"/>
                <w:sz w:val="16"/>
                <w:szCs w:val="16"/>
              </w:rPr>
            </w:pPr>
          </w:p>
        </w:tc>
      </w:tr>
    </w:tbl>
    <w:p w14:paraId="17B5F162" w14:textId="77777777" w:rsidR="005C79F4" w:rsidRDefault="00ED532F" w:rsidP="00ED532F">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Notes: 1. </w:t>
      </w:r>
      <w:r w:rsidRPr="009219BF">
        <w:rPr>
          <w:rFonts w:ascii="Arial" w:hAnsi="Arial" w:cs="Arial"/>
          <w:sz w:val="16"/>
          <w:szCs w:val="16"/>
        </w:rPr>
        <w:t>Robust Standard errors in parentheses</w:t>
      </w:r>
      <w:r>
        <w:rPr>
          <w:rFonts w:ascii="Arial" w:hAnsi="Arial" w:cs="Arial"/>
          <w:sz w:val="16"/>
          <w:szCs w:val="16"/>
        </w:rPr>
        <w:t xml:space="preserve">. </w:t>
      </w:r>
      <w:proofErr w:type="gramStart"/>
      <w:r w:rsidRPr="009219BF">
        <w:rPr>
          <w:rFonts w:ascii="Arial" w:hAnsi="Arial" w:cs="Arial"/>
          <w:sz w:val="16"/>
          <w:szCs w:val="16"/>
        </w:rPr>
        <w:t>*** p&lt;0.01, ** p&lt;0.05, * p&lt;0.1</w:t>
      </w:r>
      <w:r>
        <w:rPr>
          <w:rFonts w:ascii="Arial" w:hAnsi="Arial" w:cs="Arial"/>
          <w:sz w:val="16"/>
          <w:szCs w:val="16"/>
        </w:rPr>
        <w:t>.</w:t>
      </w:r>
      <w:r w:rsidR="000C5578">
        <w:rPr>
          <w:rFonts w:ascii="Arial" w:hAnsi="Arial" w:cs="Arial"/>
          <w:sz w:val="16"/>
          <w:szCs w:val="16"/>
        </w:rPr>
        <w:t>;</w:t>
      </w:r>
      <w:proofErr w:type="gramEnd"/>
    </w:p>
    <w:p w14:paraId="39F9F7B8" w14:textId="77777777" w:rsidR="005C79F4" w:rsidRDefault="00ED532F" w:rsidP="00ED532F">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2. The results where </w:t>
      </w:r>
      <w:r w:rsidR="00514F20">
        <w:rPr>
          <w:rFonts w:ascii="Arial" w:hAnsi="Arial" w:cs="Arial"/>
          <w:sz w:val="16"/>
          <w:szCs w:val="16"/>
        </w:rPr>
        <w:t xml:space="preserve">the coefficient estimates </w:t>
      </w:r>
      <w:r>
        <w:rPr>
          <w:rFonts w:ascii="Arial" w:hAnsi="Arial" w:cs="Arial"/>
          <w:sz w:val="16"/>
          <w:szCs w:val="16"/>
        </w:rPr>
        <w:t xml:space="preserve">are statistically significant </w:t>
      </w:r>
      <w:r w:rsidR="00514F20">
        <w:rPr>
          <w:rFonts w:ascii="Arial" w:hAnsi="Arial" w:cs="Arial"/>
          <w:sz w:val="16"/>
          <w:szCs w:val="16"/>
        </w:rPr>
        <w:t xml:space="preserve">for ∆SWB and ∆OWB </w:t>
      </w:r>
      <w:r>
        <w:rPr>
          <w:rFonts w:ascii="Arial" w:hAnsi="Arial" w:cs="Arial"/>
          <w:sz w:val="16"/>
          <w:szCs w:val="16"/>
        </w:rPr>
        <w:t>with an opposit</w:t>
      </w:r>
      <w:r w:rsidR="00514F20">
        <w:rPr>
          <w:rFonts w:ascii="Arial" w:hAnsi="Arial" w:cs="Arial"/>
          <w:sz w:val="16"/>
          <w:szCs w:val="16"/>
        </w:rPr>
        <w:t xml:space="preserve">e </w:t>
      </w:r>
      <w:proofErr w:type="gramStart"/>
      <w:r w:rsidR="00514F20">
        <w:rPr>
          <w:rFonts w:ascii="Arial" w:hAnsi="Arial" w:cs="Arial"/>
          <w:sz w:val="16"/>
          <w:szCs w:val="16"/>
        </w:rPr>
        <w:t>sign,</w:t>
      </w:r>
      <w:proofErr w:type="gramEnd"/>
      <w:r w:rsidR="00514F20">
        <w:rPr>
          <w:rFonts w:ascii="Arial" w:hAnsi="Arial" w:cs="Arial"/>
          <w:sz w:val="16"/>
          <w:szCs w:val="16"/>
        </w:rPr>
        <w:t xml:space="preserve"> or only significant for ∆SWB are highlighted in bold; </w:t>
      </w:r>
    </w:p>
    <w:p w14:paraId="45A133BF" w14:textId="77777777" w:rsidR="00ED532F" w:rsidRPr="009219BF" w:rsidRDefault="00514F20" w:rsidP="00ED532F">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3. The results where the coefficient estimates are statistically significant for ∆SWB and ∆OWB with a same sign are highlighted in Italics. </w:t>
      </w:r>
    </w:p>
    <w:p w14:paraId="544B016C" w14:textId="77777777" w:rsidR="00ED532F" w:rsidRPr="009219BF" w:rsidRDefault="00ED532F" w:rsidP="00ED532F">
      <w:pPr>
        <w:widowControl w:val="0"/>
        <w:autoSpaceDE w:val="0"/>
        <w:autoSpaceDN w:val="0"/>
        <w:adjustRightInd w:val="0"/>
        <w:spacing w:after="0" w:line="240" w:lineRule="auto"/>
        <w:rPr>
          <w:rFonts w:ascii="Arial" w:hAnsi="Arial" w:cs="Arial"/>
          <w:sz w:val="16"/>
          <w:szCs w:val="16"/>
        </w:rPr>
      </w:pPr>
    </w:p>
    <w:p w14:paraId="5C8280AC" w14:textId="77777777" w:rsidR="001C6C5F" w:rsidRPr="009219BF" w:rsidRDefault="001C6C5F" w:rsidP="008269E4">
      <w:pPr>
        <w:widowControl w:val="0"/>
        <w:autoSpaceDE w:val="0"/>
        <w:autoSpaceDN w:val="0"/>
        <w:adjustRightInd w:val="0"/>
        <w:spacing w:after="0" w:line="240" w:lineRule="auto"/>
        <w:rPr>
          <w:rFonts w:ascii="Arial" w:hAnsi="Arial" w:cs="Arial"/>
          <w:sz w:val="16"/>
          <w:szCs w:val="16"/>
        </w:rPr>
      </w:pPr>
    </w:p>
    <w:p w14:paraId="158F2AAB" w14:textId="1595BFB1" w:rsidR="00887DF5" w:rsidRDefault="008A39D5" w:rsidP="003C2698">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We will first focus on the coefficient estimates which show similar patterns </w:t>
      </w:r>
      <w:r w:rsidR="00307EBA">
        <w:rPr>
          <w:rFonts w:ascii="Times New Roman" w:eastAsiaTheme="minorEastAsia" w:hAnsi="Times New Roman" w:cs="Times New Roman"/>
          <w:sz w:val="24"/>
          <w:szCs w:val="24"/>
        </w:rPr>
        <w:t>in</w:t>
      </w:r>
      <w:r>
        <w:rPr>
          <w:rFonts w:ascii="Times New Roman" w:eastAsiaTheme="minorEastAsia" w:hAnsi="Times New Roman" w:cs="Times New Roman"/>
          <w:sz w:val="24"/>
          <w:szCs w:val="24"/>
        </w:rPr>
        <w:t xml:space="preserve"> the results, that is, the common </w:t>
      </w:r>
      <w:r w:rsidR="00307EBA">
        <w:rPr>
          <w:rFonts w:ascii="Times New Roman" w:eastAsiaTheme="minorEastAsia" w:hAnsi="Times New Roman" w:cs="Times New Roman"/>
          <w:sz w:val="24"/>
          <w:szCs w:val="24"/>
        </w:rPr>
        <w:t>covariates</w:t>
      </w:r>
      <w:r>
        <w:rPr>
          <w:rFonts w:ascii="Times New Roman" w:eastAsiaTheme="minorEastAsia" w:hAnsi="Times New Roman" w:cs="Times New Roman"/>
          <w:sz w:val="24"/>
          <w:szCs w:val="24"/>
        </w:rPr>
        <w:t xml:space="preserve"> of </w:t>
      </w:r>
      <w:r w:rsidRPr="00887DF5">
        <w:rPr>
          <w:rFonts w:ascii="Times New Roman" w:eastAsiaTheme="minorEastAsia" w:hAnsi="Times New Roman" w:cs="Times New Roman"/>
          <w:sz w:val="24"/>
          <w:szCs w:val="24"/>
        </w:rPr>
        <w:t>∆SWB and ∆OWB</w:t>
      </w:r>
      <w:r>
        <w:rPr>
          <w:rFonts w:ascii="Times New Roman" w:eastAsiaTheme="minorEastAsia" w:hAnsi="Times New Roman" w:cs="Times New Roman"/>
          <w:sz w:val="24"/>
          <w:szCs w:val="24"/>
        </w:rPr>
        <w:t xml:space="preserve"> (</w:t>
      </w:r>
      <w:r w:rsidR="007A5621">
        <w:rPr>
          <w:rFonts w:ascii="Times New Roman" w:eastAsiaTheme="minorEastAsia" w:hAnsi="Times New Roman" w:cs="Times New Roman"/>
          <w:sz w:val="24"/>
          <w:szCs w:val="24"/>
        </w:rPr>
        <w:t>for which</w:t>
      </w:r>
      <w:r w:rsidR="007A562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the results are </w:t>
      </w:r>
      <w:r w:rsidR="00307EBA">
        <w:rPr>
          <w:rFonts w:ascii="Times New Roman" w:eastAsiaTheme="minorEastAsia" w:hAnsi="Times New Roman" w:cs="Times New Roman"/>
          <w:sz w:val="24"/>
          <w:szCs w:val="24"/>
        </w:rPr>
        <w:t>given</w:t>
      </w:r>
      <w:r>
        <w:rPr>
          <w:rFonts w:ascii="Times New Roman" w:eastAsiaTheme="minorEastAsia" w:hAnsi="Times New Roman" w:cs="Times New Roman"/>
          <w:sz w:val="24"/>
          <w:szCs w:val="24"/>
        </w:rPr>
        <w:t xml:space="preserve"> in </w:t>
      </w:r>
      <w:r w:rsidR="00307EBA">
        <w:rPr>
          <w:rFonts w:ascii="Times New Roman" w:eastAsiaTheme="minorEastAsia" w:hAnsi="Times New Roman" w:cs="Times New Roman"/>
          <w:sz w:val="24"/>
          <w:szCs w:val="24"/>
        </w:rPr>
        <w:t>italics</w:t>
      </w:r>
      <w:r>
        <w:rPr>
          <w:rFonts w:ascii="Times New Roman" w:eastAsiaTheme="minorEastAsia" w:hAnsi="Times New Roman" w:cs="Times New Roman"/>
          <w:sz w:val="24"/>
          <w:szCs w:val="24"/>
        </w:rPr>
        <w:t xml:space="preserve"> in Tables 2 and 3).</w:t>
      </w:r>
      <w:r w:rsidR="0035403D" w:rsidRPr="00887DF5">
        <w:rPr>
          <w:rFonts w:ascii="Times New Roman" w:eastAsiaTheme="minorEastAsia" w:hAnsi="Times New Roman" w:cs="Times New Roman"/>
          <w:sz w:val="24"/>
          <w:szCs w:val="24"/>
        </w:rPr>
        <w:t xml:space="preserve">We will </w:t>
      </w:r>
      <w:r>
        <w:rPr>
          <w:rFonts w:ascii="Times New Roman" w:eastAsiaTheme="minorEastAsia" w:hAnsi="Times New Roman" w:cs="Times New Roman"/>
          <w:sz w:val="24"/>
          <w:szCs w:val="24"/>
        </w:rPr>
        <w:t>then</w:t>
      </w:r>
      <w:r w:rsidR="00887DF5" w:rsidRPr="00887DF5">
        <w:rPr>
          <w:rFonts w:ascii="Times New Roman" w:eastAsiaTheme="minorEastAsia" w:hAnsi="Times New Roman" w:cs="Times New Roman"/>
          <w:sz w:val="24"/>
          <w:szCs w:val="24"/>
        </w:rPr>
        <w:t xml:space="preserve"> discuss the explanatory variables which are statistical</w:t>
      </w:r>
      <w:r w:rsidR="00307EBA">
        <w:rPr>
          <w:rFonts w:ascii="Times New Roman" w:eastAsiaTheme="minorEastAsia" w:hAnsi="Times New Roman" w:cs="Times New Roman"/>
          <w:sz w:val="24"/>
          <w:szCs w:val="24"/>
        </w:rPr>
        <w:t>ly</w:t>
      </w:r>
      <w:r w:rsidR="00887DF5" w:rsidRPr="00887DF5">
        <w:rPr>
          <w:rFonts w:ascii="Times New Roman" w:eastAsiaTheme="minorEastAsia" w:hAnsi="Times New Roman" w:cs="Times New Roman"/>
          <w:sz w:val="24"/>
          <w:szCs w:val="24"/>
        </w:rPr>
        <w:t xml:space="preserve"> significant and show opposite signs for ∆SWB and ∆OWB</w:t>
      </w:r>
      <w:r w:rsidR="004309A8">
        <w:rPr>
          <w:rFonts w:ascii="Times New Roman" w:eastAsiaTheme="minorEastAsia" w:hAnsi="Times New Roman" w:cs="Times New Roman"/>
          <w:sz w:val="24"/>
          <w:szCs w:val="24"/>
        </w:rPr>
        <w:t>, or significant only for ∆SWB</w:t>
      </w:r>
      <w:r w:rsidR="00887DF5" w:rsidRPr="00887DF5">
        <w:rPr>
          <w:rFonts w:ascii="Times New Roman" w:eastAsiaTheme="minorEastAsia" w:hAnsi="Times New Roman" w:cs="Times New Roman"/>
          <w:sz w:val="24"/>
          <w:szCs w:val="24"/>
        </w:rPr>
        <w:t xml:space="preserve"> in</w:t>
      </w:r>
      <w:r w:rsidR="00887DF5">
        <w:rPr>
          <w:rFonts w:ascii="Times New Roman" w:eastAsiaTheme="minorEastAsia" w:hAnsi="Times New Roman" w:cs="Times New Roman"/>
          <w:sz w:val="24"/>
          <w:szCs w:val="24"/>
        </w:rPr>
        <w:t xml:space="preserve"> Table 2 </w:t>
      </w:r>
      <w:r w:rsidR="00FF56B3">
        <w:rPr>
          <w:rFonts w:ascii="Times New Roman" w:eastAsiaTheme="minorEastAsia" w:hAnsi="Times New Roman" w:cs="Times New Roman"/>
          <w:sz w:val="24"/>
          <w:szCs w:val="24"/>
        </w:rPr>
        <w:t xml:space="preserve">and Table 3 to identify the </w:t>
      </w:r>
      <w:r w:rsidR="0066390E">
        <w:rPr>
          <w:rFonts w:ascii="Times New Roman" w:eastAsiaTheme="minorEastAsia" w:hAnsi="Times New Roman" w:cs="Times New Roman"/>
          <w:sz w:val="24"/>
          <w:szCs w:val="24"/>
        </w:rPr>
        <w:t>correlates</w:t>
      </w:r>
      <w:r w:rsidR="00FF56B3">
        <w:rPr>
          <w:rFonts w:ascii="Times New Roman" w:eastAsiaTheme="minorEastAsia" w:hAnsi="Times New Roman" w:cs="Times New Roman"/>
          <w:sz w:val="24"/>
          <w:szCs w:val="24"/>
        </w:rPr>
        <w:t xml:space="preserve"> specific to </w:t>
      </w:r>
      <w:r w:rsidR="00FF56B3" w:rsidRPr="00887DF5">
        <w:rPr>
          <w:rFonts w:ascii="Times New Roman" w:eastAsiaTheme="minorEastAsia" w:hAnsi="Times New Roman" w:cs="Times New Roman"/>
          <w:sz w:val="24"/>
          <w:szCs w:val="24"/>
        </w:rPr>
        <w:t>∆SWB</w:t>
      </w:r>
      <w:r>
        <w:rPr>
          <w:rFonts w:ascii="Times New Roman" w:eastAsiaTheme="minorEastAsia" w:hAnsi="Times New Roman" w:cs="Times New Roman"/>
          <w:sz w:val="24"/>
          <w:szCs w:val="24"/>
        </w:rPr>
        <w:t xml:space="preserve"> (indicated in bold in Tables)</w:t>
      </w:r>
      <w:r w:rsidR="00FF56B3">
        <w:rPr>
          <w:rFonts w:ascii="Times New Roman" w:eastAsiaTheme="minorEastAsia" w:hAnsi="Times New Roman" w:cs="Times New Roman"/>
          <w:sz w:val="24"/>
          <w:szCs w:val="24"/>
        </w:rPr>
        <w:t xml:space="preserve">. Finally, we will </w:t>
      </w:r>
      <w:r w:rsidR="0018110D">
        <w:rPr>
          <w:rFonts w:ascii="Times New Roman" w:eastAsiaTheme="minorEastAsia" w:hAnsi="Times New Roman" w:cs="Times New Roman"/>
          <w:sz w:val="24"/>
          <w:szCs w:val="24"/>
        </w:rPr>
        <w:t xml:space="preserve">selectively </w:t>
      </w:r>
      <w:r w:rsidR="00FF56B3">
        <w:rPr>
          <w:rFonts w:ascii="Times New Roman" w:eastAsiaTheme="minorEastAsia" w:hAnsi="Times New Roman" w:cs="Times New Roman"/>
          <w:sz w:val="24"/>
          <w:szCs w:val="24"/>
        </w:rPr>
        <w:t xml:space="preserve">mention </w:t>
      </w:r>
      <w:r w:rsidR="0018110D">
        <w:rPr>
          <w:rFonts w:ascii="Times New Roman" w:eastAsiaTheme="minorEastAsia" w:hAnsi="Times New Roman" w:cs="Times New Roman"/>
          <w:sz w:val="24"/>
          <w:szCs w:val="24"/>
        </w:rPr>
        <w:t xml:space="preserve">a few other </w:t>
      </w:r>
      <w:r w:rsidR="00FF56B3">
        <w:rPr>
          <w:rFonts w:ascii="Times New Roman" w:eastAsiaTheme="minorEastAsia" w:hAnsi="Times New Roman" w:cs="Times New Roman"/>
          <w:sz w:val="24"/>
          <w:szCs w:val="24"/>
        </w:rPr>
        <w:t>coefficient estimates, that is, those which are statistically significant</w:t>
      </w:r>
      <w:r w:rsidR="0018110D">
        <w:rPr>
          <w:rFonts w:ascii="Times New Roman" w:eastAsiaTheme="minorEastAsia" w:hAnsi="Times New Roman" w:cs="Times New Roman"/>
          <w:sz w:val="24"/>
          <w:szCs w:val="24"/>
        </w:rPr>
        <w:t xml:space="preserve"> (or not significant)</w:t>
      </w:r>
      <w:r w:rsidR="00FF56B3">
        <w:rPr>
          <w:rFonts w:ascii="Times New Roman" w:eastAsiaTheme="minorEastAsia" w:hAnsi="Times New Roman" w:cs="Times New Roman"/>
          <w:sz w:val="24"/>
          <w:szCs w:val="24"/>
        </w:rPr>
        <w:t xml:space="preserve"> for either </w:t>
      </w:r>
      <w:r w:rsidR="00FF56B3" w:rsidRPr="00887DF5">
        <w:rPr>
          <w:rFonts w:ascii="Times New Roman" w:eastAsiaTheme="minorEastAsia" w:hAnsi="Times New Roman" w:cs="Times New Roman"/>
          <w:sz w:val="24"/>
          <w:szCs w:val="24"/>
        </w:rPr>
        <w:t>∆</w:t>
      </w:r>
      <w:r w:rsidR="00FF56B3">
        <w:rPr>
          <w:rFonts w:ascii="Times New Roman" w:eastAsiaTheme="minorEastAsia" w:hAnsi="Times New Roman" w:cs="Times New Roman"/>
          <w:sz w:val="24"/>
          <w:szCs w:val="24"/>
        </w:rPr>
        <w:t>SWB or</w:t>
      </w:r>
      <w:r w:rsidR="00FF56B3" w:rsidRPr="00887DF5">
        <w:rPr>
          <w:rFonts w:ascii="Times New Roman" w:eastAsiaTheme="minorEastAsia" w:hAnsi="Times New Roman" w:cs="Times New Roman"/>
          <w:sz w:val="24"/>
          <w:szCs w:val="24"/>
        </w:rPr>
        <w:t xml:space="preserve"> ∆OWB</w:t>
      </w:r>
      <w:r w:rsidR="00FF56B3">
        <w:rPr>
          <w:rFonts w:ascii="Times New Roman" w:eastAsiaTheme="minorEastAsia" w:hAnsi="Times New Roman" w:cs="Times New Roman"/>
          <w:sz w:val="24"/>
          <w:szCs w:val="24"/>
        </w:rPr>
        <w:t>.</w:t>
      </w:r>
      <w:r w:rsidR="004349A8">
        <w:rPr>
          <w:rStyle w:val="FootnoteReference"/>
          <w:rFonts w:ascii="Times New Roman" w:eastAsiaTheme="minorEastAsia" w:hAnsi="Times New Roman" w:cs="Times New Roman"/>
          <w:sz w:val="24"/>
          <w:szCs w:val="24"/>
        </w:rPr>
        <w:footnoteReference w:id="15"/>
      </w:r>
      <w:r w:rsidR="00995E98">
        <w:rPr>
          <w:rFonts w:ascii="Times New Roman" w:eastAsiaTheme="minorEastAsia" w:hAnsi="Times New Roman" w:cs="Times New Roman"/>
          <w:sz w:val="24"/>
          <w:szCs w:val="24"/>
        </w:rPr>
        <w:t xml:space="preserve"> Only </w:t>
      </w:r>
      <w:r w:rsidR="00307EBA">
        <w:rPr>
          <w:rFonts w:ascii="Times New Roman" w:eastAsiaTheme="minorEastAsia" w:hAnsi="Times New Roman" w:cs="Times New Roman"/>
          <w:sz w:val="24"/>
          <w:szCs w:val="24"/>
        </w:rPr>
        <w:t>select</w:t>
      </w:r>
      <w:r w:rsidR="00995E98">
        <w:rPr>
          <w:rFonts w:ascii="Times New Roman" w:eastAsiaTheme="minorEastAsia" w:hAnsi="Times New Roman" w:cs="Times New Roman"/>
          <w:sz w:val="24"/>
          <w:szCs w:val="24"/>
        </w:rPr>
        <w:t xml:space="preserve"> cases </w:t>
      </w:r>
      <w:r w:rsidR="00307EBA">
        <w:rPr>
          <w:rFonts w:ascii="Times New Roman" w:eastAsiaTheme="minorEastAsia" w:hAnsi="Times New Roman" w:cs="Times New Roman"/>
          <w:sz w:val="24"/>
          <w:szCs w:val="24"/>
        </w:rPr>
        <w:t>are</w:t>
      </w:r>
      <w:r w:rsidR="00995E98">
        <w:rPr>
          <w:rFonts w:ascii="Times New Roman" w:eastAsiaTheme="minorEastAsia" w:hAnsi="Times New Roman" w:cs="Times New Roman"/>
          <w:sz w:val="24"/>
          <w:szCs w:val="24"/>
        </w:rPr>
        <w:t xml:space="preserve"> highlighted below due to the space constraint. </w:t>
      </w:r>
    </w:p>
    <w:p w14:paraId="30648FFA" w14:textId="77777777" w:rsidR="004309A8" w:rsidRDefault="004309A8" w:rsidP="00ED532F">
      <w:pPr>
        <w:widowControl w:val="0"/>
        <w:autoSpaceDE w:val="0"/>
        <w:autoSpaceDN w:val="0"/>
        <w:adjustRightInd w:val="0"/>
        <w:spacing w:after="0" w:line="240" w:lineRule="auto"/>
        <w:rPr>
          <w:rFonts w:ascii="Times New Roman" w:eastAsia="Times New Roman" w:hAnsi="Times New Roman" w:cs="Times New Roman"/>
          <w:b/>
          <w:color w:val="000000"/>
          <w:lang w:val="en-US"/>
        </w:rPr>
      </w:pPr>
      <w:r>
        <w:rPr>
          <w:rFonts w:ascii="Times New Roman" w:eastAsia="Times New Roman" w:hAnsi="Times New Roman" w:cs="Times New Roman"/>
          <w:b/>
          <w:color w:val="000000"/>
          <w:lang w:val="en-US"/>
        </w:rPr>
        <w:br w:type="page"/>
      </w:r>
    </w:p>
    <w:p w14:paraId="1CF449F5" w14:textId="77777777" w:rsidR="002E53E9" w:rsidRDefault="002E53E9" w:rsidP="00ED532F">
      <w:pPr>
        <w:widowControl w:val="0"/>
        <w:autoSpaceDE w:val="0"/>
        <w:autoSpaceDN w:val="0"/>
        <w:adjustRightInd w:val="0"/>
        <w:spacing w:after="0" w:line="240" w:lineRule="auto"/>
        <w:rPr>
          <w:rFonts w:ascii="Times New Roman" w:eastAsia="Times New Roman" w:hAnsi="Times New Roman" w:cs="Times New Roman"/>
          <w:b/>
          <w:color w:val="000000"/>
          <w:lang w:val="en-US"/>
        </w:rPr>
        <w:sectPr w:rsidR="002E53E9" w:rsidSect="00203BD5">
          <w:headerReference w:type="default" r:id="rId14"/>
          <w:footerReference w:type="default" r:id="rId15"/>
          <w:pgSz w:w="11906" w:h="16838"/>
          <w:pgMar w:top="1440" w:right="1440" w:bottom="1440" w:left="1440" w:header="709" w:footer="709" w:gutter="0"/>
          <w:cols w:space="708"/>
          <w:docGrid w:linePitch="360"/>
        </w:sectPr>
      </w:pPr>
    </w:p>
    <w:p w14:paraId="62C5F134" w14:textId="77777777" w:rsidR="00ED532F" w:rsidRPr="00D10A97" w:rsidRDefault="00ED532F" w:rsidP="00ED532F">
      <w:pPr>
        <w:widowControl w:val="0"/>
        <w:autoSpaceDE w:val="0"/>
        <w:autoSpaceDN w:val="0"/>
        <w:adjustRightInd w:val="0"/>
        <w:spacing w:after="0" w:line="240" w:lineRule="auto"/>
        <w:rPr>
          <w:rFonts w:ascii="Times New Roman" w:eastAsia="Times New Roman" w:hAnsi="Times New Roman" w:cs="Times New Roman"/>
          <w:b/>
          <w:color w:val="000000"/>
          <w:lang w:val="en-US"/>
        </w:rPr>
      </w:pPr>
      <w:r w:rsidRPr="00A11455">
        <w:rPr>
          <w:rFonts w:ascii="Times New Roman" w:eastAsia="Times New Roman" w:hAnsi="Times New Roman" w:cs="Times New Roman"/>
          <w:b/>
          <w:color w:val="000000"/>
          <w:lang w:val="en-US"/>
        </w:rPr>
        <w:lastRenderedPageBreak/>
        <w:t xml:space="preserve">Table </w:t>
      </w:r>
      <w:r>
        <w:rPr>
          <w:rFonts w:ascii="Times New Roman" w:eastAsia="Times New Roman" w:hAnsi="Times New Roman" w:cs="Times New Roman"/>
          <w:b/>
          <w:color w:val="000000"/>
          <w:lang w:val="en-US"/>
        </w:rPr>
        <w:t>3</w:t>
      </w:r>
      <w:r w:rsidRPr="00A11455">
        <w:rPr>
          <w:rFonts w:ascii="Times New Roman" w:eastAsia="Times New Roman" w:hAnsi="Times New Roman" w:cs="Times New Roman"/>
          <w:b/>
          <w:color w:val="000000"/>
          <w:lang w:val="en-US"/>
        </w:rPr>
        <w:t>: Marginal Effect</w:t>
      </w:r>
      <w:r w:rsidR="007F09D0">
        <w:rPr>
          <w:rFonts w:ascii="Times New Roman" w:eastAsia="Times New Roman" w:hAnsi="Times New Roman" w:cs="Times New Roman"/>
          <w:b/>
          <w:color w:val="000000"/>
          <w:lang w:val="en-US"/>
        </w:rPr>
        <w:t>s/Associations</w:t>
      </w:r>
      <w:r w:rsidR="004D372C">
        <w:rPr>
          <w:rFonts w:ascii="Times New Roman" w:eastAsia="Times New Roman" w:hAnsi="Times New Roman" w:cs="Times New Roman"/>
          <w:b/>
          <w:color w:val="000000"/>
          <w:lang w:val="en-US"/>
        </w:rPr>
        <w:t xml:space="preserve"> </w:t>
      </w:r>
      <w:r w:rsidRPr="00A11455">
        <w:rPr>
          <w:rFonts w:ascii="Times New Roman" w:eastAsia="Times New Roman" w:hAnsi="Times New Roman" w:cs="Times New Roman"/>
          <w:b/>
          <w:color w:val="000000"/>
          <w:lang w:val="en-US"/>
        </w:rPr>
        <w:t>of Covariates with Components of Subjective Well-</w:t>
      </w:r>
      <w:proofErr w:type="gramStart"/>
      <w:r w:rsidRPr="00A11455">
        <w:rPr>
          <w:rFonts w:ascii="Times New Roman" w:eastAsia="Times New Roman" w:hAnsi="Times New Roman" w:cs="Times New Roman"/>
          <w:b/>
          <w:color w:val="000000"/>
          <w:lang w:val="en-US"/>
        </w:rPr>
        <w:t>Being</w:t>
      </w:r>
      <w:r w:rsidRPr="00D10A97">
        <w:rPr>
          <w:rFonts w:ascii="Times New Roman" w:eastAsia="Times New Roman" w:hAnsi="Times New Roman" w:cs="Times New Roman"/>
          <w:color w:val="000000"/>
          <w:lang w:val="en-US"/>
        </w:rPr>
        <w:t>(</w:t>
      </w:r>
      <w:proofErr w:type="gramEnd"/>
      <w:r w:rsidRPr="00956F58">
        <w:rPr>
          <w:rFonts w:ascii="Times New Roman" w:eastAsia="Times New Roman" w:hAnsi="Times New Roman" w:cs="Times New Roman"/>
          <w:b/>
          <w:color w:val="000000"/>
          <w:lang w:val="en-US"/>
        </w:rPr>
        <w:t>evaluated at the means</w:t>
      </w:r>
      <w:r w:rsidRPr="00D10A97">
        <w:rPr>
          <w:rFonts w:ascii="Times New Roman" w:eastAsia="Times New Roman" w:hAnsi="Times New Roman" w:cs="Times New Roman"/>
          <w:color w:val="000000"/>
          <w:lang w:val="en-US"/>
        </w:rPr>
        <w:t>)</w:t>
      </w:r>
    </w:p>
    <w:tbl>
      <w:tblPr>
        <w:tblW w:w="9427" w:type="dxa"/>
        <w:tblLook w:val="04A0" w:firstRow="1" w:lastRow="0" w:firstColumn="1" w:lastColumn="0" w:noHBand="0" w:noVBand="1"/>
      </w:tblPr>
      <w:tblGrid>
        <w:gridCol w:w="1985"/>
        <w:gridCol w:w="992"/>
        <w:gridCol w:w="909"/>
        <w:gridCol w:w="909"/>
        <w:gridCol w:w="822"/>
        <w:gridCol w:w="992"/>
        <w:gridCol w:w="917"/>
        <w:gridCol w:w="553"/>
        <w:gridCol w:w="526"/>
        <w:gridCol w:w="822"/>
      </w:tblGrid>
      <w:tr w:rsidR="00D13BC1" w:rsidRPr="00D13BC1" w14:paraId="23376B06" w14:textId="77777777" w:rsidTr="000C41DE">
        <w:trPr>
          <w:trHeight w:val="225"/>
        </w:trPr>
        <w:tc>
          <w:tcPr>
            <w:tcW w:w="1985" w:type="dxa"/>
            <w:tcBorders>
              <w:top w:val="single" w:sz="4" w:space="0" w:color="auto"/>
              <w:right w:val="single" w:sz="4" w:space="0" w:color="auto"/>
            </w:tcBorders>
            <w:shd w:val="clear" w:color="auto" w:fill="auto"/>
            <w:noWrap/>
            <w:vAlign w:val="bottom"/>
            <w:hideMark/>
          </w:tcPr>
          <w:p w14:paraId="5EC33061" w14:textId="77777777" w:rsidR="002E53E9" w:rsidRPr="00D13BC1" w:rsidRDefault="002E53E9" w:rsidP="00ED532F">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 </w:t>
            </w:r>
          </w:p>
        </w:tc>
        <w:tc>
          <w:tcPr>
            <w:tcW w:w="2810" w:type="dxa"/>
            <w:gridSpan w:val="3"/>
            <w:tcBorders>
              <w:top w:val="single" w:sz="4" w:space="0" w:color="auto"/>
              <w:left w:val="single" w:sz="4" w:space="0" w:color="auto"/>
            </w:tcBorders>
            <w:shd w:val="clear" w:color="auto" w:fill="auto"/>
            <w:noWrap/>
            <w:vAlign w:val="bottom"/>
            <w:hideMark/>
          </w:tcPr>
          <w:p w14:paraId="0123E6F0" w14:textId="77777777" w:rsidR="002E53E9" w:rsidRPr="00D13BC1" w:rsidRDefault="002E53E9" w:rsidP="00ED532F">
            <w:pPr>
              <w:adjustRightInd w:val="0"/>
              <w:snapToGrid w:val="0"/>
              <w:spacing w:after="0" w:line="240" w:lineRule="auto"/>
              <w:jc w:val="center"/>
              <w:rPr>
                <w:rFonts w:ascii="Arial Narrow" w:eastAsia="Times New Roman" w:hAnsi="Arial Narrow" w:cs="Arial"/>
                <w:b/>
                <w:sz w:val="16"/>
                <w:szCs w:val="16"/>
              </w:rPr>
            </w:pPr>
            <w:r w:rsidRPr="00D13BC1">
              <w:rPr>
                <w:rFonts w:ascii="Arial Narrow" w:eastAsia="Times New Roman" w:hAnsi="Arial Narrow" w:cs="Arial"/>
                <w:b/>
                <w:sz w:val="16"/>
                <w:szCs w:val="16"/>
              </w:rPr>
              <w:t>∆SWB</w:t>
            </w:r>
          </w:p>
        </w:tc>
        <w:tc>
          <w:tcPr>
            <w:tcW w:w="822" w:type="dxa"/>
            <w:tcBorders>
              <w:top w:val="single" w:sz="4" w:space="0" w:color="auto"/>
              <w:right w:val="single" w:sz="4" w:space="0" w:color="auto"/>
            </w:tcBorders>
          </w:tcPr>
          <w:p w14:paraId="595F35AA" w14:textId="77777777" w:rsidR="002E53E9" w:rsidRPr="00D13BC1" w:rsidRDefault="002E53E9" w:rsidP="00ED532F">
            <w:pPr>
              <w:adjustRightInd w:val="0"/>
              <w:snapToGrid w:val="0"/>
              <w:spacing w:after="0" w:line="240" w:lineRule="auto"/>
              <w:jc w:val="center"/>
              <w:rPr>
                <w:rFonts w:ascii="Arial Narrow" w:eastAsia="Times New Roman" w:hAnsi="Arial Narrow" w:cs="Arial"/>
                <w:b/>
                <w:sz w:val="16"/>
                <w:szCs w:val="16"/>
              </w:rPr>
            </w:pPr>
          </w:p>
        </w:tc>
        <w:tc>
          <w:tcPr>
            <w:tcW w:w="2462" w:type="dxa"/>
            <w:gridSpan w:val="3"/>
            <w:tcBorders>
              <w:top w:val="single" w:sz="4" w:space="0" w:color="auto"/>
              <w:left w:val="single" w:sz="4" w:space="0" w:color="auto"/>
            </w:tcBorders>
            <w:shd w:val="clear" w:color="auto" w:fill="auto"/>
            <w:noWrap/>
            <w:vAlign w:val="bottom"/>
            <w:hideMark/>
          </w:tcPr>
          <w:p w14:paraId="349AA89B" w14:textId="77777777" w:rsidR="002E53E9" w:rsidRPr="00D13BC1" w:rsidRDefault="002E53E9" w:rsidP="00ED532F">
            <w:pPr>
              <w:adjustRightInd w:val="0"/>
              <w:snapToGrid w:val="0"/>
              <w:spacing w:after="0" w:line="240" w:lineRule="auto"/>
              <w:jc w:val="center"/>
              <w:rPr>
                <w:rFonts w:ascii="Arial Narrow" w:eastAsia="Times New Roman" w:hAnsi="Arial Narrow" w:cs="Arial"/>
                <w:b/>
                <w:sz w:val="16"/>
                <w:szCs w:val="16"/>
              </w:rPr>
            </w:pPr>
            <w:r w:rsidRPr="00D13BC1">
              <w:rPr>
                <w:rFonts w:ascii="Arial Narrow" w:eastAsia="Times New Roman" w:hAnsi="Arial Narrow" w:cs="Arial"/>
                <w:b/>
                <w:sz w:val="16"/>
                <w:szCs w:val="16"/>
              </w:rPr>
              <w:t>∆OWB</w:t>
            </w:r>
          </w:p>
        </w:tc>
        <w:tc>
          <w:tcPr>
            <w:tcW w:w="1348" w:type="dxa"/>
            <w:gridSpan w:val="2"/>
            <w:tcBorders>
              <w:top w:val="single" w:sz="4" w:space="0" w:color="auto"/>
            </w:tcBorders>
          </w:tcPr>
          <w:p w14:paraId="2C430C30" w14:textId="77777777" w:rsidR="002E53E9" w:rsidRPr="00D13BC1" w:rsidRDefault="002E53E9" w:rsidP="00ED532F">
            <w:pPr>
              <w:adjustRightInd w:val="0"/>
              <w:snapToGrid w:val="0"/>
              <w:spacing w:after="0" w:line="240" w:lineRule="auto"/>
              <w:jc w:val="center"/>
              <w:rPr>
                <w:rFonts w:ascii="Arial Narrow" w:eastAsia="Times New Roman" w:hAnsi="Arial Narrow" w:cs="Arial"/>
                <w:b/>
                <w:sz w:val="16"/>
                <w:szCs w:val="16"/>
              </w:rPr>
            </w:pPr>
          </w:p>
        </w:tc>
      </w:tr>
      <w:tr w:rsidR="00D13BC1" w:rsidRPr="00D13BC1" w14:paraId="20948545" w14:textId="77777777" w:rsidTr="000C41DE">
        <w:trPr>
          <w:trHeight w:val="225"/>
        </w:trPr>
        <w:tc>
          <w:tcPr>
            <w:tcW w:w="1985" w:type="dxa"/>
            <w:tcBorders>
              <w:right w:val="single" w:sz="4" w:space="0" w:color="auto"/>
            </w:tcBorders>
            <w:shd w:val="clear" w:color="auto" w:fill="auto"/>
            <w:noWrap/>
            <w:vAlign w:val="bottom"/>
            <w:hideMark/>
          </w:tcPr>
          <w:p w14:paraId="20119A00" w14:textId="77777777" w:rsidR="00D13BC1" w:rsidRPr="00D13BC1" w:rsidRDefault="00D13BC1"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5E4DBD27" w14:textId="77777777" w:rsidR="00D13BC1" w:rsidRPr="00D13BC1" w:rsidRDefault="00323881"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Worse-off</w:t>
            </w:r>
          </w:p>
        </w:tc>
        <w:tc>
          <w:tcPr>
            <w:tcW w:w="909" w:type="dxa"/>
            <w:shd w:val="clear" w:color="auto" w:fill="auto"/>
            <w:noWrap/>
            <w:vAlign w:val="bottom"/>
            <w:hideMark/>
          </w:tcPr>
          <w:p w14:paraId="675E6220" w14:textId="77777777" w:rsidR="00D13BC1" w:rsidRPr="00D13BC1" w:rsidRDefault="00323881"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Just the Same</w:t>
            </w:r>
          </w:p>
        </w:tc>
        <w:tc>
          <w:tcPr>
            <w:tcW w:w="909" w:type="dxa"/>
            <w:shd w:val="clear" w:color="auto" w:fill="auto"/>
            <w:noWrap/>
            <w:vAlign w:val="bottom"/>
            <w:hideMark/>
          </w:tcPr>
          <w:p w14:paraId="2AE7411D" w14:textId="77777777" w:rsidR="00D13BC1" w:rsidRPr="00D13BC1" w:rsidRDefault="00323881"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Better-off</w:t>
            </w:r>
          </w:p>
        </w:tc>
        <w:tc>
          <w:tcPr>
            <w:tcW w:w="822" w:type="dxa"/>
            <w:tcBorders>
              <w:right w:val="single" w:sz="4" w:space="0" w:color="auto"/>
            </w:tcBorders>
            <w:vAlign w:val="bottom"/>
          </w:tcPr>
          <w:p w14:paraId="04B9C710" w14:textId="77777777" w:rsidR="00D13BC1" w:rsidRPr="00D13BC1" w:rsidRDefault="006405A4"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Converted</w:t>
            </w:r>
          </w:p>
        </w:tc>
        <w:tc>
          <w:tcPr>
            <w:tcW w:w="992" w:type="dxa"/>
            <w:tcBorders>
              <w:left w:val="single" w:sz="4" w:space="0" w:color="auto"/>
            </w:tcBorders>
            <w:shd w:val="clear" w:color="auto" w:fill="auto"/>
            <w:noWrap/>
            <w:vAlign w:val="bottom"/>
            <w:hideMark/>
          </w:tcPr>
          <w:p w14:paraId="661655E6" w14:textId="77777777" w:rsidR="00D13BC1" w:rsidRPr="00D13BC1" w:rsidRDefault="00323881"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Worse-off</w:t>
            </w:r>
          </w:p>
        </w:tc>
        <w:tc>
          <w:tcPr>
            <w:tcW w:w="917" w:type="dxa"/>
            <w:shd w:val="clear" w:color="auto" w:fill="auto"/>
            <w:noWrap/>
            <w:vAlign w:val="bottom"/>
            <w:hideMark/>
          </w:tcPr>
          <w:p w14:paraId="01EA5564" w14:textId="77777777" w:rsidR="00D13BC1" w:rsidRPr="00D13BC1" w:rsidRDefault="00323881"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Just the Same</w:t>
            </w:r>
          </w:p>
        </w:tc>
        <w:tc>
          <w:tcPr>
            <w:tcW w:w="1079" w:type="dxa"/>
            <w:gridSpan w:val="2"/>
            <w:shd w:val="clear" w:color="auto" w:fill="auto"/>
            <w:noWrap/>
            <w:vAlign w:val="bottom"/>
            <w:hideMark/>
          </w:tcPr>
          <w:p w14:paraId="15DA81F9" w14:textId="77777777" w:rsidR="00D13BC1" w:rsidRPr="00D13BC1" w:rsidRDefault="00323881"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Better-off</w:t>
            </w:r>
          </w:p>
        </w:tc>
        <w:tc>
          <w:tcPr>
            <w:tcW w:w="822" w:type="dxa"/>
            <w:vAlign w:val="bottom"/>
          </w:tcPr>
          <w:p w14:paraId="7AB8DA1D" w14:textId="77777777" w:rsidR="00D13BC1" w:rsidRPr="00D13BC1" w:rsidRDefault="006405A4"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 xml:space="preserve">Converted </w:t>
            </w:r>
          </w:p>
        </w:tc>
      </w:tr>
      <w:tr w:rsidR="00D13BC1" w:rsidRPr="00D13BC1" w14:paraId="64AC2AB4" w14:textId="77777777" w:rsidTr="000C41DE">
        <w:trPr>
          <w:trHeight w:val="450"/>
        </w:trPr>
        <w:tc>
          <w:tcPr>
            <w:tcW w:w="1985" w:type="dxa"/>
            <w:tcBorders>
              <w:bottom w:val="single" w:sz="4" w:space="0" w:color="auto"/>
              <w:right w:val="single" w:sz="4" w:space="0" w:color="auto"/>
            </w:tcBorders>
            <w:shd w:val="clear" w:color="auto" w:fill="auto"/>
            <w:vAlign w:val="center"/>
            <w:hideMark/>
          </w:tcPr>
          <w:p w14:paraId="7CC96FEB" w14:textId="77777777" w:rsidR="00D13BC1" w:rsidRPr="00D13BC1" w:rsidRDefault="00D13BC1"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VARIABLES</w:t>
            </w:r>
          </w:p>
        </w:tc>
        <w:tc>
          <w:tcPr>
            <w:tcW w:w="992" w:type="dxa"/>
            <w:tcBorders>
              <w:left w:val="single" w:sz="4" w:space="0" w:color="auto"/>
              <w:bottom w:val="single" w:sz="4" w:space="0" w:color="auto"/>
            </w:tcBorders>
            <w:shd w:val="clear" w:color="auto" w:fill="auto"/>
            <w:vAlign w:val="bottom"/>
            <w:hideMark/>
          </w:tcPr>
          <w:p w14:paraId="56D791FE" w14:textId="77777777" w:rsidR="00D13BC1" w:rsidRPr="00D13BC1" w:rsidRDefault="00D13BC1" w:rsidP="00D13BC1">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909" w:type="dxa"/>
            <w:tcBorders>
              <w:bottom w:val="single" w:sz="4" w:space="0" w:color="auto"/>
            </w:tcBorders>
            <w:shd w:val="clear" w:color="auto" w:fill="auto"/>
            <w:vAlign w:val="bottom"/>
            <w:hideMark/>
          </w:tcPr>
          <w:p w14:paraId="27088E6C" w14:textId="77777777" w:rsidR="00D13BC1" w:rsidRPr="00D13BC1" w:rsidRDefault="00D13BC1" w:rsidP="00D13BC1">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909" w:type="dxa"/>
            <w:tcBorders>
              <w:bottom w:val="single" w:sz="4" w:space="0" w:color="auto"/>
            </w:tcBorders>
            <w:shd w:val="clear" w:color="auto" w:fill="auto"/>
            <w:vAlign w:val="bottom"/>
            <w:hideMark/>
          </w:tcPr>
          <w:p w14:paraId="0E4C9436" w14:textId="77777777" w:rsidR="00D13BC1" w:rsidRPr="00D13BC1" w:rsidRDefault="00D13BC1" w:rsidP="00D13BC1">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822" w:type="dxa"/>
            <w:tcBorders>
              <w:bottom w:val="single" w:sz="4" w:space="0" w:color="auto"/>
              <w:right w:val="single" w:sz="4" w:space="0" w:color="auto"/>
            </w:tcBorders>
            <w:vAlign w:val="bottom"/>
          </w:tcPr>
          <w:p w14:paraId="2ADEA054" w14:textId="77777777" w:rsidR="00D13BC1" w:rsidRPr="00D13BC1" w:rsidRDefault="000C5578"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 xml:space="preserve">ME </w:t>
            </w:r>
            <w:r w:rsidR="005C79F4">
              <w:rPr>
                <w:rFonts w:ascii="Arial Narrow" w:eastAsia="Times New Roman" w:hAnsi="Arial Narrow" w:cs="Arial"/>
                <w:b/>
                <w:sz w:val="16"/>
                <w:szCs w:val="16"/>
                <w:vertAlign w:val="superscript"/>
              </w:rPr>
              <w:t>4</w:t>
            </w:r>
            <w:r w:rsidR="00D13BC1">
              <w:rPr>
                <w:rFonts w:ascii="Arial Narrow" w:eastAsia="Times New Roman" w:hAnsi="Arial Narrow" w:cs="Arial"/>
                <w:sz w:val="16"/>
                <w:szCs w:val="16"/>
              </w:rPr>
              <w:br/>
            </w:r>
          </w:p>
        </w:tc>
        <w:tc>
          <w:tcPr>
            <w:tcW w:w="992" w:type="dxa"/>
            <w:tcBorders>
              <w:left w:val="single" w:sz="4" w:space="0" w:color="auto"/>
              <w:bottom w:val="single" w:sz="4" w:space="0" w:color="auto"/>
            </w:tcBorders>
            <w:shd w:val="clear" w:color="auto" w:fill="auto"/>
            <w:vAlign w:val="bottom"/>
            <w:hideMark/>
          </w:tcPr>
          <w:p w14:paraId="39B97FA5" w14:textId="77777777" w:rsidR="00D13BC1" w:rsidRPr="00D13BC1" w:rsidRDefault="00D13BC1" w:rsidP="00D13BC1">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917" w:type="dxa"/>
            <w:tcBorders>
              <w:bottom w:val="single" w:sz="4" w:space="0" w:color="auto"/>
            </w:tcBorders>
            <w:shd w:val="clear" w:color="auto" w:fill="auto"/>
            <w:vAlign w:val="bottom"/>
            <w:hideMark/>
          </w:tcPr>
          <w:p w14:paraId="1C62C193" w14:textId="77777777" w:rsidR="00D13BC1" w:rsidRPr="00D13BC1" w:rsidRDefault="00D13BC1" w:rsidP="00D13BC1">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1079" w:type="dxa"/>
            <w:gridSpan w:val="2"/>
            <w:tcBorders>
              <w:bottom w:val="single" w:sz="4" w:space="0" w:color="auto"/>
            </w:tcBorders>
            <w:shd w:val="clear" w:color="auto" w:fill="auto"/>
            <w:vAlign w:val="bottom"/>
            <w:hideMark/>
          </w:tcPr>
          <w:p w14:paraId="13A8D5B5" w14:textId="77777777" w:rsidR="00D13BC1" w:rsidRPr="00D13BC1" w:rsidRDefault="00D13BC1" w:rsidP="00D13BC1">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822" w:type="dxa"/>
            <w:tcBorders>
              <w:bottom w:val="single" w:sz="4" w:space="0" w:color="auto"/>
            </w:tcBorders>
            <w:vAlign w:val="bottom"/>
          </w:tcPr>
          <w:p w14:paraId="4F1B4829" w14:textId="77777777" w:rsidR="00D13BC1" w:rsidRPr="00D13BC1" w:rsidRDefault="000C5578" w:rsidP="00D13BC1">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 xml:space="preserve">ME </w:t>
            </w:r>
            <w:r w:rsidR="005C79F4">
              <w:rPr>
                <w:rFonts w:ascii="Arial Narrow" w:eastAsia="Times New Roman" w:hAnsi="Arial Narrow" w:cs="Arial"/>
                <w:sz w:val="16"/>
                <w:szCs w:val="16"/>
                <w:vertAlign w:val="superscript"/>
              </w:rPr>
              <w:t>4</w:t>
            </w:r>
            <w:r w:rsidR="00D13BC1" w:rsidRPr="000C5578">
              <w:rPr>
                <w:rFonts w:ascii="Arial Narrow" w:eastAsia="Times New Roman" w:hAnsi="Arial Narrow" w:cs="Arial"/>
                <w:sz w:val="16"/>
                <w:szCs w:val="16"/>
                <w:vertAlign w:val="superscript"/>
              </w:rPr>
              <w:br/>
            </w:r>
          </w:p>
        </w:tc>
      </w:tr>
      <w:tr w:rsidR="000C41DE" w:rsidRPr="00D13BC1" w14:paraId="606FAEB0" w14:textId="77777777" w:rsidTr="000C41DE">
        <w:trPr>
          <w:trHeight w:val="225"/>
        </w:trPr>
        <w:tc>
          <w:tcPr>
            <w:tcW w:w="9427" w:type="dxa"/>
            <w:gridSpan w:val="10"/>
            <w:tcBorders>
              <w:bottom w:val="single" w:sz="4" w:space="0" w:color="auto"/>
            </w:tcBorders>
            <w:shd w:val="clear" w:color="auto" w:fill="auto"/>
            <w:vAlign w:val="center"/>
          </w:tcPr>
          <w:p w14:paraId="3BEF251D" w14:textId="77777777" w:rsidR="000C41DE" w:rsidRPr="00D13BC1" w:rsidRDefault="000C41DE" w:rsidP="00D13BC1">
            <w:pPr>
              <w:adjustRightInd w:val="0"/>
              <w:snapToGrid w:val="0"/>
              <w:spacing w:after="0" w:line="240" w:lineRule="auto"/>
              <w:rPr>
                <w:rFonts w:ascii="Arial Narrow" w:hAnsi="Arial Narrow" w:cs="Arial"/>
                <w:b/>
                <w:sz w:val="16"/>
                <w:szCs w:val="16"/>
              </w:rPr>
            </w:pPr>
            <w:r w:rsidRPr="009B592E">
              <w:rPr>
                <w:rFonts w:ascii="Arial Narrow" w:eastAsia="Times New Roman" w:hAnsi="Arial Narrow" w:cs="Arial"/>
                <w:b/>
                <w:i/>
                <w:sz w:val="16"/>
                <w:szCs w:val="16"/>
              </w:rPr>
              <w:t>(1)</w:t>
            </w:r>
            <w:r w:rsidRPr="009B592E">
              <w:rPr>
                <w:rFonts w:ascii="Arial Narrow" w:eastAsia="Times New Roman" w:hAnsi="Arial Narrow" w:cs="Arial"/>
                <w:b/>
                <w:i/>
                <w:sz w:val="16"/>
                <w:szCs w:val="16"/>
              </w:rPr>
              <w:tab/>
              <w:t>Individual and Household Characteristics</w:t>
            </w:r>
            <w:r>
              <w:rPr>
                <w:rFonts w:ascii="Arial Narrow" w:eastAsia="Times New Roman" w:hAnsi="Arial Narrow" w:cs="Arial"/>
                <w:b/>
                <w:i/>
                <w:sz w:val="16"/>
                <w:szCs w:val="16"/>
              </w:rPr>
              <w:t xml:space="preserve"> (2005)  and the location of households </w:t>
            </w:r>
          </w:p>
        </w:tc>
      </w:tr>
      <w:tr w:rsidR="000C5578" w:rsidRPr="00D13BC1" w14:paraId="22CAED24" w14:textId="77777777" w:rsidTr="000C41DE">
        <w:trPr>
          <w:trHeight w:val="225"/>
        </w:trPr>
        <w:tc>
          <w:tcPr>
            <w:tcW w:w="1985" w:type="dxa"/>
            <w:tcBorders>
              <w:top w:val="single" w:sz="4" w:space="0" w:color="auto"/>
              <w:right w:val="single" w:sz="4" w:space="0" w:color="auto"/>
            </w:tcBorders>
            <w:shd w:val="clear" w:color="auto" w:fill="auto"/>
            <w:vAlign w:val="center"/>
          </w:tcPr>
          <w:p w14:paraId="378D7805"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Gender</w:t>
            </w:r>
          </w:p>
        </w:tc>
        <w:tc>
          <w:tcPr>
            <w:tcW w:w="992" w:type="dxa"/>
            <w:tcBorders>
              <w:top w:val="single" w:sz="4" w:space="0" w:color="auto"/>
              <w:left w:val="single" w:sz="4" w:space="0" w:color="auto"/>
            </w:tcBorders>
            <w:shd w:val="clear" w:color="auto" w:fill="auto"/>
            <w:noWrap/>
            <w:vAlign w:val="center"/>
          </w:tcPr>
          <w:p w14:paraId="494228BD"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tcPr>
          <w:p w14:paraId="0A21BB19"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tcPr>
          <w:p w14:paraId="4B1358CA"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top w:val="single" w:sz="4" w:space="0" w:color="auto"/>
              <w:right w:val="single" w:sz="4" w:space="0" w:color="auto"/>
            </w:tcBorders>
            <w:vAlign w:val="center"/>
          </w:tcPr>
          <w:p w14:paraId="40422BC1" w14:textId="77777777" w:rsidR="000C5578" w:rsidRPr="00D13BC1" w:rsidRDefault="000C5578" w:rsidP="00D13BC1">
            <w:pPr>
              <w:adjustRightInd w:val="0"/>
              <w:snapToGrid w:val="0"/>
              <w:spacing w:after="0" w:line="240" w:lineRule="auto"/>
              <w:rPr>
                <w:rFonts w:ascii="Arial Narrow" w:hAnsi="Arial Narrow" w:cs="Arial"/>
                <w:b/>
                <w:sz w:val="16"/>
                <w:szCs w:val="16"/>
              </w:rPr>
            </w:pPr>
          </w:p>
        </w:tc>
        <w:tc>
          <w:tcPr>
            <w:tcW w:w="992" w:type="dxa"/>
            <w:tcBorders>
              <w:top w:val="single" w:sz="4" w:space="0" w:color="auto"/>
              <w:left w:val="single" w:sz="4" w:space="0" w:color="auto"/>
            </w:tcBorders>
            <w:shd w:val="clear" w:color="auto" w:fill="auto"/>
            <w:noWrap/>
            <w:vAlign w:val="center"/>
          </w:tcPr>
          <w:p w14:paraId="459553F2"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tcBorders>
              <w:top w:val="single" w:sz="4" w:space="0" w:color="auto"/>
            </w:tcBorders>
            <w:shd w:val="clear" w:color="auto" w:fill="auto"/>
            <w:noWrap/>
            <w:vAlign w:val="center"/>
          </w:tcPr>
          <w:p w14:paraId="0CC233AC"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tcBorders>
              <w:top w:val="single" w:sz="4" w:space="0" w:color="auto"/>
            </w:tcBorders>
            <w:shd w:val="clear" w:color="auto" w:fill="auto"/>
            <w:noWrap/>
            <w:vAlign w:val="center"/>
          </w:tcPr>
          <w:p w14:paraId="11450F46"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top w:val="single" w:sz="4" w:space="0" w:color="auto"/>
            </w:tcBorders>
            <w:vAlign w:val="bottom"/>
          </w:tcPr>
          <w:p w14:paraId="2167B657" w14:textId="77777777" w:rsidR="000C5578" w:rsidRPr="00D13BC1" w:rsidRDefault="000C5578" w:rsidP="00D13BC1">
            <w:pPr>
              <w:adjustRightInd w:val="0"/>
              <w:snapToGrid w:val="0"/>
              <w:spacing w:after="0" w:line="240" w:lineRule="auto"/>
              <w:rPr>
                <w:rFonts w:ascii="Arial Narrow" w:hAnsi="Arial Narrow" w:cs="Arial"/>
                <w:b/>
                <w:sz w:val="16"/>
                <w:szCs w:val="16"/>
              </w:rPr>
            </w:pPr>
          </w:p>
        </w:tc>
      </w:tr>
      <w:tr w:rsidR="000C5578" w:rsidRPr="00D13BC1" w14:paraId="35338056" w14:textId="77777777" w:rsidTr="000C41DE">
        <w:trPr>
          <w:trHeight w:val="225"/>
        </w:trPr>
        <w:tc>
          <w:tcPr>
            <w:tcW w:w="1985" w:type="dxa"/>
            <w:tcBorders>
              <w:right w:val="single" w:sz="4" w:space="0" w:color="auto"/>
            </w:tcBorders>
            <w:shd w:val="clear" w:color="auto" w:fill="auto"/>
            <w:vAlign w:val="center"/>
          </w:tcPr>
          <w:p w14:paraId="5DF84722"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 xml:space="preserve">  Female</w:t>
            </w:r>
            <w:r>
              <w:rPr>
                <w:rFonts w:ascii="Arial Narrow" w:eastAsia="Times New Roman" w:hAnsi="Arial Narrow" w:cs="Arial"/>
                <w:b/>
                <w:sz w:val="16"/>
                <w:szCs w:val="16"/>
                <w:vertAlign w:val="superscript"/>
              </w:rPr>
              <w:t>2</w:t>
            </w:r>
          </w:p>
        </w:tc>
        <w:tc>
          <w:tcPr>
            <w:tcW w:w="992" w:type="dxa"/>
            <w:tcBorders>
              <w:left w:val="single" w:sz="4" w:space="0" w:color="auto"/>
            </w:tcBorders>
            <w:shd w:val="clear" w:color="auto" w:fill="auto"/>
            <w:noWrap/>
            <w:vAlign w:val="center"/>
          </w:tcPr>
          <w:p w14:paraId="18CDC104"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-0.0137**</w:t>
            </w:r>
            <w:r w:rsidRPr="000C5578">
              <w:rPr>
                <w:rFonts w:ascii="Arial Narrow" w:eastAsia="Times New Roman" w:hAnsi="Arial Narrow" w:cs="Arial"/>
                <w:b/>
                <w:sz w:val="16"/>
                <w:szCs w:val="16"/>
                <w:vertAlign w:val="superscript"/>
              </w:rPr>
              <w:t>1</w:t>
            </w:r>
          </w:p>
        </w:tc>
        <w:tc>
          <w:tcPr>
            <w:tcW w:w="909" w:type="dxa"/>
            <w:shd w:val="clear" w:color="auto" w:fill="auto"/>
            <w:noWrap/>
            <w:vAlign w:val="center"/>
          </w:tcPr>
          <w:p w14:paraId="28726BE1" w14:textId="77777777" w:rsidR="000C5578" w:rsidRPr="00D13BC1" w:rsidRDefault="000C5578" w:rsidP="000C5578">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-0.0221**</w:t>
            </w:r>
          </w:p>
        </w:tc>
        <w:tc>
          <w:tcPr>
            <w:tcW w:w="909" w:type="dxa"/>
            <w:shd w:val="clear" w:color="auto" w:fill="auto"/>
            <w:noWrap/>
            <w:vAlign w:val="center"/>
          </w:tcPr>
          <w:p w14:paraId="48A15DC5"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0.0357**</w:t>
            </w:r>
          </w:p>
        </w:tc>
        <w:tc>
          <w:tcPr>
            <w:tcW w:w="822" w:type="dxa"/>
            <w:tcBorders>
              <w:right w:val="single" w:sz="4" w:space="0" w:color="auto"/>
            </w:tcBorders>
            <w:vAlign w:val="center"/>
          </w:tcPr>
          <w:p w14:paraId="71972FE5" w14:textId="77777777" w:rsidR="000C5578" w:rsidRPr="00D13BC1" w:rsidRDefault="000C5578" w:rsidP="00D13BC1">
            <w:pPr>
              <w:adjustRightInd w:val="0"/>
              <w:snapToGrid w:val="0"/>
              <w:spacing w:after="0" w:line="240" w:lineRule="auto"/>
              <w:rPr>
                <w:rFonts w:ascii="Arial Narrow" w:hAnsi="Arial Narrow" w:cs="Arial"/>
                <w:b/>
                <w:sz w:val="16"/>
                <w:szCs w:val="16"/>
              </w:rPr>
            </w:pPr>
            <w:r w:rsidRPr="00794D00">
              <w:rPr>
                <w:rFonts w:ascii="Arial Narrow" w:hAnsi="Arial Narrow" w:cs="Arial"/>
                <w:b/>
                <w:color w:val="000000"/>
                <w:sz w:val="16"/>
                <w:szCs w:val="16"/>
              </w:rPr>
              <w:t>0.0493</w:t>
            </w:r>
          </w:p>
        </w:tc>
        <w:tc>
          <w:tcPr>
            <w:tcW w:w="992" w:type="dxa"/>
            <w:tcBorders>
              <w:left w:val="single" w:sz="4" w:space="0" w:color="auto"/>
            </w:tcBorders>
            <w:shd w:val="clear" w:color="auto" w:fill="auto"/>
            <w:noWrap/>
            <w:vAlign w:val="center"/>
          </w:tcPr>
          <w:p w14:paraId="50156285"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hAnsi="Arial Narrow" w:cs="Arial"/>
                <w:b/>
                <w:sz w:val="16"/>
                <w:szCs w:val="16"/>
              </w:rPr>
              <w:t>0.00902</w:t>
            </w:r>
          </w:p>
        </w:tc>
        <w:tc>
          <w:tcPr>
            <w:tcW w:w="917" w:type="dxa"/>
            <w:shd w:val="clear" w:color="auto" w:fill="auto"/>
            <w:noWrap/>
            <w:vAlign w:val="center"/>
          </w:tcPr>
          <w:p w14:paraId="5F716BBF"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hAnsi="Arial Narrow" w:cs="Arial"/>
                <w:b/>
                <w:sz w:val="16"/>
                <w:szCs w:val="16"/>
              </w:rPr>
              <w:t>0.0212*</w:t>
            </w:r>
            <w:r w:rsidRPr="000C5578">
              <w:rPr>
                <w:rFonts w:ascii="Arial Narrow" w:eastAsia="Times New Roman" w:hAnsi="Arial Narrow" w:cs="Arial"/>
                <w:b/>
                <w:sz w:val="16"/>
                <w:szCs w:val="16"/>
                <w:vertAlign w:val="superscript"/>
              </w:rPr>
              <w:t>1</w:t>
            </w:r>
          </w:p>
        </w:tc>
        <w:tc>
          <w:tcPr>
            <w:tcW w:w="1079" w:type="dxa"/>
            <w:gridSpan w:val="2"/>
            <w:shd w:val="clear" w:color="auto" w:fill="auto"/>
            <w:noWrap/>
            <w:vAlign w:val="center"/>
          </w:tcPr>
          <w:p w14:paraId="1D3F59A7"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hAnsi="Arial Narrow" w:cs="Arial"/>
                <w:b/>
                <w:sz w:val="16"/>
                <w:szCs w:val="16"/>
              </w:rPr>
              <w:t>-0.0302*</w:t>
            </w:r>
          </w:p>
        </w:tc>
        <w:tc>
          <w:tcPr>
            <w:tcW w:w="822" w:type="dxa"/>
            <w:vAlign w:val="center"/>
          </w:tcPr>
          <w:p w14:paraId="225F1849" w14:textId="77777777" w:rsidR="000C5578" w:rsidRPr="00D13BC1" w:rsidRDefault="000C5578" w:rsidP="00D13BC1">
            <w:pPr>
              <w:adjustRightInd w:val="0"/>
              <w:snapToGrid w:val="0"/>
              <w:spacing w:after="0" w:line="240" w:lineRule="auto"/>
              <w:rPr>
                <w:rFonts w:ascii="Arial Narrow" w:hAnsi="Arial Narrow" w:cs="Arial"/>
                <w:b/>
                <w:sz w:val="16"/>
                <w:szCs w:val="16"/>
              </w:rPr>
            </w:pPr>
            <w:r w:rsidRPr="00794D00">
              <w:rPr>
                <w:rFonts w:ascii="Arial Narrow" w:hAnsi="Arial Narrow" w:cs="Arial"/>
                <w:b/>
                <w:color w:val="000000"/>
                <w:sz w:val="16"/>
                <w:szCs w:val="16"/>
              </w:rPr>
              <w:t>-0.0392</w:t>
            </w:r>
          </w:p>
        </w:tc>
      </w:tr>
      <w:tr w:rsidR="000C5578" w:rsidRPr="00D13BC1" w14:paraId="1BB6B368" w14:textId="77777777" w:rsidTr="000C41DE">
        <w:trPr>
          <w:trHeight w:val="255"/>
        </w:trPr>
        <w:tc>
          <w:tcPr>
            <w:tcW w:w="1985" w:type="dxa"/>
            <w:tcBorders>
              <w:right w:val="single" w:sz="4" w:space="0" w:color="auto"/>
            </w:tcBorders>
            <w:shd w:val="clear" w:color="auto" w:fill="auto"/>
            <w:vAlign w:val="bottom"/>
          </w:tcPr>
          <w:p w14:paraId="13CF3897"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tcPr>
          <w:p w14:paraId="0FBAA810" w14:textId="77777777" w:rsidR="000C5578" w:rsidRPr="000C5578" w:rsidRDefault="000C5578" w:rsidP="00D13BC1">
            <w:pPr>
              <w:adjustRightInd w:val="0"/>
              <w:snapToGrid w:val="0"/>
              <w:spacing w:after="0" w:line="240" w:lineRule="auto"/>
              <w:rPr>
                <w:rFonts w:ascii="Arial Narrow" w:eastAsia="Times New Roman" w:hAnsi="Arial Narrow" w:cs="Arial"/>
                <w:b/>
                <w:sz w:val="16"/>
                <w:szCs w:val="16"/>
                <w:vertAlign w:val="superscript"/>
              </w:rPr>
            </w:pPr>
            <w:r w:rsidRPr="00794D00">
              <w:rPr>
                <w:rFonts w:ascii="Arial Narrow" w:eastAsia="Times New Roman" w:hAnsi="Arial Narrow" w:cs="Arial"/>
                <w:b/>
                <w:sz w:val="16"/>
                <w:szCs w:val="16"/>
              </w:rPr>
              <w:t>(0.00630)</w:t>
            </w:r>
          </w:p>
        </w:tc>
        <w:tc>
          <w:tcPr>
            <w:tcW w:w="909" w:type="dxa"/>
            <w:shd w:val="clear" w:color="auto" w:fill="auto"/>
            <w:noWrap/>
            <w:vAlign w:val="center"/>
          </w:tcPr>
          <w:p w14:paraId="06CE31ED"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(0.01120)</w:t>
            </w:r>
          </w:p>
        </w:tc>
        <w:tc>
          <w:tcPr>
            <w:tcW w:w="909" w:type="dxa"/>
            <w:shd w:val="clear" w:color="auto" w:fill="auto"/>
            <w:noWrap/>
            <w:vAlign w:val="center"/>
          </w:tcPr>
          <w:p w14:paraId="2F5E08D8"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(0.01750)</w:t>
            </w:r>
          </w:p>
        </w:tc>
        <w:tc>
          <w:tcPr>
            <w:tcW w:w="822" w:type="dxa"/>
            <w:tcBorders>
              <w:right w:val="single" w:sz="4" w:space="0" w:color="auto"/>
            </w:tcBorders>
            <w:vAlign w:val="center"/>
          </w:tcPr>
          <w:p w14:paraId="458625B4" w14:textId="77777777" w:rsidR="000C5578" w:rsidRPr="00D13BC1"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tcPr>
          <w:p w14:paraId="46613F0F"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hAnsi="Arial Narrow" w:cs="Arial"/>
                <w:b/>
                <w:sz w:val="16"/>
                <w:szCs w:val="16"/>
              </w:rPr>
              <w:t>(0.00549)</w:t>
            </w:r>
          </w:p>
        </w:tc>
        <w:tc>
          <w:tcPr>
            <w:tcW w:w="917" w:type="dxa"/>
            <w:shd w:val="clear" w:color="auto" w:fill="auto"/>
            <w:noWrap/>
            <w:vAlign w:val="center"/>
          </w:tcPr>
          <w:p w14:paraId="1BBD0608"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hAnsi="Arial Narrow" w:cs="Arial"/>
                <w:b/>
                <w:sz w:val="16"/>
                <w:szCs w:val="16"/>
              </w:rPr>
              <w:t>(0.01170)</w:t>
            </w:r>
          </w:p>
        </w:tc>
        <w:tc>
          <w:tcPr>
            <w:tcW w:w="1079" w:type="dxa"/>
            <w:gridSpan w:val="2"/>
            <w:shd w:val="clear" w:color="auto" w:fill="auto"/>
            <w:noWrap/>
            <w:vAlign w:val="center"/>
          </w:tcPr>
          <w:p w14:paraId="3D9D23BE"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794D00">
              <w:rPr>
                <w:rFonts w:ascii="Arial Narrow" w:hAnsi="Arial Narrow" w:cs="Arial"/>
                <w:b/>
                <w:sz w:val="16"/>
                <w:szCs w:val="16"/>
              </w:rPr>
              <w:t>(0.01720)</w:t>
            </w:r>
          </w:p>
        </w:tc>
        <w:tc>
          <w:tcPr>
            <w:tcW w:w="822" w:type="dxa"/>
            <w:vAlign w:val="bottom"/>
          </w:tcPr>
          <w:p w14:paraId="50710AC3" w14:textId="77777777" w:rsidR="000C5578" w:rsidRPr="00D13BC1" w:rsidRDefault="000C5578" w:rsidP="00D13BC1">
            <w:pPr>
              <w:adjustRightInd w:val="0"/>
              <w:snapToGrid w:val="0"/>
              <w:spacing w:after="0" w:line="240" w:lineRule="auto"/>
              <w:rPr>
                <w:rFonts w:ascii="Arial Narrow" w:hAnsi="Arial Narrow" w:cs="Arial"/>
                <w:b/>
                <w:sz w:val="16"/>
                <w:szCs w:val="16"/>
              </w:rPr>
            </w:pPr>
          </w:p>
        </w:tc>
      </w:tr>
      <w:tr w:rsidR="000C5578" w:rsidRPr="00D13BC1" w14:paraId="47C82CE9" w14:textId="77777777" w:rsidTr="000C41DE">
        <w:trPr>
          <w:trHeight w:val="225"/>
        </w:trPr>
        <w:tc>
          <w:tcPr>
            <w:tcW w:w="1985" w:type="dxa"/>
            <w:tcBorders>
              <w:right w:val="single" w:sz="4" w:space="0" w:color="auto"/>
            </w:tcBorders>
            <w:shd w:val="clear" w:color="auto" w:fill="auto"/>
            <w:noWrap/>
            <w:vAlign w:val="center"/>
          </w:tcPr>
          <w:p w14:paraId="4B0D6B15"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Marital Status</w:t>
            </w:r>
          </w:p>
        </w:tc>
        <w:tc>
          <w:tcPr>
            <w:tcW w:w="992" w:type="dxa"/>
            <w:tcBorders>
              <w:left w:val="single" w:sz="4" w:space="0" w:color="auto"/>
            </w:tcBorders>
            <w:shd w:val="clear" w:color="auto" w:fill="auto"/>
            <w:noWrap/>
            <w:vAlign w:val="center"/>
          </w:tcPr>
          <w:p w14:paraId="5CD1D759"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tcPr>
          <w:p w14:paraId="793F5F8C"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tcPr>
          <w:p w14:paraId="0F41857C"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right w:val="single" w:sz="4" w:space="0" w:color="auto"/>
            </w:tcBorders>
            <w:vAlign w:val="center"/>
          </w:tcPr>
          <w:p w14:paraId="5FAA90D4" w14:textId="77777777" w:rsidR="000C5578" w:rsidRPr="00D13BC1"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tcPr>
          <w:p w14:paraId="2D830A5B"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tcPr>
          <w:p w14:paraId="173109C5"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tcPr>
          <w:p w14:paraId="4F5093B2" w14:textId="77777777" w:rsidR="000C5578" w:rsidRPr="00D13BC1"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vAlign w:val="bottom"/>
          </w:tcPr>
          <w:p w14:paraId="613EF84B" w14:textId="77777777" w:rsidR="000C5578" w:rsidRPr="00D13BC1" w:rsidRDefault="000C5578" w:rsidP="00D13BC1">
            <w:pPr>
              <w:adjustRightInd w:val="0"/>
              <w:snapToGrid w:val="0"/>
              <w:spacing w:after="0" w:line="240" w:lineRule="auto"/>
              <w:rPr>
                <w:rFonts w:ascii="Arial Narrow" w:hAnsi="Arial Narrow" w:cs="Arial"/>
                <w:b/>
                <w:sz w:val="16"/>
                <w:szCs w:val="16"/>
              </w:rPr>
            </w:pPr>
          </w:p>
        </w:tc>
      </w:tr>
      <w:tr w:rsidR="000C5578" w:rsidRPr="00D13BC1" w14:paraId="053395EF" w14:textId="77777777" w:rsidTr="000C41DE">
        <w:trPr>
          <w:trHeight w:val="225"/>
        </w:trPr>
        <w:tc>
          <w:tcPr>
            <w:tcW w:w="1985" w:type="dxa"/>
            <w:tcBorders>
              <w:right w:val="single" w:sz="4" w:space="0" w:color="auto"/>
            </w:tcBorders>
            <w:shd w:val="clear" w:color="auto" w:fill="auto"/>
            <w:vAlign w:val="center"/>
            <w:hideMark/>
          </w:tcPr>
          <w:p w14:paraId="656FD46A"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Unmarried</w:t>
            </w:r>
          </w:p>
        </w:tc>
        <w:tc>
          <w:tcPr>
            <w:tcW w:w="992" w:type="dxa"/>
            <w:tcBorders>
              <w:left w:val="single" w:sz="4" w:space="0" w:color="auto"/>
            </w:tcBorders>
            <w:shd w:val="clear" w:color="auto" w:fill="auto"/>
            <w:noWrap/>
            <w:vAlign w:val="center"/>
            <w:hideMark/>
          </w:tcPr>
          <w:p w14:paraId="0E34C45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0.00988</w:t>
            </w:r>
          </w:p>
        </w:tc>
        <w:tc>
          <w:tcPr>
            <w:tcW w:w="909" w:type="dxa"/>
            <w:shd w:val="clear" w:color="auto" w:fill="auto"/>
            <w:noWrap/>
            <w:vAlign w:val="center"/>
            <w:hideMark/>
          </w:tcPr>
          <w:p w14:paraId="195C412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0.0133</w:t>
            </w:r>
          </w:p>
        </w:tc>
        <w:tc>
          <w:tcPr>
            <w:tcW w:w="909" w:type="dxa"/>
            <w:shd w:val="clear" w:color="auto" w:fill="auto"/>
            <w:noWrap/>
            <w:vAlign w:val="center"/>
            <w:hideMark/>
          </w:tcPr>
          <w:p w14:paraId="033C33F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-0.0232</w:t>
            </w:r>
          </w:p>
        </w:tc>
        <w:tc>
          <w:tcPr>
            <w:tcW w:w="822" w:type="dxa"/>
            <w:tcBorders>
              <w:right w:val="single" w:sz="4" w:space="0" w:color="auto"/>
            </w:tcBorders>
            <w:vAlign w:val="center"/>
          </w:tcPr>
          <w:p w14:paraId="37A2201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color w:val="000000"/>
                <w:sz w:val="16"/>
                <w:szCs w:val="16"/>
              </w:rPr>
              <w:t>-0.0331</w:t>
            </w:r>
          </w:p>
        </w:tc>
        <w:tc>
          <w:tcPr>
            <w:tcW w:w="992" w:type="dxa"/>
            <w:tcBorders>
              <w:left w:val="single" w:sz="4" w:space="0" w:color="auto"/>
            </w:tcBorders>
            <w:shd w:val="clear" w:color="auto" w:fill="auto"/>
            <w:noWrap/>
            <w:vAlign w:val="center"/>
            <w:hideMark/>
          </w:tcPr>
          <w:p w14:paraId="61B5BCE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-0.00787</w:t>
            </w:r>
          </w:p>
        </w:tc>
        <w:tc>
          <w:tcPr>
            <w:tcW w:w="917" w:type="dxa"/>
            <w:shd w:val="clear" w:color="auto" w:fill="auto"/>
            <w:noWrap/>
            <w:vAlign w:val="center"/>
            <w:hideMark/>
          </w:tcPr>
          <w:p w14:paraId="141D547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-0.0222</w:t>
            </w:r>
          </w:p>
        </w:tc>
        <w:tc>
          <w:tcPr>
            <w:tcW w:w="1079" w:type="dxa"/>
            <w:gridSpan w:val="2"/>
            <w:shd w:val="clear" w:color="auto" w:fill="auto"/>
            <w:noWrap/>
            <w:vAlign w:val="center"/>
            <w:hideMark/>
          </w:tcPr>
          <w:p w14:paraId="443D616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0.03</w:t>
            </w:r>
          </w:p>
        </w:tc>
        <w:tc>
          <w:tcPr>
            <w:tcW w:w="822" w:type="dxa"/>
            <w:vAlign w:val="center"/>
          </w:tcPr>
          <w:p w14:paraId="01CF351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color w:val="000000"/>
                <w:sz w:val="16"/>
                <w:szCs w:val="16"/>
              </w:rPr>
              <w:t>0.0378</w:t>
            </w:r>
          </w:p>
        </w:tc>
      </w:tr>
      <w:tr w:rsidR="000C5578" w:rsidRPr="00D13BC1" w14:paraId="54F1605A" w14:textId="77777777" w:rsidTr="000C41DE">
        <w:trPr>
          <w:trHeight w:val="225"/>
        </w:trPr>
        <w:tc>
          <w:tcPr>
            <w:tcW w:w="1985" w:type="dxa"/>
            <w:tcBorders>
              <w:right w:val="single" w:sz="4" w:space="0" w:color="auto"/>
            </w:tcBorders>
            <w:shd w:val="clear" w:color="auto" w:fill="auto"/>
            <w:vAlign w:val="bottom"/>
            <w:hideMark/>
          </w:tcPr>
          <w:p w14:paraId="270BB39E"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06F66AF1"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(0.01310)</w:t>
            </w:r>
          </w:p>
        </w:tc>
        <w:tc>
          <w:tcPr>
            <w:tcW w:w="909" w:type="dxa"/>
            <w:shd w:val="clear" w:color="auto" w:fill="auto"/>
            <w:noWrap/>
            <w:vAlign w:val="center"/>
            <w:hideMark/>
          </w:tcPr>
          <w:p w14:paraId="36714CC5"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(0.01620)</w:t>
            </w:r>
          </w:p>
        </w:tc>
        <w:tc>
          <w:tcPr>
            <w:tcW w:w="909" w:type="dxa"/>
            <w:shd w:val="clear" w:color="auto" w:fill="auto"/>
            <w:noWrap/>
            <w:vAlign w:val="center"/>
            <w:hideMark/>
          </w:tcPr>
          <w:p w14:paraId="339B0004"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(0.02930)</w:t>
            </w:r>
          </w:p>
        </w:tc>
        <w:tc>
          <w:tcPr>
            <w:tcW w:w="822" w:type="dxa"/>
            <w:tcBorders>
              <w:right w:val="single" w:sz="4" w:space="0" w:color="auto"/>
            </w:tcBorders>
            <w:vAlign w:val="center"/>
          </w:tcPr>
          <w:p w14:paraId="5C5C5E89" w14:textId="77777777" w:rsidR="000C5578" w:rsidRPr="00794D00"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EA399BD"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(0.00752)</w:t>
            </w:r>
          </w:p>
        </w:tc>
        <w:tc>
          <w:tcPr>
            <w:tcW w:w="917" w:type="dxa"/>
            <w:shd w:val="clear" w:color="auto" w:fill="auto"/>
            <w:noWrap/>
            <w:vAlign w:val="center"/>
            <w:hideMark/>
          </w:tcPr>
          <w:p w14:paraId="454DDE0C"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(0.02350)</w:t>
            </w:r>
          </w:p>
        </w:tc>
        <w:tc>
          <w:tcPr>
            <w:tcW w:w="1079" w:type="dxa"/>
            <w:gridSpan w:val="2"/>
            <w:shd w:val="clear" w:color="auto" w:fill="auto"/>
            <w:noWrap/>
            <w:vAlign w:val="center"/>
            <w:hideMark/>
          </w:tcPr>
          <w:p w14:paraId="574C4BE6"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(0.03100)</w:t>
            </w:r>
          </w:p>
        </w:tc>
        <w:tc>
          <w:tcPr>
            <w:tcW w:w="822" w:type="dxa"/>
            <w:vAlign w:val="center"/>
          </w:tcPr>
          <w:p w14:paraId="250892B8" w14:textId="77777777" w:rsidR="000C5578" w:rsidRPr="00794D00" w:rsidRDefault="000C5578" w:rsidP="00D13BC1">
            <w:pPr>
              <w:adjustRightInd w:val="0"/>
              <w:snapToGrid w:val="0"/>
              <w:spacing w:after="0" w:line="240" w:lineRule="auto"/>
              <w:rPr>
                <w:rFonts w:ascii="Arial Narrow" w:hAnsi="Arial Narrow" w:cs="Arial"/>
                <w:b/>
                <w:sz w:val="16"/>
                <w:szCs w:val="16"/>
              </w:rPr>
            </w:pPr>
          </w:p>
        </w:tc>
      </w:tr>
      <w:tr w:rsidR="000C5578" w:rsidRPr="00D13BC1" w14:paraId="33044D91" w14:textId="77777777" w:rsidTr="000C41DE">
        <w:trPr>
          <w:trHeight w:val="225"/>
        </w:trPr>
        <w:tc>
          <w:tcPr>
            <w:tcW w:w="1985" w:type="dxa"/>
            <w:tcBorders>
              <w:right w:val="single" w:sz="4" w:space="0" w:color="auto"/>
            </w:tcBorders>
            <w:shd w:val="clear" w:color="auto" w:fill="auto"/>
            <w:noWrap/>
            <w:vAlign w:val="center"/>
            <w:hideMark/>
          </w:tcPr>
          <w:p w14:paraId="4B0A4FC9"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Widowed/Divorced</w:t>
            </w:r>
          </w:p>
        </w:tc>
        <w:tc>
          <w:tcPr>
            <w:tcW w:w="992" w:type="dxa"/>
            <w:tcBorders>
              <w:left w:val="single" w:sz="4" w:space="0" w:color="auto"/>
            </w:tcBorders>
            <w:shd w:val="clear" w:color="auto" w:fill="auto"/>
            <w:noWrap/>
            <w:vAlign w:val="center"/>
            <w:hideMark/>
          </w:tcPr>
          <w:p w14:paraId="65A3ABDB"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0.00467</w:t>
            </w:r>
          </w:p>
        </w:tc>
        <w:tc>
          <w:tcPr>
            <w:tcW w:w="909" w:type="dxa"/>
            <w:shd w:val="clear" w:color="auto" w:fill="auto"/>
            <w:noWrap/>
            <w:vAlign w:val="center"/>
            <w:hideMark/>
          </w:tcPr>
          <w:p w14:paraId="5304E898"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0.00657</w:t>
            </w:r>
          </w:p>
        </w:tc>
        <w:tc>
          <w:tcPr>
            <w:tcW w:w="909" w:type="dxa"/>
            <w:shd w:val="clear" w:color="auto" w:fill="auto"/>
            <w:noWrap/>
            <w:vAlign w:val="center"/>
            <w:hideMark/>
          </w:tcPr>
          <w:p w14:paraId="7E5BE89B"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-0.0112</w:t>
            </w:r>
          </w:p>
        </w:tc>
        <w:tc>
          <w:tcPr>
            <w:tcW w:w="822" w:type="dxa"/>
            <w:tcBorders>
              <w:right w:val="single" w:sz="4" w:space="0" w:color="auto"/>
            </w:tcBorders>
            <w:vAlign w:val="center"/>
          </w:tcPr>
          <w:p w14:paraId="26F776E6" w14:textId="77777777" w:rsidR="000C5578" w:rsidRPr="00794D00"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-0.01583</w:t>
            </w:r>
          </w:p>
        </w:tc>
        <w:tc>
          <w:tcPr>
            <w:tcW w:w="992" w:type="dxa"/>
            <w:tcBorders>
              <w:left w:val="single" w:sz="4" w:space="0" w:color="auto"/>
            </w:tcBorders>
            <w:shd w:val="clear" w:color="auto" w:fill="auto"/>
            <w:noWrap/>
            <w:vAlign w:val="center"/>
            <w:hideMark/>
          </w:tcPr>
          <w:p w14:paraId="7E99214E"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-0.00860**</w:t>
            </w:r>
          </w:p>
        </w:tc>
        <w:tc>
          <w:tcPr>
            <w:tcW w:w="917" w:type="dxa"/>
            <w:shd w:val="clear" w:color="auto" w:fill="auto"/>
            <w:noWrap/>
            <w:vAlign w:val="center"/>
            <w:hideMark/>
          </w:tcPr>
          <w:p w14:paraId="539F9FAD"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-0.0245**</w:t>
            </w:r>
          </w:p>
        </w:tc>
        <w:tc>
          <w:tcPr>
            <w:tcW w:w="1079" w:type="dxa"/>
            <w:gridSpan w:val="2"/>
            <w:shd w:val="clear" w:color="auto" w:fill="auto"/>
            <w:noWrap/>
            <w:vAlign w:val="center"/>
            <w:hideMark/>
          </w:tcPr>
          <w:p w14:paraId="2DBD90E2" w14:textId="77777777" w:rsidR="000C5578" w:rsidRPr="00794D00"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0.0331**</w:t>
            </w:r>
          </w:p>
        </w:tc>
        <w:tc>
          <w:tcPr>
            <w:tcW w:w="822" w:type="dxa"/>
            <w:vAlign w:val="center"/>
          </w:tcPr>
          <w:p w14:paraId="5C6BEA31" w14:textId="77777777" w:rsidR="000C5578" w:rsidRPr="00794D00"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0.0417</w:t>
            </w:r>
          </w:p>
        </w:tc>
      </w:tr>
      <w:tr w:rsidR="000C5578" w:rsidRPr="00D13BC1" w14:paraId="03B44503" w14:textId="77777777" w:rsidTr="000C41DE">
        <w:trPr>
          <w:trHeight w:val="225"/>
        </w:trPr>
        <w:tc>
          <w:tcPr>
            <w:tcW w:w="1985" w:type="dxa"/>
            <w:tcBorders>
              <w:right w:val="single" w:sz="4" w:space="0" w:color="auto"/>
            </w:tcBorders>
            <w:shd w:val="clear" w:color="auto" w:fill="auto"/>
            <w:vAlign w:val="bottom"/>
            <w:hideMark/>
          </w:tcPr>
          <w:p w14:paraId="47207F8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44C84ACF" w14:textId="77777777" w:rsidR="000C5578" w:rsidRPr="00D13BC1" w:rsidRDefault="000C5578" w:rsidP="00D13BC1">
            <w:pPr>
              <w:adjustRightInd w:val="0"/>
              <w:snapToGrid w:val="0"/>
              <w:spacing w:line="240" w:lineRule="auto"/>
              <w:jc w:val="center"/>
              <w:rPr>
                <w:rFonts w:ascii="Arial Narrow" w:hAnsi="Arial Narrow" w:cs="Arial"/>
                <w:sz w:val="16"/>
                <w:szCs w:val="16"/>
              </w:rPr>
            </w:pPr>
            <w:r w:rsidRPr="00D13BC1">
              <w:rPr>
                <w:rFonts w:ascii="Arial Narrow" w:eastAsia="Times New Roman" w:hAnsi="Arial Narrow" w:cs="Arial"/>
                <w:sz w:val="16"/>
                <w:szCs w:val="16"/>
              </w:rPr>
              <w:t>(0.00638)</w:t>
            </w:r>
          </w:p>
        </w:tc>
        <w:tc>
          <w:tcPr>
            <w:tcW w:w="909" w:type="dxa"/>
            <w:shd w:val="clear" w:color="auto" w:fill="auto"/>
            <w:noWrap/>
            <w:vAlign w:val="center"/>
            <w:hideMark/>
          </w:tcPr>
          <w:p w14:paraId="52EAC3F6" w14:textId="77777777" w:rsidR="000C5578" w:rsidRPr="00D13BC1" w:rsidRDefault="000C5578" w:rsidP="00D13BC1">
            <w:pPr>
              <w:adjustRightInd w:val="0"/>
              <w:snapToGrid w:val="0"/>
              <w:spacing w:line="240" w:lineRule="auto"/>
              <w:jc w:val="center"/>
              <w:rPr>
                <w:rFonts w:ascii="Arial Narrow" w:hAnsi="Arial Narrow" w:cs="Arial"/>
                <w:sz w:val="16"/>
                <w:szCs w:val="16"/>
              </w:rPr>
            </w:pPr>
            <w:r w:rsidRPr="00D13BC1">
              <w:rPr>
                <w:rFonts w:ascii="Arial Narrow" w:eastAsia="Times New Roman" w:hAnsi="Arial Narrow" w:cs="Arial"/>
                <w:sz w:val="16"/>
                <w:szCs w:val="16"/>
              </w:rPr>
              <w:t>(0.00868)</w:t>
            </w:r>
          </w:p>
        </w:tc>
        <w:tc>
          <w:tcPr>
            <w:tcW w:w="909" w:type="dxa"/>
            <w:shd w:val="clear" w:color="auto" w:fill="auto"/>
            <w:noWrap/>
            <w:vAlign w:val="center"/>
            <w:hideMark/>
          </w:tcPr>
          <w:p w14:paraId="136C8944" w14:textId="77777777" w:rsidR="000C5578" w:rsidRPr="00D13BC1" w:rsidRDefault="000C5578" w:rsidP="00D13BC1">
            <w:pPr>
              <w:adjustRightInd w:val="0"/>
              <w:snapToGrid w:val="0"/>
              <w:spacing w:line="240" w:lineRule="auto"/>
              <w:jc w:val="center"/>
              <w:rPr>
                <w:rFonts w:ascii="Arial Narrow" w:hAnsi="Arial Narrow" w:cs="Arial"/>
                <w:sz w:val="16"/>
                <w:szCs w:val="16"/>
              </w:rPr>
            </w:pPr>
            <w:r w:rsidRPr="00D13BC1">
              <w:rPr>
                <w:rFonts w:ascii="Arial Narrow" w:eastAsia="Times New Roman" w:hAnsi="Arial Narrow" w:cs="Arial"/>
                <w:sz w:val="16"/>
                <w:szCs w:val="16"/>
              </w:rPr>
              <w:t>(0.01510)</w:t>
            </w:r>
          </w:p>
        </w:tc>
        <w:tc>
          <w:tcPr>
            <w:tcW w:w="822" w:type="dxa"/>
            <w:tcBorders>
              <w:right w:val="single" w:sz="4" w:space="0" w:color="auto"/>
            </w:tcBorders>
            <w:vAlign w:val="center"/>
          </w:tcPr>
          <w:p w14:paraId="45DAA176" w14:textId="77777777" w:rsidR="000C5578" w:rsidRPr="00D13BC1" w:rsidRDefault="000C5578" w:rsidP="00D13BC1">
            <w:pPr>
              <w:adjustRightInd w:val="0"/>
              <w:snapToGrid w:val="0"/>
              <w:spacing w:line="240" w:lineRule="auto"/>
              <w:jc w:val="center"/>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6F7108B3" w14:textId="77777777" w:rsidR="000C5578" w:rsidRPr="00D13BC1" w:rsidRDefault="000C5578" w:rsidP="00D13BC1">
            <w:pPr>
              <w:adjustRightInd w:val="0"/>
              <w:snapToGrid w:val="0"/>
              <w:spacing w:line="240" w:lineRule="auto"/>
              <w:jc w:val="center"/>
              <w:rPr>
                <w:rFonts w:ascii="Arial Narrow" w:hAnsi="Arial Narrow" w:cs="Arial"/>
                <w:sz w:val="16"/>
                <w:szCs w:val="16"/>
              </w:rPr>
            </w:pPr>
            <w:r w:rsidRPr="00D13BC1">
              <w:rPr>
                <w:rFonts w:ascii="Arial Narrow" w:hAnsi="Arial Narrow" w:cs="Arial"/>
                <w:sz w:val="16"/>
                <w:szCs w:val="16"/>
              </w:rPr>
              <w:t>(0.00386)</w:t>
            </w:r>
          </w:p>
        </w:tc>
        <w:tc>
          <w:tcPr>
            <w:tcW w:w="917" w:type="dxa"/>
            <w:shd w:val="clear" w:color="auto" w:fill="auto"/>
            <w:noWrap/>
            <w:vAlign w:val="center"/>
            <w:hideMark/>
          </w:tcPr>
          <w:p w14:paraId="5E67BD40" w14:textId="77777777" w:rsidR="000C5578" w:rsidRPr="00D13BC1" w:rsidRDefault="000C5578" w:rsidP="00D13BC1">
            <w:pPr>
              <w:adjustRightInd w:val="0"/>
              <w:snapToGrid w:val="0"/>
              <w:spacing w:line="240" w:lineRule="auto"/>
              <w:jc w:val="center"/>
              <w:rPr>
                <w:rFonts w:ascii="Arial Narrow" w:hAnsi="Arial Narrow" w:cs="Arial"/>
                <w:sz w:val="16"/>
                <w:szCs w:val="16"/>
              </w:rPr>
            </w:pPr>
            <w:r w:rsidRPr="00D13BC1">
              <w:rPr>
                <w:rFonts w:ascii="Arial Narrow" w:hAnsi="Arial Narrow" w:cs="Arial"/>
                <w:sz w:val="16"/>
                <w:szCs w:val="16"/>
              </w:rPr>
              <w:t>(0.01200)</w:t>
            </w:r>
          </w:p>
        </w:tc>
        <w:tc>
          <w:tcPr>
            <w:tcW w:w="1079" w:type="dxa"/>
            <w:gridSpan w:val="2"/>
            <w:shd w:val="clear" w:color="auto" w:fill="auto"/>
            <w:noWrap/>
            <w:vAlign w:val="center"/>
            <w:hideMark/>
          </w:tcPr>
          <w:p w14:paraId="4CD434C3" w14:textId="77777777" w:rsidR="000C5578" w:rsidRPr="00D13BC1" w:rsidRDefault="000C5578" w:rsidP="00D13BC1">
            <w:pPr>
              <w:adjustRightInd w:val="0"/>
              <w:snapToGrid w:val="0"/>
              <w:spacing w:line="240" w:lineRule="auto"/>
              <w:jc w:val="center"/>
              <w:rPr>
                <w:rFonts w:ascii="Arial Narrow" w:hAnsi="Arial Narrow" w:cs="Arial"/>
                <w:sz w:val="16"/>
                <w:szCs w:val="16"/>
              </w:rPr>
            </w:pPr>
            <w:r w:rsidRPr="00D13BC1">
              <w:rPr>
                <w:rFonts w:ascii="Arial Narrow" w:hAnsi="Arial Narrow" w:cs="Arial"/>
                <w:sz w:val="16"/>
                <w:szCs w:val="16"/>
              </w:rPr>
              <w:t>(0.01590)</w:t>
            </w:r>
          </w:p>
        </w:tc>
        <w:tc>
          <w:tcPr>
            <w:tcW w:w="822" w:type="dxa"/>
            <w:vAlign w:val="bottom"/>
          </w:tcPr>
          <w:p w14:paraId="03F907FE" w14:textId="77777777" w:rsidR="000C5578" w:rsidRPr="00D13BC1" w:rsidRDefault="000C5578" w:rsidP="00D13BC1">
            <w:pPr>
              <w:adjustRightInd w:val="0"/>
              <w:snapToGrid w:val="0"/>
              <w:spacing w:line="240" w:lineRule="auto"/>
              <w:jc w:val="center"/>
              <w:rPr>
                <w:rFonts w:ascii="Arial Narrow" w:hAnsi="Arial Narrow" w:cs="Arial"/>
                <w:sz w:val="16"/>
                <w:szCs w:val="16"/>
              </w:rPr>
            </w:pPr>
          </w:p>
        </w:tc>
      </w:tr>
      <w:tr w:rsidR="000C5578" w:rsidRPr="00D13BC1" w14:paraId="315C9BF7" w14:textId="77777777" w:rsidTr="000C41DE">
        <w:trPr>
          <w:trHeight w:val="225"/>
        </w:trPr>
        <w:tc>
          <w:tcPr>
            <w:tcW w:w="1985" w:type="dxa"/>
            <w:tcBorders>
              <w:right w:val="single" w:sz="4" w:space="0" w:color="auto"/>
            </w:tcBorders>
            <w:shd w:val="clear" w:color="auto" w:fill="auto"/>
            <w:vAlign w:val="center"/>
            <w:hideMark/>
          </w:tcPr>
          <w:p w14:paraId="35C83E3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Age</w:t>
            </w:r>
            <w:r w:rsidR="005C79F4" w:rsidRPr="005C79F4">
              <w:rPr>
                <w:rFonts w:ascii="Arial Narrow" w:eastAsia="Times New Roman" w:hAnsi="Arial Narrow" w:cs="Arial"/>
                <w:i/>
                <w:sz w:val="16"/>
                <w:szCs w:val="16"/>
                <w:vertAlign w:val="superscript"/>
              </w:rPr>
              <w:t>3</w:t>
            </w:r>
          </w:p>
        </w:tc>
        <w:tc>
          <w:tcPr>
            <w:tcW w:w="992" w:type="dxa"/>
            <w:tcBorders>
              <w:left w:val="single" w:sz="4" w:space="0" w:color="auto"/>
            </w:tcBorders>
            <w:shd w:val="clear" w:color="auto" w:fill="auto"/>
            <w:noWrap/>
            <w:vAlign w:val="center"/>
            <w:hideMark/>
          </w:tcPr>
          <w:p w14:paraId="5E085BD6"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-0.00156*** </w:t>
            </w:r>
            <w:r w:rsidRPr="005C79F4">
              <w:rPr>
                <w:rFonts w:ascii="Arial Narrow" w:eastAsia="Times New Roman" w:hAnsi="Arial Narrow" w:cs="Arial"/>
                <w:b/>
                <w:i/>
                <w:sz w:val="16"/>
                <w:szCs w:val="16"/>
                <w:vertAlign w:val="superscript"/>
              </w:rPr>
              <w:t>1</w:t>
            </w:r>
          </w:p>
        </w:tc>
        <w:tc>
          <w:tcPr>
            <w:tcW w:w="909" w:type="dxa"/>
            <w:shd w:val="clear" w:color="auto" w:fill="auto"/>
            <w:noWrap/>
            <w:vAlign w:val="center"/>
            <w:hideMark/>
          </w:tcPr>
          <w:p w14:paraId="01B80AF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-0.00227***</w:t>
            </w:r>
          </w:p>
        </w:tc>
        <w:tc>
          <w:tcPr>
            <w:tcW w:w="909" w:type="dxa"/>
            <w:shd w:val="clear" w:color="auto" w:fill="auto"/>
            <w:noWrap/>
            <w:vAlign w:val="center"/>
            <w:hideMark/>
          </w:tcPr>
          <w:p w14:paraId="0C8A7B7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0.00382***</w:t>
            </w:r>
          </w:p>
        </w:tc>
        <w:tc>
          <w:tcPr>
            <w:tcW w:w="822" w:type="dxa"/>
            <w:tcBorders>
              <w:right w:val="single" w:sz="4" w:space="0" w:color="auto"/>
            </w:tcBorders>
            <w:vAlign w:val="center"/>
          </w:tcPr>
          <w:p w14:paraId="37AFE2EC"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0.00537</w:t>
            </w:r>
          </w:p>
        </w:tc>
        <w:tc>
          <w:tcPr>
            <w:tcW w:w="992" w:type="dxa"/>
            <w:tcBorders>
              <w:left w:val="single" w:sz="4" w:space="0" w:color="auto"/>
            </w:tcBorders>
            <w:shd w:val="clear" w:color="auto" w:fill="auto"/>
            <w:noWrap/>
            <w:vAlign w:val="center"/>
            <w:hideMark/>
          </w:tcPr>
          <w:p w14:paraId="71A13BE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-0.00416***</w:t>
            </w:r>
          </w:p>
        </w:tc>
        <w:tc>
          <w:tcPr>
            <w:tcW w:w="917" w:type="dxa"/>
            <w:shd w:val="clear" w:color="auto" w:fill="auto"/>
            <w:noWrap/>
            <w:vAlign w:val="center"/>
            <w:hideMark/>
          </w:tcPr>
          <w:p w14:paraId="51842F7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-0.0108***</w:t>
            </w:r>
          </w:p>
        </w:tc>
        <w:tc>
          <w:tcPr>
            <w:tcW w:w="1079" w:type="dxa"/>
            <w:gridSpan w:val="2"/>
            <w:shd w:val="clear" w:color="auto" w:fill="auto"/>
            <w:noWrap/>
            <w:vAlign w:val="center"/>
            <w:hideMark/>
          </w:tcPr>
          <w:p w14:paraId="571CB4C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0.0150***</w:t>
            </w:r>
          </w:p>
        </w:tc>
        <w:tc>
          <w:tcPr>
            <w:tcW w:w="822" w:type="dxa"/>
            <w:vAlign w:val="center"/>
          </w:tcPr>
          <w:p w14:paraId="03500F03"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0.0192</w:t>
            </w:r>
          </w:p>
        </w:tc>
      </w:tr>
      <w:tr w:rsidR="000C5578" w:rsidRPr="00D13BC1" w14:paraId="051A2442" w14:textId="77777777" w:rsidTr="000C41DE">
        <w:trPr>
          <w:trHeight w:val="225"/>
        </w:trPr>
        <w:tc>
          <w:tcPr>
            <w:tcW w:w="1985" w:type="dxa"/>
            <w:tcBorders>
              <w:right w:val="single" w:sz="4" w:space="0" w:color="auto"/>
            </w:tcBorders>
            <w:shd w:val="clear" w:color="auto" w:fill="auto"/>
            <w:noWrap/>
            <w:vAlign w:val="bottom"/>
            <w:hideMark/>
          </w:tcPr>
          <w:p w14:paraId="48D81D36"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25E5803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(0.00057)</w:t>
            </w:r>
          </w:p>
        </w:tc>
        <w:tc>
          <w:tcPr>
            <w:tcW w:w="909" w:type="dxa"/>
            <w:shd w:val="clear" w:color="auto" w:fill="auto"/>
            <w:noWrap/>
            <w:vAlign w:val="center"/>
            <w:hideMark/>
          </w:tcPr>
          <w:p w14:paraId="7075023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(0.00083)</w:t>
            </w:r>
          </w:p>
        </w:tc>
        <w:tc>
          <w:tcPr>
            <w:tcW w:w="909" w:type="dxa"/>
            <w:shd w:val="clear" w:color="auto" w:fill="auto"/>
            <w:noWrap/>
            <w:vAlign w:val="center"/>
            <w:hideMark/>
          </w:tcPr>
          <w:p w14:paraId="53E2ED5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(0.00140)</w:t>
            </w:r>
          </w:p>
        </w:tc>
        <w:tc>
          <w:tcPr>
            <w:tcW w:w="822" w:type="dxa"/>
            <w:tcBorders>
              <w:right w:val="single" w:sz="4" w:space="0" w:color="auto"/>
            </w:tcBorders>
            <w:vAlign w:val="center"/>
          </w:tcPr>
          <w:p w14:paraId="43B727A6"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6478E25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(0.00040)</w:t>
            </w:r>
          </w:p>
        </w:tc>
        <w:tc>
          <w:tcPr>
            <w:tcW w:w="917" w:type="dxa"/>
            <w:shd w:val="clear" w:color="auto" w:fill="auto"/>
            <w:noWrap/>
            <w:vAlign w:val="center"/>
            <w:hideMark/>
          </w:tcPr>
          <w:p w14:paraId="0C9132E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(0.00104)</w:t>
            </w:r>
          </w:p>
        </w:tc>
        <w:tc>
          <w:tcPr>
            <w:tcW w:w="1079" w:type="dxa"/>
            <w:gridSpan w:val="2"/>
            <w:shd w:val="clear" w:color="auto" w:fill="auto"/>
            <w:noWrap/>
            <w:vAlign w:val="center"/>
            <w:hideMark/>
          </w:tcPr>
          <w:p w14:paraId="395A79F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(0.00142)</w:t>
            </w:r>
          </w:p>
        </w:tc>
        <w:tc>
          <w:tcPr>
            <w:tcW w:w="822" w:type="dxa"/>
            <w:vAlign w:val="center"/>
          </w:tcPr>
          <w:p w14:paraId="5F0605D2"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D13BC1" w14:paraId="7D62FD9D" w14:textId="77777777" w:rsidTr="000C41DE">
        <w:trPr>
          <w:trHeight w:val="225"/>
        </w:trPr>
        <w:tc>
          <w:tcPr>
            <w:tcW w:w="1985" w:type="dxa"/>
            <w:tcBorders>
              <w:right w:val="single" w:sz="4" w:space="0" w:color="auto"/>
            </w:tcBorders>
            <w:shd w:val="clear" w:color="auto" w:fill="auto"/>
            <w:vAlign w:val="center"/>
            <w:hideMark/>
          </w:tcPr>
          <w:p w14:paraId="56ED98B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Age*Age</w:t>
            </w:r>
          </w:p>
        </w:tc>
        <w:tc>
          <w:tcPr>
            <w:tcW w:w="992" w:type="dxa"/>
            <w:tcBorders>
              <w:left w:val="single" w:sz="4" w:space="0" w:color="auto"/>
            </w:tcBorders>
            <w:shd w:val="clear" w:color="auto" w:fill="auto"/>
            <w:noWrap/>
            <w:vAlign w:val="center"/>
            <w:hideMark/>
          </w:tcPr>
          <w:p w14:paraId="7408B32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.0000164***</w:t>
            </w:r>
          </w:p>
        </w:tc>
        <w:tc>
          <w:tcPr>
            <w:tcW w:w="909" w:type="dxa"/>
            <w:shd w:val="clear" w:color="auto" w:fill="auto"/>
            <w:noWrap/>
            <w:vAlign w:val="center"/>
            <w:hideMark/>
          </w:tcPr>
          <w:p w14:paraId="0CCD664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.000024***</w:t>
            </w:r>
          </w:p>
        </w:tc>
        <w:tc>
          <w:tcPr>
            <w:tcW w:w="909" w:type="dxa"/>
            <w:shd w:val="clear" w:color="auto" w:fill="auto"/>
            <w:noWrap/>
            <w:vAlign w:val="center"/>
            <w:hideMark/>
          </w:tcPr>
          <w:p w14:paraId="3ED9E24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-.00004***</w:t>
            </w:r>
          </w:p>
        </w:tc>
        <w:tc>
          <w:tcPr>
            <w:tcW w:w="822" w:type="dxa"/>
            <w:tcBorders>
              <w:right w:val="single" w:sz="4" w:space="0" w:color="auto"/>
            </w:tcBorders>
            <w:vAlign w:val="center"/>
          </w:tcPr>
          <w:p w14:paraId="47C98206" w14:textId="77777777" w:rsidR="000C5578" w:rsidRPr="005C79F4" w:rsidRDefault="00514F20"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-0.00006</w:t>
            </w:r>
          </w:p>
        </w:tc>
        <w:tc>
          <w:tcPr>
            <w:tcW w:w="992" w:type="dxa"/>
            <w:tcBorders>
              <w:left w:val="single" w:sz="4" w:space="0" w:color="auto"/>
            </w:tcBorders>
            <w:shd w:val="clear" w:color="auto" w:fill="auto"/>
            <w:noWrap/>
            <w:vAlign w:val="center"/>
            <w:hideMark/>
          </w:tcPr>
          <w:p w14:paraId="188DF2AE"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4.21e-05***</w:t>
            </w:r>
          </w:p>
        </w:tc>
        <w:tc>
          <w:tcPr>
            <w:tcW w:w="917" w:type="dxa"/>
            <w:shd w:val="clear" w:color="auto" w:fill="auto"/>
            <w:noWrap/>
            <w:vAlign w:val="center"/>
            <w:hideMark/>
          </w:tcPr>
          <w:p w14:paraId="18A3B02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0.000109***</w:t>
            </w:r>
          </w:p>
        </w:tc>
        <w:tc>
          <w:tcPr>
            <w:tcW w:w="1079" w:type="dxa"/>
            <w:gridSpan w:val="2"/>
            <w:shd w:val="clear" w:color="auto" w:fill="auto"/>
            <w:noWrap/>
            <w:vAlign w:val="center"/>
            <w:hideMark/>
          </w:tcPr>
          <w:p w14:paraId="5AAA028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-0.000151***</w:t>
            </w:r>
          </w:p>
        </w:tc>
        <w:tc>
          <w:tcPr>
            <w:tcW w:w="822" w:type="dxa"/>
            <w:vAlign w:val="center"/>
          </w:tcPr>
          <w:p w14:paraId="472F51D4" w14:textId="77777777" w:rsidR="000C5578" w:rsidRPr="005C79F4" w:rsidRDefault="00514F20"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-0.00019</w:t>
            </w:r>
          </w:p>
        </w:tc>
      </w:tr>
      <w:tr w:rsidR="000C5578" w:rsidRPr="00D13BC1" w14:paraId="4D72D95D" w14:textId="77777777" w:rsidTr="000C41DE">
        <w:trPr>
          <w:trHeight w:val="225"/>
        </w:trPr>
        <w:tc>
          <w:tcPr>
            <w:tcW w:w="1985" w:type="dxa"/>
            <w:tcBorders>
              <w:right w:val="single" w:sz="4" w:space="0" w:color="auto"/>
            </w:tcBorders>
            <w:shd w:val="clear" w:color="auto" w:fill="auto"/>
            <w:noWrap/>
            <w:vAlign w:val="bottom"/>
            <w:hideMark/>
          </w:tcPr>
          <w:p w14:paraId="59A87AC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2F7BF39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(0.00001)</w:t>
            </w:r>
          </w:p>
        </w:tc>
        <w:tc>
          <w:tcPr>
            <w:tcW w:w="909" w:type="dxa"/>
            <w:shd w:val="clear" w:color="auto" w:fill="auto"/>
            <w:noWrap/>
            <w:vAlign w:val="center"/>
            <w:hideMark/>
          </w:tcPr>
          <w:p w14:paraId="413D085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(0.00001)</w:t>
            </w:r>
          </w:p>
        </w:tc>
        <w:tc>
          <w:tcPr>
            <w:tcW w:w="909" w:type="dxa"/>
            <w:shd w:val="clear" w:color="auto" w:fill="auto"/>
            <w:noWrap/>
            <w:vAlign w:val="center"/>
            <w:hideMark/>
          </w:tcPr>
          <w:p w14:paraId="5D76416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(0.00001)</w:t>
            </w:r>
          </w:p>
        </w:tc>
        <w:tc>
          <w:tcPr>
            <w:tcW w:w="822" w:type="dxa"/>
            <w:tcBorders>
              <w:right w:val="single" w:sz="4" w:space="0" w:color="auto"/>
            </w:tcBorders>
            <w:vAlign w:val="center"/>
          </w:tcPr>
          <w:p w14:paraId="1CB71A88"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3781834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(0.00000)</w:t>
            </w:r>
          </w:p>
        </w:tc>
        <w:tc>
          <w:tcPr>
            <w:tcW w:w="917" w:type="dxa"/>
            <w:shd w:val="clear" w:color="auto" w:fill="auto"/>
            <w:noWrap/>
            <w:vAlign w:val="center"/>
            <w:hideMark/>
          </w:tcPr>
          <w:p w14:paraId="7E9663F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(0.00001)</w:t>
            </w:r>
          </w:p>
        </w:tc>
        <w:tc>
          <w:tcPr>
            <w:tcW w:w="1079" w:type="dxa"/>
            <w:gridSpan w:val="2"/>
            <w:shd w:val="clear" w:color="auto" w:fill="auto"/>
            <w:noWrap/>
            <w:vAlign w:val="center"/>
            <w:hideMark/>
          </w:tcPr>
          <w:p w14:paraId="6A86739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(0.00001)</w:t>
            </w:r>
          </w:p>
        </w:tc>
        <w:tc>
          <w:tcPr>
            <w:tcW w:w="822" w:type="dxa"/>
            <w:vAlign w:val="bottom"/>
          </w:tcPr>
          <w:p w14:paraId="430C645B"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1356C3" w14:paraId="20C057AC" w14:textId="77777777" w:rsidTr="000C41DE">
        <w:trPr>
          <w:trHeight w:val="225"/>
        </w:trPr>
        <w:tc>
          <w:tcPr>
            <w:tcW w:w="1985" w:type="dxa"/>
            <w:tcBorders>
              <w:right w:val="single" w:sz="4" w:space="0" w:color="auto"/>
            </w:tcBorders>
            <w:shd w:val="clear" w:color="auto" w:fill="auto"/>
            <w:vAlign w:val="center"/>
            <w:hideMark/>
          </w:tcPr>
          <w:p w14:paraId="4A09AA9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Household Size</w:t>
            </w:r>
          </w:p>
        </w:tc>
        <w:tc>
          <w:tcPr>
            <w:tcW w:w="992" w:type="dxa"/>
            <w:tcBorders>
              <w:left w:val="single" w:sz="4" w:space="0" w:color="auto"/>
            </w:tcBorders>
            <w:shd w:val="clear" w:color="auto" w:fill="auto"/>
            <w:noWrap/>
            <w:vAlign w:val="center"/>
            <w:hideMark/>
          </w:tcPr>
          <w:p w14:paraId="6FE31D1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center"/>
            <w:hideMark/>
          </w:tcPr>
          <w:p w14:paraId="76E0670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center"/>
            <w:hideMark/>
          </w:tcPr>
          <w:p w14:paraId="19DC753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822" w:type="dxa"/>
            <w:tcBorders>
              <w:right w:val="single" w:sz="4" w:space="0" w:color="auto"/>
            </w:tcBorders>
            <w:vAlign w:val="center"/>
          </w:tcPr>
          <w:p w14:paraId="398AAA4F"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17B469E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7F5058A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4866CBC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822" w:type="dxa"/>
            <w:vAlign w:val="bottom"/>
          </w:tcPr>
          <w:p w14:paraId="2AA54121"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1356C3" w14:paraId="2A28CE8E" w14:textId="77777777" w:rsidTr="000C41DE">
        <w:trPr>
          <w:trHeight w:val="225"/>
        </w:trPr>
        <w:tc>
          <w:tcPr>
            <w:tcW w:w="1985" w:type="dxa"/>
            <w:tcBorders>
              <w:right w:val="single" w:sz="4" w:space="0" w:color="auto"/>
            </w:tcBorders>
            <w:shd w:val="clear" w:color="auto" w:fill="auto"/>
            <w:noWrap/>
            <w:vAlign w:val="center"/>
            <w:hideMark/>
          </w:tcPr>
          <w:p w14:paraId="0DF01C4E"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  1</w:t>
            </w:r>
          </w:p>
        </w:tc>
        <w:tc>
          <w:tcPr>
            <w:tcW w:w="992" w:type="dxa"/>
            <w:tcBorders>
              <w:left w:val="single" w:sz="4" w:space="0" w:color="auto"/>
            </w:tcBorders>
            <w:shd w:val="clear" w:color="auto" w:fill="auto"/>
            <w:noWrap/>
            <w:vAlign w:val="center"/>
            <w:hideMark/>
          </w:tcPr>
          <w:p w14:paraId="4F7AA65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0.0381**</w:t>
            </w:r>
          </w:p>
        </w:tc>
        <w:tc>
          <w:tcPr>
            <w:tcW w:w="909" w:type="dxa"/>
            <w:shd w:val="clear" w:color="auto" w:fill="auto"/>
            <w:noWrap/>
            <w:vAlign w:val="center"/>
            <w:hideMark/>
          </w:tcPr>
          <w:p w14:paraId="2F4D294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0.0370***</w:t>
            </w:r>
          </w:p>
        </w:tc>
        <w:tc>
          <w:tcPr>
            <w:tcW w:w="909" w:type="dxa"/>
            <w:shd w:val="clear" w:color="auto" w:fill="auto"/>
            <w:noWrap/>
            <w:vAlign w:val="center"/>
            <w:hideMark/>
          </w:tcPr>
          <w:p w14:paraId="3E36884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-0.0752**</w:t>
            </w:r>
          </w:p>
        </w:tc>
        <w:tc>
          <w:tcPr>
            <w:tcW w:w="822" w:type="dxa"/>
            <w:tcBorders>
              <w:right w:val="single" w:sz="4" w:space="0" w:color="auto"/>
            </w:tcBorders>
            <w:vAlign w:val="center"/>
          </w:tcPr>
          <w:p w14:paraId="4D16D7B2"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-0.1134</w:t>
            </w:r>
          </w:p>
        </w:tc>
        <w:tc>
          <w:tcPr>
            <w:tcW w:w="992" w:type="dxa"/>
            <w:tcBorders>
              <w:left w:val="single" w:sz="4" w:space="0" w:color="auto"/>
            </w:tcBorders>
            <w:shd w:val="clear" w:color="auto" w:fill="auto"/>
            <w:noWrap/>
            <w:vAlign w:val="center"/>
            <w:hideMark/>
          </w:tcPr>
          <w:p w14:paraId="005DA19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0.0243*</w:t>
            </w:r>
          </w:p>
        </w:tc>
        <w:tc>
          <w:tcPr>
            <w:tcW w:w="917" w:type="dxa"/>
            <w:shd w:val="clear" w:color="auto" w:fill="auto"/>
            <w:noWrap/>
            <w:vAlign w:val="center"/>
            <w:hideMark/>
          </w:tcPr>
          <w:p w14:paraId="230C836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0.0437**</w:t>
            </w:r>
          </w:p>
        </w:tc>
        <w:tc>
          <w:tcPr>
            <w:tcW w:w="1079" w:type="dxa"/>
            <w:gridSpan w:val="2"/>
            <w:shd w:val="clear" w:color="auto" w:fill="auto"/>
            <w:noWrap/>
            <w:vAlign w:val="center"/>
            <w:hideMark/>
          </w:tcPr>
          <w:p w14:paraId="321A020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-0.0681**</w:t>
            </w:r>
          </w:p>
        </w:tc>
        <w:tc>
          <w:tcPr>
            <w:tcW w:w="822" w:type="dxa"/>
            <w:vAlign w:val="center"/>
          </w:tcPr>
          <w:p w14:paraId="2ACD89B6"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-0.0925</w:t>
            </w:r>
          </w:p>
        </w:tc>
      </w:tr>
      <w:tr w:rsidR="000C5578" w:rsidRPr="001356C3" w14:paraId="1DD72A66" w14:textId="77777777" w:rsidTr="000C41DE">
        <w:trPr>
          <w:trHeight w:val="225"/>
        </w:trPr>
        <w:tc>
          <w:tcPr>
            <w:tcW w:w="1985" w:type="dxa"/>
            <w:tcBorders>
              <w:right w:val="single" w:sz="4" w:space="0" w:color="auto"/>
            </w:tcBorders>
            <w:shd w:val="clear" w:color="auto" w:fill="auto"/>
            <w:vAlign w:val="bottom"/>
            <w:hideMark/>
          </w:tcPr>
          <w:p w14:paraId="7A88E35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708684E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(0.01800)</w:t>
            </w:r>
          </w:p>
        </w:tc>
        <w:tc>
          <w:tcPr>
            <w:tcW w:w="909" w:type="dxa"/>
            <w:shd w:val="clear" w:color="auto" w:fill="auto"/>
            <w:noWrap/>
            <w:vAlign w:val="center"/>
            <w:hideMark/>
          </w:tcPr>
          <w:p w14:paraId="73A66FE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(0.01210)</w:t>
            </w:r>
          </w:p>
        </w:tc>
        <w:tc>
          <w:tcPr>
            <w:tcW w:w="909" w:type="dxa"/>
            <w:shd w:val="clear" w:color="auto" w:fill="auto"/>
            <w:noWrap/>
            <w:vAlign w:val="center"/>
            <w:hideMark/>
          </w:tcPr>
          <w:p w14:paraId="5320023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(0.03010)</w:t>
            </w:r>
          </w:p>
        </w:tc>
        <w:tc>
          <w:tcPr>
            <w:tcW w:w="822" w:type="dxa"/>
            <w:tcBorders>
              <w:right w:val="single" w:sz="4" w:space="0" w:color="auto"/>
            </w:tcBorders>
            <w:vAlign w:val="center"/>
          </w:tcPr>
          <w:p w14:paraId="0E016687"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66C6F02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(0.01330)</w:t>
            </w:r>
          </w:p>
        </w:tc>
        <w:tc>
          <w:tcPr>
            <w:tcW w:w="917" w:type="dxa"/>
            <w:shd w:val="clear" w:color="auto" w:fill="auto"/>
            <w:noWrap/>
            <w:vAlign w:val="center"/>
            <w:hideMark/>
          </w:tcPr>
          <w:p w14:paraId="78F8015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(0.01770)</w:t>
            </w:r>
          </w:p>
        </w:tc>
        <w:tc>
          <w:tcPr>
            <w:tcW w:w="1079" w:type="dxa"/>
            <w:gridSpan w:val="2"/>
            <w:shd w:val="clear" w:color="auto" w:fill="auto"/>
            <w:noWrap/>
            <w:vAlign w:val="center"/>
            <w:hideMark/>
          </w:tcPr>
          <w:p w14:paraId="5D57C25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(0.03090)</w:t>
            </w:r>
          </w:p>
        </w:tc>
        <w:tc>
          <w:tcPr>
            <w:tcW w:w="822" w:type="dxa"/>
            <w:vAlign w:val="center"/>
          </w:tcPr>
          <w:p w14:paraId="0AC760BF"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1356C3" w14:paraId="3FBCA4DD" w14:textId="77777777" w:rsidTr="000C41DE">
        <w:trPr>
          <w:trHeight w:val="225"/>
        </w:trPr>
        <w:tc>
          <w:tcPr>
            <w:tcW w:w="1985" w:type="dxa"/>
            <w:tcBorders>
              <w:right w:val="single" w:sz="4" w:space="0" w:color="auto"/>
            </w:tcBorders>
            <w:shd w:val="clear" w:color="auto" w:fill="auto"/>
            <w:noWrap/>
            <w:vAlign w:val="center"/>
            <w:hideMark/>
          </w:tcPr>
          <w:p w14:paraId="62824892"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&gt;5</w:t>
            </w:r>
          </w:p>
        </w:tc>
        <w:tc>
          <w:tcPr>
            <w:tcW w:w="992" w:type="dxa"/>
            <w:tcBorders>
              <w:left w:val="single" w:sz="4" w:space="0" w:color="auto"/>
            </w:tcBorders>
            <w:shd w:val="clear" w:color="auto" w:fill="auto"/>
            <w:noWrap/>
            <w:vAlign w:val="center"/>
            <w:hideMark/>
          </w:tcPr>
          <w:p w14:paraId="3B26E7C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-0.0127***</w:t>
            </w:r>
          </w:p>
        </w:tc>
        <w:tc>
          <w:tcPr>
            <w:tcW w:w="909" w:type="dxa"/>
            <w:shd w:val="clear" w:color="auto" w:fill="auto"/>
            <w:noWrap/>
            <w:vAlign w:val="center"/>
            <w:hideMark/>
          </w:tcPr>
          <w:p w14:paraId="5E957B0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-0.0190***</w:t>
            </w:r>
          </w:p>
        </w:tc>
        <w:tc>
          <w:tcPr>
            <w:tcW w:w="909" w:type="dxa"/>
            <w:shd w:val="clear" w:color="auto" w:fill="auto"/>
            <w:noWrap/>
            <w:vAlign w:val="center"/>
            <w:hideMark/>
          </w:tcPr>
          <w:p w14:paraId="279CAF6E"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0.0317***</w:t>
            </w:r>
          </w:p>
        </w:tc>
        <w:tc>
          <w:tcPr>
            <w:tcW w:w="822" w:type="dxa"/>
            <w:tcBorders>
              <w:right w:val="single" w:sz="4" w:space="0" w:color="auto"/>
            </w:tcBorders>
            <w:vAlign w:val="center"/>
          </w:tcPr>
          <w:p w14:paraId="4102CF2D"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0.0444</w:t>
            </w:r>
          </w:p>
        </w:tc>
        <w:tc>
          <w:tcPr>
            <w:tcW w:w="992" w:type="dxa"/>
            <w:tcBorders>
              <w:left w:val="single" w:sz="4" w:space="0" w:color="auto"/>
            </w:tcBorders>
            <w:shd w:val="clear" w:color="auto" w:fill="auto"/>
            <w:noWrap/>
            <w:vAlign w:val="center"/>
            <w:hideMark/>
          </w:tcPr>
          <w:p w14:paraId="23D2BE6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-0.00843***</w:t>
            </w:r>
          </w:p>
        </w:tc>
        <w:tc>
          <w:tcPr>
            <w:tcW w:w="917" w:type="dxa"/>
            <w:shd w:val="clear" w:color="auto" w:fill="auto"/>
            <w:noWrap/>
            <w:vAlign w:val="center"/>
            <w:hideMark/>
          </w:tcPr>
          <w:p w14:paraId="66DE383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-0.0225***</w:t>
            </w:r>
          </w:p>
        </w:tc>
        <w:tc>
          <w:tcPr>
            <w:tcW w:w="1079" w:type="dxa"/>
            <w:gridSpan w:val="2"/>
            <w:shd w:val="clear" w:color="auto" w:fill="auto"/>
            <w:noWrap/>
            <w:vAlign w:val="center"/>
            <w:hideMark/>
          </w:tcPr>
          <w:p w14:paraId="761FCA4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0.0310***</w:t>
            </w:r>
          </w:p>
        </w:tc>
        <w:tc>
          <w:tcPr>
            <w:tcW w:w="822" w:type="dxa"/>
            <w:vAlign w:val="center"/>
          </w:tcPr>
          <w:p w14:paraId="3C9F20DD"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0.0395</w:t>
            </w:r>
          </w:p>
        </w:tc>
      </w:tr>
      <w:tr w:rsidR="000C5578" w:rsidRPr="001356C3" w14:paraId="05A58EA1" w14:textId="77777777" w:rsidTr="000C41DE">
        <w:trPr>
          <w:trHeight w:val="225"/>
        </w:trPr>
        <w:tc>
          <w:tcPr>
            <w:tcW w:w="1985" w:type="dxa"/>
            <w:tcBorders>
              <w:right w:val="single" w:sz="4" w:space="0" w:color="auto"/>
            </w:tcBorders>
            <w:shd w:val="clear" w:color="auto" w:fill="auto"/>
            <w:vAlign w:val="bottom"/>
            <w:hideMark/>
          </w:tcPr>
          <w:p w14:paraId="430D7F5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77D9EF6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(0.00242)</w:t>
            </w:r>
          </w:p>
        </w:tc>
        <w:tc>
          <w:tcPr>
            <w:tcW w:w="909" w:type="dxa"/>
            <w:shd w:val="clear" w:color="auto" w:fill="auto"/>
            <w:noWrap/>
            <w:vAlign w:val="center"/>
            <w:hideMark/>
          </w:tcPr>
          <w:p w14:paraId="7EC276B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(0.00375)</w:t>
            </w:r>
          </w:p>
        </w:tc>
        <w:tc>
          <w:tcPr>
            <w:tcW w:w="909" w:type="dxa"/>
            <w:shd w:val="clear" w:color="auto" w:fill="auto"/>
            <w:noWrap/>
            <w:vAlign w:val="center"/>
            <w:hideMark/>
          </w:tcPr>
          <w:p w14:paraId="055065B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(0.00616)</w:t>
            </w:r>
          </w:p>
        </w:tc>
        <w:tc>
          <w:tcPr>
            <w:tcW w:w="822" w:type="dxa"/>
            <w:tcBorders>
              <w:right w:val="single" w:sz="4" w:space="0" w:color="auto"/>
            </w:tcBorders>
            <w:vAlign w:val="center"/>
          </w:tcPr>
          <w:p w14:paraId="785A788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41CF314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(0.00168)</w:t>
            </w:r>
          </w:p>
        </w:tc>
        <w:tc>
          <w:tcPr>
            <w:tcW w:w="917" w:type="dxa"/>
            <w:shd w:val="clear" w:color="auto" w:fill="auto"/>
            <w:noWrap/>
            <w:vAlign w:val="center"/>
            <w:hideMark/>
          </w:tcPr>
          <w:p w14:paraId="44A2676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(0.00463)</w:t>
            </w:r>
          </w:p>
        </w:tc>
        <w:tc>
          <w:tcPr>
            <w:tcW w:w="1079" w:type="dxa"/>
            <w:gridSpan w:val="2"/>
            <w:shd w:val="clear" w:color="auto" w:fill="auto"/>
            <w:noWrap/>
            <w:vAlign w:val="center"/>
            <w:hideMark/>
          </w:tcPr>
          <w:p w14:paraId="2565C8D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(0.00630)</w:t>
            </w:r>
          </w:p>
        </w:tc>
        <w:tc>
          <w:tcPr>
            <w:tcW w:w="822" w:type="dxa"/>
            <w:vAlign w:val="center"/>
          </w:tcPr>
          <w:p w14:paraId="4CD7961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r>
      <w:tr w:rsidR="000C5578" w:rsidRPr="001356C3" w14:paraId="226EFEC7" w14:textId="77777777" w:rsidTr="000C41DE">
        <w:trPr>
          <w:trHeight w:val="225"/>
        </w:trPr>
        <w:tc>
          <w:tcPr>
            <w:tcW w:w="1985" w:type="dxa"/>
            <w:tcBorders>
              <w:right w:val="single" w:sz="4" w:space="0" w:color="auto"/>
            </w:tcBorders>
            <w:shd w:val="clear" w:color="auto" w:fill="auto"/>
            <w:vAlign w:val="center"/>
            <w:hideMark/>
          </w:tcPr>
          <w:p w14:paraId="3B5D78A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Sector</w:t>
            </w:r>
          </w:p>
        </w:tc>
        <w:tc>
          <w:tcPr>
            <w:tcW w:w="992" w:type="dxa"/>
            <w:tcBorders>
              <w:left w:val="single" w:sz="4" w:space="0" w:color="auto"/>
            </w:tcBorders>
            <w:shd w:val="clear" w:color="auto" w:fill="auto"/>
            <w:noWrap/>
            <w:vAlign w:val="center"/>
            <w:hideMark/>
          </w:tcPr>
          <w:p w14:paraId="0BEA610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center"/>
            <w:hideMark/>
          </w:tcPr>
          <w:p w14:paraId="399A2D6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center"/>
            <w:hideMark/>
          </w:tcPr>
          <w:p w14:paraId="6ACBAD2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822" w:type="dxa"/>
            <w:tcBorders>
              <w:right w:val="single" w:sz="4" w:space="0" w:color="auto"/>
            </w:tcBorders>
            <w:vAlign w:val="center"/>
          </w:tcPr>
          <w:p w14:paraId="22BF16AD"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17D5AC6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7B440F82"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7D13E67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822" w:type="dxa"/>
            <w:vAlign w:val="bottom"/>
          </w:tcPr>
          <w:p w14:paraId="7F7E116A"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1356C3" w14:paraId="65528EF1" w14:textId="77777777" w:rsidTr="000C41DE">
        <w:trPr>
          <w:trHeight w:val="225"/>
        </w:trPr>
        <w:tc>
          <w:tcPr>
            <w:tcW w:w="1985" w:type="dxa"/>
            <w:tcBorders>
              <w:right w:val="single" w:sz="4" w:space="0" w:color="auto"/>
            </w:tcBorders>
            <w:shd w:val="clear" w:color="auto" w:fill="auto"/>
            <w:noWrap/>
            <w:vAlign w:val="center"/>
            <w:hideMark/>
          </w:tcPr>
          <w:p w14:paraId="1730E81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  Urban</w:t>
            </w:r>
          </w:p>
        </w:tc>
        <w:tc>
          <w:tcPr>
            <w:tcW w:w="992" w:type="dxa"/>
            <w:tcBorders>
              <w:left w:val="single" w:sz="4" w:space="0" w:color="auto"/>
            </w:tcBorders>
            <w:shd w:val="clear" w:color="auto" w:fill="auto"/>
            <w:noWrap/>
            <w:vAlign w:val="center"/>
            <w:hideMark/>
          </w:tcPr>
          <w:p w14:paraId="4A44A55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-0.0135***</w:t>
            </w:r>
          </w:p>
        </w:tc>
        <w:tc>
          <w:tcPr>
            <w:tcW w:w="909" w:type="dxa"/>
            <w:shd w:val="clear" w:color="auto" w:fill="auto"/>
            <w:noWrap/>
            <w:vAlign w:val="center"/>
            <w:hideMark/>
          </w:tcPr>
          <w:p w14:paraId="4688563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-0.0205***</w:t>
            </w:r>
          </w:p>
        </w:tc>
        <w:tc>
          <w:tcPr>
            <w:tcW w:w="909" w:type="dxa"/>
            <w:shd w:val="clear" w:color="auto" w:fill="auto"/>
            <w:noWrap/>
            <w:vAlign w:val="center"/>
            <w:hideMark/>
          </w:tcPr>
          <w:p w14:paraId="77608B1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0.0340***</w:t>
            </w:r>
          </w:p>
        </w:tc>
        <w:tc>
          <w:tcPr>
            <w:tcW w:w="822" w:type="dxa"/>
            <w:tcBorders>
              <w:right w:val="single" w:sz="4" w:space="0" w:color="auto"/>
            </w:tcBorders>
            <w:vAlign w:val="center"/>
          </w:tcPr>
          <w:p w14:paraId="4DC4EF02"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0.0475</w:t>
            </w:r>
          </w:p>
        </w:tc>
        <w:tc>
          <w:tcPr>
            <w:tcW w:w="992" w:type="dxa"/>
            <w:tcBorders>
              <w:left w:val="single" w:sz="4" w:space="0" w:color="auto"/>
            </w:tcBorders>
            <w:shd w:val="clear" w:color="auto" w:fill="auto"/>
            <w:noWrap/>
            <w:vAlign w:val="center"/>
            <w:hideMark/>
          </w:tcPr>
          <w:p w14:paraId="1712111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-0.0167***</w:t>
            </w:r>
          </w:p>
        </w:tc>
        <w:tc>
          <w:tcPr>
            <w:tcW w:w="917" w:type="dxa"/>
            <w:shd w:val="clear" w:color="auto" w:fill="auto"/>
            <w:noWrap/>
            <w:vAlign w:val="center"/>
            <w:hideMark/>
          </w:tcPr>
          <w:p w14:paraId="2B2698BE"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-0.0471***</w:t>
            </w:r>
          </w:p>
        </w:tc>
        <w:tc>
          <w:tcPr>
            <w:tcW w:w="1079" w:type="dxa"/>
            <w:gridSpan w:val="2"/>
            <w:shd w:val="clear" w:color="auto" w:fill="auto"/>
            <w:noWrap/>
            <w:vAlign w:val="center"/>
            <w:hideMark/>
          </w:tcPr>
          <w:p w14:paraId="02BE6E6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0.0638***</w:t>
            </w:r>
          </w:p>
        </w:tc>
        <w:tc>
          <w:tcPr>
            <w:tcW w:w="822" w:type="dxa"/>
            <w:vAlign w:val="center"/>
          </w:tcPr>
          <w:p w14:paraId="5E9DC319"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0.0805</w:t>
            </w:r>
          </w:p>
        </w:tc>
      </w:tr>
      <w:tr w:rsidR="000C5578" w:rsidRPr="001356C3" w14:paraId="39705D21" w14:textId="77777777" w:rsidTr="000C41DE">
        <w:trPr>
          <w:trHeight w:val="225"/>
        </w:trPr>
        <w:tc>
          <w:tcPr>
            <w:tcW w:w="1985" w:type="dxa"/>
            <w:tcBorders>
              <w:right w:val="single" w:sz="4" w:space="0" w:color="auto"/>
            </w:tcBorders>
            <w:shd w:val="clear" w:color="auto" w:fill="auto"/>
            <w:vAlign w:val="bottom"/>
            <w:hideMark/>
          </w:tcPr>
          <w:p w14:paraId="2B42A3D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3695603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(0.00274)</w:t>
            </w:r>
          </w:p>
        </w:tc>
        <w:tc>
          <w:tcPr>
            <w:tcW w:w="909" w:type="dxa"/>
            <w:shd w:val="clear" w:color="auto" w:fill="auto"/>
            <w:noWrap/>
            <w:vAlign w:val="center"/>
            <w:hideMark/>
          </w:tcPr>
          <w:p w14:paraId="1B987B9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(0.00437)</w:t>
            </w:r>
          </w:p>
        </w:tc>
        <w:tc>
          <w:tcPr>
            <w:tcW w:w="909" w:type="dxa"/>
            <w:shd w:val="clear" w:color="auto" w:fill="auto"/>
            <w:noWrap/>
            <w:vAlign w:val="center"/>
            <w:hideMark/>
          </w:tcPr>
          <w:p w14:paraId="43CA1B62"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(0.00709)</w:t>
            </w:r>
          </w:p>
        </w:tc>
        <w:tc>
          <w:tcPr>
            <w:tcW w:w="822" w:type="dxa"/>
            <w:tcBorders>
              <w:right w:val="single" w:sz="4" w:space="0" w:color="auto"/>
            </w:tcBorders>
            <w:vAlign w:val="center"/>
          </w:tcPr>
          <w:p w14:paraId="3B895C0A"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1F9CB28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(0.00183)</w:t>
            </w:r>
          </w:p>
        </w:tc>
        <w:tc>
          <w:tcPr>
            <w:tcW w:w="917" w:type="dxa"/>
            <w:shd w:val="clear" w:color="auto" w:fill="auto"/>
            <w:noWrap/>
            <w:vAlign w:val="center"/>
            <w:hideMark/>
          </w:tcPr>
          <w:p w14:paraId="5979455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(0.00552)</w:t>
            </w:r>
          </w:p>
        </w:tc>
        <w:tc>
          <w:tcPr>
            <w:tcW w:w="1079" w:type="dxa"/>
            <w:gridSpan w:val="2"/>
            <w:shd w:val="clear" w:color="auto" w:fill="auto"/>
            <w:noWrap/>
            <w:vAlign w:val="center"/>
            <w:hideMark/>
          </w:tcPr>
          <w:p w14:paraId="1C66478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(0.00729)</w:t>
            </w:r>
          </w:p>
        </w:tc>
        <w:tc>
          <w:tcPr>
            <w:tcW w:w="822" w:type="dxa"/>
            <w:vAlign w:val="center"/>
          </w:tcPr>
          <w:p w14:paraId="1AD35BAB"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1356C3" w14:paraId="2828D16C" w14:textId="77777777" w:rsidTr="000C41DE">
        <w:trPr>
          <w:trHeight w:val="225"/>
        </w:trPr>
        <w:tc>
          <w:tcPr>
            <w:tcW w:w="1985" w:type="dxa"/>
            <w:tcBorders>
              <w:right w:val="single" w:sz="4" w:space="0" w:color="auto"/>
            </w:tcBorders>
            <w:shd w:val="clear" w:color="auto" w:fill="auto"/>
            <w:noWrap/>
            <w:vAlign w:val="center"/>
            <w:hideMark/>
          </w:tcPr>
          <w:p w14:paraId="26B182B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Education</w:t>
            </w:r>
          </w:p>
        </w:tc>
        <w:tc>
          <w:tcPr>
            <w:tcW w:w="992" w:type="dxa"/>
            <w:tcBorders>
              <w:left w:val="single" w:sz="4" w:space="0" w:color="auto"/>
            </w:tcBorders>
            <w:shd w:val="clear" w:color="auto" w:fill="auto"/>
            <w:noWrap/>
            <w:vAlign w:val="center"/>
            <w:hideMark/>
          </w:tcPr>
          <w:p w14:paraId="02EFB9F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41BED1C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5082F2A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right w:val="single" w:sz="4" w:space="0" w:color="auto"/>
            </w:tcBorders>
            <w:vAlign w:val="center"/>
          </w:tcPr>
          <w:p w14:paraId="4AA49B7B"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27EDA636"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630E280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312185A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vAlign w:val="bottom"/>
          </w:tcPr>
          <w:p w14:paraId="6E1148F5"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1356C3" w14:paraId="02B1FA00" w14:textId="77777777" w:rsidTr="000C41DE">
        <w:trPr>
          <w:trHeight w:val="225"/>
        </w:trPr>
        <w:tc>
          <w:tcPr>
            <w:tcW w:w="1985" w:type="dxa"/>
            <w:tcBorders>
              <w:right w:val="single" w:sz="4" w:space="0" w:color="auto"/>
            </w:tcBorders>
            <w:shd w:val="clear" w:color="auto" w:fill="auto"/>
            <w:vAlign w:val="center"/>
            <w:hideMark/>
          </w:tcPr>
          <w:p w14:paraId="40F6DDC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1-4</w:t>
            </w:r>
          </w:p>
        </w:tc>
        <w:tc>
          <w:tcPr>
            <w:tcW w:w="992" w:type="dxa"/>
            <w:tcBorders>
              <w:left w:val="single" w:sz="4" w:space="0" w:color="auto"/>
            </w:tcBorders>
            <w:shd w:val="clear" w:color="auto" w:fill="auto"/>
            <w:noWrap/>
            <w:vAlign w:val="center"/>
            <w:hideMark/>
          </w:tcPr>
          <w:p w14:paraId="59A7B27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-0.0149***</w:t>
            </w:r>
          </w:p>
        </w:tc>
        <w:tc>
          <w:tcPr>
            <w:tcW w:w="909" w:type="dxa"/>
            <w:shd w:val="clear" w:color="auto" w:fill="auto"/>
            <w:noWrap/>
            <w:vAlign w:val="center"/>
            <w:hideMark/>
          </w:tcPr>
          <w:p w14:paraId="1176C43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-0.0168***</w:t>
            </w:r>
          </w:p>
        </w:tc>
        <w:tc>
          <w:tcPr>
            <w:tcW w:w="909" w:type="dxa"/>
            <w:shd w:val="clear" w:color="auto" w:fill="auto"/>
            <w:noWrap/>
            <w:vAlign w:val="center"/>
            <w:hideMark/>
          </w:tcPr>
          <w:p w14:paraId="1452604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0.0317***</w:t>
            </w:r>
          </w:p>
        </w:tc>
        <w:tc>
          <w:tcPr>
            <w:tcW w:w="822" w:type="dxa"/>
            <w:tcBorders>
              <w:right w:val="single" w:sz="4" w:space="0" w:color="auto"/>
            </w:tcBorders>
            <w:vAlign w:val="center"/>
          </w:tcPr>
          <w:p w14:paraId="374445A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0.0466</w:t>
            </w:r>
          </w:p>
        </w:tc>
        <w:tc>
          <w:tcPr>
            <w:tcW w:w="992" w:type="dxa"/>
            <w:tcBorders>
              <w:left w:val="single" w:sz="4" w:space="0" w:color="auto"/>
            </w:tcBorders>
            <w:shd w:val="clear" w:color="auto" w:fill="auto"/>
            <w:noWrap/>
            <w:vAlign w:val="center"/>
            <w:hideMark/>
          </w:tcPr>
          <w:p w14:paraId="51310AE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0.0123***</w:t>
            </w:r>
          </w:p>
        </w:tc>
        <w:tc>
          <w:tcPr>
            <w:tcW w:w="917" w:type="dxa"/>
            <w:shd w:val="clear" w:color="auto" w:fill="auto"/>
            <w:noWrap/>
            <w:vAlign w:val="center"/>
            <w:hideMark/>
          </w:tcPr>
          <w:p w14:paraId="617C4E0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0.0201***</w:t>
            </w:r>
          </w:p>
        </w:tc>
        <w:tc>
          <w:tcPr>
            <w:tcW w:w="1079" w:type="dxa"/>
            <w:gridSpan w:val="2"/>
            <w:shd w:val="clear" w:color="auto" w:fill="auto"/>
            <w:noWrap/>
            <w:vAlign w:val="center"/>
            <w:hideMark/>
          </w:tcPr>
          <w:p w14:paraId="78CB5EE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-0.0324***</w:t>
            </w:r>
          </w:p>
        </w:tc>
        <w:tc>
          <w:tcPr>
            <w:tcW w:w="822" w:type="dxa"/>
            <w:vAlign w:val="center"/>
          </w:tcPr>
          <w:p w14:paraId="2D03B7E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-0.0447</w:t>
            </w:r>
          </w:p>
        </w:tc>
      </w:tr>
      <w:tr w:rsidR="000C5578" w:rsidRPr="001356C3" w14:paraId="045D5EF2" w14:textId="77777777" w:rsidTr="000C41DE">
        <w:trPr>
          <w:trHeight w:val="225"/>
        </w:trPr>
        <w:tc>
          <w:tcPr>
            <w:tcW w:w="1985" w:type="dxa"/>
            <w:tcBorders>
              <w:right w:val="single" w:sz="4" w:space="0" w:color="auto"/>
            </w:tcBorders>
            <w:shd w:val="clear" w:color="auto" w:fill="auto"/>
            <w:vAlign w:val="bottom"/>
            <w:hideMark/>
          </w:tcPr>
          <w:p w14:paraId="00D07B8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591F1C3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(0.00404)</w:t>
            </w:r>
          </w:p>
        </w:tc>
        <w:tc>
          <w:tcPr>
            <w:tcW w:w="909" w:type="dxa"/>
            <w:shd w:val="clear" w:color="auto" w:fill="auto"/>
            <w:noWrap/>
            <w:vAlign w:val="center"/>
            <w:hideMark/>
          </w:tcPr>
          <w:p w14:paraId="19897F3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(0.00481)</w:t>
            </w:r>
          </w:p>
        </w:tc>
        <w:tc>
          <w:tcPr>
            <w:tcW w:w="909" w:type="dxa"/>
            <w:shd w:val="clear" w:color="auto" w:fill="auto"/>
            <w:noWrap/>
            <w:vAlign w:val="center"/>
            <w:hideMark/>
          </w:tcPr>
          <w:p w14:paraId="4AE1BAD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(0.00883)</w:t>
            </w:r>
          </w:p>
        </w:tc>
        <w:tc>
          <w:tcPr>
            <w:tcW w:w="822" w:type="dxa"/>
            <w:tcBorders>
              <w:right w:val="single" w:sz="4" w:space="0" w:color="auto"/>
            </w:tcBorders>
            <w:vAlign w:val="center"/>
          </w:tcPr>
          <w:p w14:paraId="50C9B8D9"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65C5488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(0.00337)</w:t>
            </w:r>
          </w:p>
        </w:tc>
        <w:tc>
          <w:tcPr>
            <w:tcW w:w="917" w:type="dxa"/>
            <w:shd w:val="clear" w:color="auto" w:fill="auto"/>
            <w:noWrap/>
            <w:vAlign w:val="center"/>
            <w:hideMark/>
          </w:tcPr>
          <w:p w14:paraId="5C7B576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(0.00518)</w:t>
            </w:r>
          </w:p>
        </w:tc>
        <w:tc>
          <w:tcPr>
            <w:tcW w:w="1079" w:type="dxa"/>
            <w:gridSpan w:val="2"/>
            <w:shd w:val="clear" w:color="auto" w:fill="auto"/>
            <w:noWrap/>
            <w:vAlign w:val="center"/>
            <w:hideMark/>
          </w:tcPr>
          <w:p w14:paraId="02D3E7E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(0.00852)</w:t>
            </w:r>
          </w:p>
        </w:tc>
        <w:tc>
          <w:tcPr>
            <w:tcW w:w="822" w:type="dxa"/>
            <w:vAlign w:val="center"/>
          </w:tcPr>
          <w:p w14:paraId="16743D39"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1356C3" w14:paraId="4398A8F0" w14:textId="77777777" w:rsidTr="000C41DE">
        <w:trPr>
          <w:trHeight w:val="225"/>
        </w:trPr>
        <w:tc>
          <w:tcPr>
            <w:tcW w:w="1985" w:type="dxa"/>
            <w:tcBorders>
              <w:right w:val="single" w:sz="4" w:space="0" w:color="auto"/>
            </w:tcBorders>
            <w:shd w:val="clear" w:color="auto" w:fill="auto"/>
            <w:noWrap/>
            <w:vAlign w:val="center"/>
            <w:hideMark/>
          </w:tcPr>
          <w:p w14:paraId="0D102CF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  5-8</w:t>
            </w:r>
          </w:p>
        </w:tc>
        <w:tc>
          <w:tcPr>
            <w:tcW w:w="992" w:type="dxa"/>
            <w:tcBorders>
              <w:left w:val="single" w:sz="4" w:space="0" w:color="auto"/>
            </w:tcBorders>
            <w:shd w:val="clear" w:color="auto" w:fill="auto"/>
            <w:noWrap/>
            <w:vAlign w:val="center"/>
            <w:hideMark/>
          </w:tcPr>
          <w:p w14:paraId="409A3C1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-0.0277***</w:t>
            </w:r>
          </w:p>
        </w:tc>
        <w:tc>
          <w:tcPr>
            <w:tcW w:w="909" w:type="dxa"/>
            <w:shd w:val="clear" w:color="auto" w:fill="auto"/>
            <w:noWrap/>
            <w:vAlign w:val="center"/>
            <w:hideMark/>
          </w:tcPr>
          <w:p w14:paraId="78007DA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-0.0351***</w:t>
            </w:r>
          </w:p>
        </w:tc>
        <w:tc>
          <w:tcPr>
            <w:tcW w:w="909" w:type="dxa"/>
            <w:shd w:val="clear" w:color="auto" w:fill="auto"/>
            <w:noWrap/>
            <w:vAlign w:val="center"/>
            <w:hideMark/>
          </w:tcPr>
          <w:p w14:paraId="45E118B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0.0628***</w:t>
            </w:r>
          </w:p>
        </w:tc>
        <w:tc>
          <w:tcPr>
            <w:tcW w:w="822" w:type="dxa"/>
            <w:tcBorders>
              <w:right w:val="single" w:sz="4" w:space="0" w:color="auto"/>
            </w:tcBorders>
            <w:vAlign w:val="center"/>
          </w:tcPr>
          <w:p w14:paraId="677E8616"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0.0905</w:t>
            </w:r>
          </w:p>
        </w:tc>
        <w:tc>
          <w:tcPr>
            <w:tcW w:w="992" w:type="dxa"/>
            <w:tcBorders>
              <w:left w:val="single" w:sz="4" w:space="0" w:color="auto"/>
            </w:tcBorders>
            <w:shd w:val="clear" w:color="auto" w:fill="auto"/>
            <w:noWrap/>
            <w:vAlign w:val="center"/>
            <w:hideMark/>
          </w:tcPr>
          <w:p w14:paraId="7BEAF71E"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-0.0140***</w:t>
            </w:r>
          </w:p>
        </w:tc>
        <w:tc>
          <w:tcPr>
            <w:tcW w:w="917" w:type="dxa"/>
            <w:shd w:val="clear" w:color="auto" w:fill="auto"/>
            <w:noWrap/>
            <w:vAlign w:val="center"/>
            <w:hideMark/>
          </w:tcPr>
          <w:p w14:paraId="0017472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-0.0317***</w:t>
            </w:r>
          </w:p>
        </w:tc>
        <w:tc>
          <w:tcPr>
            <w:tcW w:w="1079" w:type="dxa"/>
            <w:gridSpan w:val="2"/>
            <w:shd w:val="clear" w:color="auto" w:fill="auto"/>
            <w:noWrap/>
            <w:vAlign w:val="center"/>
            <w:hideMark/>
          </w:tcPr>
          <w:p w14:paraId="1810F2B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0.0457***</w:t>
            </w:r>
          </w:p>
        </w:tc>
        <w:tc>
          <w:tcPr>
            <w:tcW w:w="822" w:type="dxa"/>
            <w:vAlign w:val="center"/>
          </w:tcPr>
          <w:p w14:paraId="5D3B3622"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0.0597</w:t>
            </w:r>
          </w:p>
        </w:tc>
      </w:tr>
      <w:tr w:rsidR="000C5578" w:rsidRPr="00D13BC1" w14:paraId="74339CB4" w14:textId="77777777" w:rsidTr="000C41DE">
        <w:trPr>
          <w:trHeight w:val="225"/>
        </w:trPr>
        <w:tc>
          <w:tcPr>
            <w:tcW w:w="1985" w:type="dxa"/>
            <w:tcBorders>
              <w:right w:val="single" w:sz="4" w:space="0" w:color="auto"/>
            </w:tcBorders>
            <w:shd w:val="clear" w:color="auto" w:fill="auto"/>
            <w:vAlign w:val="bottom"/>
            <w:hideMark/>
          </w:tcPr>
          <w:p w14:paraId="5295C6BE"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tcBorders>
            <w:shd w:val="clear" w:color="auto" w:fill="auto"/>
            <w:noWrap/>
            <w:vAlign w:val="center"/>
            <w:hideMark/>
          </w:tcPr>
          <w:p w14:paraId="56F652C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(0.00323)</w:t>
            </w:r>
          </w:p>
        </w:tc>
        <w:tc>
          <w:tcPr>
            <w:tcW w:w="909" w:type="dxa"/>
            <w:shd w:val="clear" w:color="auto" w:fill="auto"/>
            <w:noWrap/>
            <w:vAlign w:val="center"/>
            <w:hideMark/>
          </w:tcPr>
          <w:p w14:paraId="42D2310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(0.00419)</w:t>
            </w:r>
          </w:p>
        </w:tc>
        <w:tc>
          <w:tcPr>
            <w:tcW w:w="909" w:type="dxa"/>
            <w:shd w:val="clear" w:color="auto" w:fill="auto"/>
            <w:noWrap/>
            <w:vAlign w:val="center"/>
            <w:hideMark/>
          </w:tcPr>
          <w:p w14:paraId="14B07F4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(0.00733)</w:t>
            </w:r>
          </w:p>
        </w:tc>
        <w:tc>
          <w:tcPr>
            <w:tcW w:w="822" w:type="dxa"/>
            <w:tcBorders>
              <w:right w:val="single" w:sz="4" w:space="0" w:color="auto"/>
            </w:tcBorders>
            <w:vAlign w:val="center"/>
          </w:tcPr>
          <w:p w14:paraId="520F086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25C13F5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(0.00229)</w:t>
            </w:r>
          </w:p>
        </w:tc>
        <w:tc>
          <w:tcPr>
            <w:tcW w:w="917" w:type="dxa"/>
            <w:shd w:val="clear" w:color="auto" w:fill="auto"/>
            <w:noWrap/>
            <w:vAlign w:val="center"/>
            <w:hideMark/>
          </w:tcPr>
          <w:p w14:paraId="01A6C43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(0.00524)</w:t>
            </w:r>
          </w:p>
        </w:tc>
        <w:tc>
          <w:tcPr>
            <w:tcW w:w="1079" w:type="dxa"/>
            <w:gridSpan w:val="2"/>
            <w:shd w:val="clear" w:color="auto" w:fill="auto"/>
            <w:noWrap/>
            <w:vAlign w:val="center"/>
            <w:hideMark/>
          </w:tcPr>
          <w:p w14:paraId="75C352B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(0.00749)</w:t>
            </w:r>
          </w:p>
        </w:tc>
        <w:tc>
          <w:tcPr>
            <w:tcW w:w="822" w:type="dxa"/>
            <w:vAlign w:val="center"/>
          </w:tcPr>
          <w:p w14:paraId="614A232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r>
      <w:tr w:rsidR="000C5578" w:rsidRPr="00D13BC1" w14:paraId="0D0BD5D2" w14:textId="77777777" w:rsidTr="000C41DE">
        <w:trPr>
          <w:trHeight w:val="225"/>
        </w:trPr>
        <w:tc>
          <w:tcPr>
            <w:tcW w:w="1985" w:type="dxa"/>
            <w:tcBorders>
              <w:right w:val="single" w:sz="4" w:space="0" w:color="auto"/>
            </w:tcBorders>
            <w:shd w:val="clear" w:color="auto" w:fill="auto"/>
            <w:vAlign w:val="center"/>
            <w:hideMark/>
          </w:tcPr>
          <w:p w14:paraId="7B0FAA29"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 xml:space="preserve">  9-10</w:t>
            </w:r>
          </w:p>
        </w:tc>
        <w:tc>
          <w:tcPr>
            <w:tcW w:w="992" w:type="dxa"/>
            <w:tcBorders>
              <w:left w:val="single" w:sz="4" w:space="0" w:color="auto"/>
            </w:tcBorders>
            <w:shd w:val="clear" w:color="auto" w:fill="auto"/>
            <w:noWrap/>
            <w:vAlign w:val="center"/>
            <w:hideMark/>
          </w:tcPr>
          <w:p w14:paraId="22FFE201"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-0.0421***</w:t>
            </w:r>
          </w:p>
        </w:tc>
        <w:tc>
          <w:tcPr>
            <w:tcW w:w="909" w:type="dxa"/>
            <w:shd w:val="clear" w:color="auto" w:fill="auto"/>
            <w:noWrap/>
            <w:vAlign w:val="center"/>
            <w:hideMark/>
          </w:tcPr>
          <w:p w14:paraId="4D8E049F"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-0.0615***</w:t>
            </w:r>
          </w:p>
        </w:tc>
        <w:tc>
          <w:tcPr>
            <w:tcW w:w="909" w:type="dxa"/>
            <w:shd w:val="clear" w:color="auto" w:fill="auto"/>
            <w:noWrap/>
            <w:vAlign w:val="center"/>
            <w:hideMark/>
          </w:tcPr>
          <w:p w14:paraId="5C5433CF"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0.104***</w:t>
            </w:r>
          </w:p>
        </w:tc>
        <w:tc>
          <w:tcPr>
            <w:tcW w:w="822" w:type="dxa"/>
            <w:tcBorders>
              <w:right w:val="single" w:sz="4" w:space="0" w:color="auto"/>
            </w:tcBorders>
            <w:vAlign w:val="center"/>
          </w:tcPr>
          <w:p w14:paraId="25546331" w14:textId="77777777" w:rsidR="000C5578" w:rsidRPr="005C79F4" w:rsidRDefault="000C5578" w:rsidP="00D13BC1">
            <w:pPr>
              <w:adjustRightInd w:val="0"/>
              <w:snapToGrid w:val="0"/>
              <w:spacing w:after="0" w:line="240" w:lineRule="auto"/>
              <w:rPr>
                <w:rFonts w:ascii="Arial Narrow" w:hAnsi="Arial Narrow" w:cs="Arial"/>
                <w:b/>
                <w:i/>
                <w:sz w:val="16"/>
                <w:szCs w:val="16"/>
              </w:rPr>
            </w:pPr>
            <w:r w:rsidRPr="005C79F4">
              <w:rPr>
                <w:rFonts w:ascii="Arial Narrow" w:hAnsi="Arial Narrow" w:cs="Arial"/>
                <w:i/>
                <w:color w:val="000000"/>
                <w:sz w:val="16"/>
                <w:szCs w:val="16"/>
              </w:rPr>
              <w:t>0.1465</w:t>
            </w:r>
          </w:p>
        </w:tc>
        <w:tc>
          <w:tcPr>
            <w:tcW w:w="992" w:type="dxa"/>
            <w:tcBorders>
              <w:left w:val="single" w:sz="4" w:space="0" w:color="auto"/>
            </w:tcBorders>
            <w:shd w:val="clear" w:color="auto" w:fill="auto"/>
            <w:noWrap/>
            <w:vAlign w:val="center"/>
            <w:hideMark/>
          </w:tcPr>
          <w:p w14:paraId="316E2438"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-0.0200***</w:t>
            </w:r>
          </w:p>
        </w:tc>
        <w:tc>
          <w:tcPr>
            <w:tcW w:w="917" w:type="dxa"/>
            <w:shd w:val="clear" w:color="auto" w:fill="auto"/>
            <w:noWrap/>
            <w:vAlign w:val="center"/>
            <w:hideMark/>
          </w:tcPr>
          <w:p w14:paraId="697054E1"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-0.0494***</w:t>
            </w:r>
          </w:p>
        </w:tc>
        <w:tc>
          <w:tcPr>
            <w:tcW w:w="1079" w:type="dxa"/>
            <w:gridSpan w:val="2"/>
            <w:shd w:val="clear" w:color="auto" w:fill="auto"/>
            <w:noWrap/>
            <w:vAlign w:val="center"/>
            <w:hideMark/>
          </w:tcPr>
          <w:p w14:paraId="15752218"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0.0694***</w:t>
            </w:r>
          </w:p>
        </w:tc>
        <w:tc>
          <w:tcPr>
            <w:tcW w:w="822" w:type="dxa"/>
            <w:vAlign w:val="center"/>
          </w:tcPr>
          <w:p w14:paraId="49A9AAD7" w14:textId="77777777" w:rsidR="000C5578" w:rsidRPr="005C79F4" w:rsidRDefault="000C5578" w:rsidP="00D13BC1">
            <w:pPr>
              <w:adjustRightInd w:val="0"/>
              <w:snapToGrid w:val="0"/>
              <w:spacing w:after="0" w:line="240" w:lineRule="auto"/>
              <w:rPr>
                <w:rFonts w:ascii="Arial Narrow" w:hAnsi="Arial Narrow" w:cs="Arial"/>
                <w:b/>
                <w:i/>
                <w:sz w:val="16"/>
                <w:szCs w:val="16"/>
              </w:rPr>
            </w:pPr>
            <w:r w:rsidRPr="005C79F4">
              <w:rPr>
                <w:rFonts w:ascii="Arial Narrow" w:hAnsi="Arial Narrow" w:cs="Arial"/>
                <w:i/>
                <w:color w:val="000000"/>
                <w:sz w:val="16"/>
                <w:szCs w:val="16"/>
              </w:rPr>
              <w:t>0.0894</w:t>
            </w:r>
          </w:p>
        </w:tc>
      </w:tr>
      <w:tr w:rsidR="000C5578" w:rsidRPr="00D13BC1" w14:paraId="7201342F" w14:textId="77777777" w:rsidTr="000C41DE">
        <w:trPr>
          <w:trHeight w:val="225"/>
        </w:trPr>
        <w:tc>
          <w:tcPr>
            <w:tcW w:w="1985" w:type="dxa"/>
            <w:tcBorders>
              <w:right w:val="single" w:sz="4" w:space="0" w:color="auto"/>
            </w:tcBorders>
            <w:shd w:val="clear" w:color="auto" w:fill="auto"/>
            <w:noWrap/>
            <w:vAlign w:val="bottom"/>
            <w:hideMark/>
          </w:tcPr>
          <w:p w14:paraId="1A16995B"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tcBorders>
            <w:shd w:val="clear" w:color="auto" w:fill="auto"/>
            <w:noWrap/>
            <w:vAlign w:val="center"/>
            <w:hideMark/>
          </w:tcPr>
          <w:p w14:paraId="7005F725"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(0.00351)</w:t>
            </w:r>
          </w:p>
        </w:tc>
        <w:tc>
          <w:tcPr>
            <w:tcW w:w="909" w:type="dxa"/>
            <w:shd w:val="clear" w:color="auto" w:fill="auto"/>
            <w:noWrap/>
            <w:vAlign w:val="center"/>
            <w:hideMark/>
          </w:tcPr>
          <w:p w14:paraId="2FE7446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(0.00558)</w:t>
            </w:r>
          </w:p>
        </w:tc>
        <w:tc>
          <w:tcPr>
            <w:tcW w:w="909" w:type="dxa"/>
            <w:shd w:val="clear" w:color="auto" w:fill="auto"/>
            <w:noWrap/>
            <w:vAlign w:val="center"/>
            <w:hideMark/>
          </w:tcPr>
          <w:p w14:paraId="5637BD91"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(0.00892)</w:t>
            </w:r>
          </w:p>
        </w:tc>
        <w:tc>
          <w:tcPr>
            <w:tcW w:w="822" w:type="dxa"/>
            <w:tcBorders>
              <w:right w:val="single" w:sz="4" w:space="0" w:color="auto"/>
            </w:tcBorders>
            <w:vAlign w:val="center"/>
          </w:tcPr>
          <w:p w14:paraId="33704C94"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left w:val="single" w:sz="4" w:space="0" w:color="auto"/>
            </w:tcBorders>
            <w:shd w:val="clear" w:color="auto" w:fill="auto"/>
            <w:noWrap/>
            <w:vAlign w:val="center"/>
            <w:hideMark/>
          </w:tcPr>
          <w:p w14:paraId="763688A1"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(0.00253)</w:t>
            </w:r>
          </w:p>
        </w:tc>
        <w:tc>
          <w:tcPr>
            <w:tcW w:w="917" w:type="dxa"/>
            <w:shd w:val="clear" w:color="auto" w:fill="auto"/>
            <w:noWrap/>
            <w:vAlign w:val="center"/>
            <w:hideMark/>
          </w:tcPr>
          <w:p w14:paraId="2524718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(0.00656)</w:t>
            </w:r>
          </w:p>
        </w:tc>
        <w:tc>
          <w:tcPr>
            <w:tcW w:w="1079" w:type="dxa"/>
            <w:gridSpan w:val="2"/>
            <w:shd w:val="clear" w:color="auto" w:fill="auto"/>
            <w:noWrap/>
            <w:vAlign w:val="center"/>
            <w:hideMark/>
          </w:tcPr>
          <w:p w14:paraId="0224881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(0.00902)</w:t>
            </w:r>
          </w:p>
        </w:tc>
        <w:tc>
          <w:tcPr>
            <w:tcW w:w="822" w:type="dxa"/>
            <w:vAlign w:val="center"/>
          </w:tcPr>
          <w:p w14:paraId="4E857C5F"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5578" w:rsidRPr="00D13BC1" w14:paraId="78D5AAF5" w14:textId="77777777" w:rsidTr="000C41DE">
        <w:trPr>
          <w:trHeight w:val="225"/>
        </w:trPr>
        <w:tc>
          <w:tcPr>
            <w:tcW w:w="1985" w:type="dxa"/>
            <w:tcBorders>
              <w:right w:val="single" w:sz="4" w:space="0" w:color="auto"/>
            </w:tcBorders>
            <w:shd w:val="clear" w:color="auto" w:fill="auto"/>
            <w:vAlign w:val="center"/>
            <w:hideMark/>
          </w:tcPr>
          <w:p w14:paraId="333BE09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&gt;10</w:t>
            </w:r>
          </w:p>
        </w:tc>
        <w:tc>
          <w:tcPr>
            <w:tcW w:w="992" w:type="dxa"/>
            <w:tcBorders>
              <w:left w:val="single" w:sz="4" w:space="0" w:color="auto"/>
            </w:tcBorders>
            <w:shd w:val="clear" w:color="auto" w:fill="auto"/>
            <w:noWrap/>
            <w:vAlign w:val="center"/>
            <w:hideMark/>
          </w:tcPr>
          <w:p w14:paraId="1B23E1E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-0.0420***</w:t>
            </w:r>
          </w:p>
        </w:tc>
        <w:tc>
          <w:tcPr>
            <w:tcW w:w="909" w:type="dxa"/>
            <w:shd w:val="clear" w:color="auto" w:fill="auto"/>
            <w:noWrap/>
            <w:vAlign w:val="center"/>
            <w:hideMark/>
          </w:tcPr>
          <w:p w14:paraId="4A9DA3E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-0.0613***</w:t>
            </w:r>
          </w:p>
        </w:tc>
        <w:tc>
          <w:tcPr>
            <w:tcW w:w="909" w:type="dxa"/>
            <w:shd w:val="clear" w:color="auto" w:fill="auto"/>
            <w:noWrap/>
            <w:vAlign w:val="center"/>
            <w:hideMark/>
          </w:tcPr>
          <w:p w14:paraId="1CA6622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0.103***</w:t>
            </w:r>
          </w:p>
        </w:tc>
        <w:tc>
          <w:tcPr>
            <w:tcW w:w="822" w:type="dxa"/>
            <w:tcBorders>
              <w:right w:val="single" w:sz="4" w:space="0" w:color="auto"/>
            </w:tcBorders>
            <w:vAlign w:val="center"/>
          </w:tcPr>
          <w:p w14:paraId="360FA48B"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0.1447</w:t>
            </w:r>
          </w:p>
        </w:tc>
        <w:tc>
          <w:tcPr>
            <w:tcW w:w="992" w:type="dxa"/>
            <w:tcBorders>
              <w:left w:val="single" w:sz="4" w:space="0" w:color="auto"/>
            </w:tcBorders>
            <w:shd w:val="clear" w:color="auto" w:fill="auto"/>
            <w:noWrap/>
            <w:vAlign w:val="center"/>
            <w:hideMark/>
          </w:tcPr>
          <w:p w14:paraId="11283B72"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-0.0401***</w:t>
            </w:r>
          </w:p>
        </w:tc>
        <w:tc>
          <w:tcPr>
            <w:tcW w:w="917" w:type="dxa"/>
            <w:shd w:val="clear" w:color="auto" w:fill="auto"/>
            <w:noWrap/>
            <w:vAlign w:val="center"/>
            <w:hideMark/>
          </w:tcPr>
          <w:p w14:paraId="4F7D3AD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-0.139***</w:t>
            </w:r>
          </w:p>
        </w:tc>
        <w:tc>
          <w:tcPr>
            <w:tcW w:w="1079" w:type="dxa"/>
            <w:gridSpan w:val="2"/>
            <w:shd w:val="clear" w:color="auto" w:fill="auto"/>
            <w:noWrap/>
            <w:vAlign w:val="center"/>
            <w:hideMark/>
          </w:tcPr>
          <w:p w14:paraId="12461276"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0.179***</w:t>
            </w:r>
          </w:p>
        </w:tc>
        <w:tc>
          <w:tcPr>
            <w:tcW w:w="822" w:type="dxa"/>
            <w:vAlign w:val="center"/>
          </w:tcPr>
          <w:p w14:paraId="253EE4A1"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0.219</w:t>
            </w:r>
          </w:p>
        </w:tc>
      </w:tr>
      <w:tr w:rsidR="000C5578" w:rsidRPr="00D13BC1" w14:paraId="33A92BC5" w14:textId="77777777" w:rsidTr="000C41DE">
        <w:trPr>
          <w:trHeight w:val="225"/>
        </w:trPr>
        <w:tc>
          <w:tcPr>
            <w:tcW w:w="1985" w:type="dxa"/>
            <w:tcBorders>
              <w:right w:val="single" w:sz="4" w:space="0" w:color="auto"/>
            </w:tcBorders>
            <w:shd w:val="clear" w:color="auto" w:fill="auto"/>
            <w:noWrap/>
            <w:vAlign w:val="bottom"/>
            <w:hideMark/>
          </w:tcPr>
          <w:p w14:paraId="380C7B3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51E0549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(0.00410)</w:t>
            </w:r>
          </w:p>
        </w:tc>
        <w:tc>
          <w:tcPr>
            <w:tcW w:w="909" w:type="dxa"/>
            <w:shd w:val="clear" w:color="auto" w:fill="auto"/>
            <w:noWrap/>
            <w:vAlign w:val="center"/>
            <w:hideMark/>
          </w:tcPr>
          <w:p w14:paraId="2619C34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(0.00692)</w:t>
            </w:r>
          </w:p>
        </w:tc>
        <w:tc>
          <w:tcPr>
            <w:tcW w:w="909" w:type="dxa"/>
            <w:shd w:val="clear" w:color="auto" w:fill="auto"/>
            <w:noWrap/>
            <w:vAlign w:val="center"/>
            <w:hideMark/>
          </w:tcPr>
          <w:p w14:paraId="45654AE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(0.01090)</w:t>
            </w:r>
          </w:p>
        </w:tc>
        <w:tc>
          <w:tcPr>
            <w:tcW w:w="822" w:type="dxa"/>
            <w:tcBorders>
              <w:right w:val="single" w:sz="4" w:space="0" w:color="auto"/>
            </w:tcBorders>
            <w:vAlign w:val="center"/>
          </w:tcPr>
          <w:p w14:paraId="59F6ED56"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70FBD44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(0.00240)</w:t>
            </w:r>
          </w:p>
        </w:tc>
        <w:tc>
          <w:tcPr>
            <w:tcW w:w="917" w:type="dxa"/>
            <w:shd w:val="clear" w:color="auto" w:fill="auto"/>
            <w:noWrap/>
            <w:vAlign w:val="center"/>
            <w:hideMark/>
          </w:tcPr>
          <w:p w14:paraId="080BB86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(0.00928)</w:t>
            </w:r>
          </w:p>
        </w:tc>
        <w:tc>
          <w:tcPr>
            <w:tcW w:w="1079" w:type="dxa"/>
            <w:gridSpan w:val="2"/>
            <w:shd w:val="clear" w:color="auto" w:fill="auto"/>
            <w:noWrap/>
            <w:vAlign w:val="center"/>
            <w:hideMark/>
          </w:tcPr>
          <w:p w14:paraId="44AE372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(0.01130)</w:t>
            </w:r>
          </w:p>
        </w:tc>
        <w:tc>
          <w:tcPr>
            <w:tcW w:w="822" w:type="dxa"/>
            <w:vAlign w:val="center"/>
          </w:tcPr>
          <w:p w14:paraId="6A860CE2"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D13BC1" w14:paraId="25DA7890" w14:textId="77777777" w:rsidTr="000C41DE">
        <w:trPr>
          <w:trHeight w:val="225"/>
        </w:trPr>
        <w:tc>
          <w:tcPr>
            <w:tcW w:w="1985" w:type="dxa"/>
            <w:tcBorders>
              <w:right w:val="single" w:sz="4" w:space="0" w:color="auto"/>
            </w:tcBorders>
            <w:shd w:val="clear" w:color="auto" w:fill="auto"/>
            <w:vAlign w:val="center"/>
            <w:hideMark/>
          </w:tcPr>
          <w:p w14:paraId="7C00ED1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Religion</w:t>
            </w:r>
          </w:p>
        </w:tc>
        <w:tc>
          <w:tcPr>
            <w:tcW w:w="992" w:type="dxa"/>
            <w:tcBorders>
              <w:left w:val="single" w:sz="4" w:space="0" w:color="auto"/>
            </w:tcBorders>
            <w:shd w:val="clear" w:color="auto" w:fill="auto"/>
            <w:noWrap/>
            <w:vAlign w:val="center"/>
            <w:hideMark/>
          </w:tcPr>
          <w:p w14:paraId="4A94AB5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447D87D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1ED1F4A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right w:val="single" w:sz="4" w:space="0" w:color="auto"/>
            </w:tcBorders>
            <w:vAlign w:val="center"/>
          </w:tcPr>
          <w:p w14:paraId="77A3ED41"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66D1CC1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198FD41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3DC85D9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vAlign w:val="bottom"/>
          </w:tcPr>
          <w:p w14:paraId="4ABBE8B0"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45EEA6B4" w14:textId="77777777" w:rsidTr="000C41DE">
        <w:trPr>
          <w:trHeight w:val="225"/>
        </w:trPr>
        <w:tc>
          <w:tcPr>
            <w:tcW w:w="1985" w:type="dxa"/>
            <w:tcBorders>
              <w:right w:val="single" w:sz="4" w:space="0" w:color="auto"/>
            </w:tcBorders>
            <w:shd w:val="clear" w:color="auto" w:fill="auto"/>
            <w:noWrap/>
            <w:vAlign w:val="center"/>
            <w:hideMark/>
          </w:tcPr>
          <w:p w14:paraId="494FF0D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Muslim</w:t>
            </w:r>
          </w:p>
        </w:tc>
        <w:tc>
          <w:tcPr>
            <w:tcW w:w="992" w:type="dxa"/>
            <w:tcBorders>
              <w:left w:val="single" w:sz="4" w:space="0" w:color="auto"/>
            </w:tcBorders>
            <w:shd w:val="clear" w:color="auto" w:fill="auto"/>
            <w:noWrap/>
            <w:vAlign w:val="center"/>
            <w:hideMark/>
          </w:tcPr>
          <w:p w14:paraId="1AD87C9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-0.0153*</w:t>
            </w:r>
          </w:p>
        </w:tc>
        <w:tc>
          <w:tcPr>
            <w:tcW w:w="909" w:type="dxa"/>
            <w:shd w:val="clear" w:color="auto" w:fill="auto"/>
            <w:noWrap/>
            <w:vAlign w:val="center"/>
            <w:hideMark/>
          </w:tcPr>
          <w:p w14:paraId="7E2FB38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-0.0238</w:t>
            </w:r>
          </w:p>
        </w:tc>
        <w:tc>
          <w:tcPr>
            <w:tcW w:w="909" w:type="dxa"/>
            <w:shd w:val="clear" w:color="auto" w:fill="auto"/>
            <w:noWrap/>
            <w:vAlign w:val="center"/>
            <w:hideMark/>
          </w:tcPr>
          <w:p w14:paraId="0707D8C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0.0390*</w:t>
            </w:r>
          </w:p>
        </w:tc>
        <w:tc>
          <w:tcPr>
            <w:tcW w:w="822" w:type="dxa"/>
            <w:tcBorders>
              <w:right w:val="single" w:sz="4" w:space="0" w:color="auto"/>
            </w:tcBorders>
            <w:vAlign w:val="center"/>
          </w:tcPr>
          <w:p w14:paraId="531418BE"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0.0542</w:t>
            </w:r>
          </w:p>
        </w:tc>
        <w:tc>
          <w:tcPr>
            <w:tcW w:w="992" w:type="dxa"/>
            <w:tcBorders>
              <w:left w:val="single" w:sz="4" w:space="0" w:color="auto"/>
            </w:tcBorders>
            <w:shd w:val="clear" w:color="auto" w:fill="auto"/>
            <w:noWrap/>
            <w:vAlign w:val="center"/>
            <w:hideMark/>
          </w:tcPr>
          <w:p w14:paraId="450611A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0.0371***</w:t>
            </w:r>
          </w:p>
        </w:tc>
        <w:tc>
          <w:tcPr>
            <w:tcW w:w="917" w:type="dxa"/>
            <w:shd w:val="clear" w:color="auto" w:fill="auto"/>
            <w:noWrap/>
            <w:vAlign w:val="center"/>
            <w:hideMark/>
          </w:tcPr>
          <w:p w14:paraId="14E1263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0.0680***</w:t>
            </w:r>
          </w:p>
        </w:tc>
        <w:tc>
          <w:tcPr>
            <w:tcW w:w="1079" w:type="dxa"/>
            <w:gridSpan w:val="2"/>
            <w:shd w:val="clear" w:color="auto" w:fill="auto"/>
            <w:noWrap/>
            <w:vAlign w:val="center"/>
            <w:hideMark/>
          </w:tcPr>
          <w:p w14:paraId="1C82E17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-0.105***</w:t>
            </w:r>
          </w:p>
        </w:tc>
        <w:tc>
          <w:tcPr>
            <w:tcW w:w="822" w:type="dxa"/>
            <w:vAlign w:val="center"/>
          </w:tcPr>
          <w:p w14:paraId="640F9C5E"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-0.1420</w:t>
            </w:r>
          </w:p>
        </w:tc>
      </w:tr>
      <w:tr w:rsidR="000C5578" w:rsidRPr="00D13BC1" w14:paraId="6879247B" w14:textId="77777777" w:rsidTr="000C41DE">
        <w:trPr>
          <w:trHeight w:val="225"/>
        </w:trPr>
        <w:tc>
          <w:tcPr>
            <w:tcW w:w="1985" w:type="dxa"/>
            <w:tcBorders>
              <w:right w:val="single" w:sz="4" w:space="0" w:color="auto"/>
            </w:tcBorders>
            <w:shd w:val="clear" w:color="auto" w:fill="auto"/>
            <w:vAlign w:val="bottom"/>
            <w:hideMark/>
          </w:tcPr>
          <w:p w14:paraId="6F7E1816"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536EF5E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(0.00868)</w:t>
            </w:r>
          </w:p>
        </w:tc>
        <w:tc>
          <w:tcPr>
            <w:tcW w:w="909" w:type="dxa"/>
            <w:shd w:val="clear" w:color="auto" w:fill="auto"/>
            <w:noWrap/>
            <w:vAlign w:val="center"/>
            <w:hideMark/>
          </w:tcPr>
          <w:p w14:paraId="62DBBC8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(0.01490)</w:t>
            </w:r>
          </w:p>
        </w:tc>
        <w:tc>
          <w:tcPr>
            <w:tcW w:w="909" w:type="dxa"/>
            <w:shd w:val="clear" w:color="auto" w:fill="auto"/>
            <w:noWrap/>
            <w:vAlign w:val="center"/>
            <w:hideMark/>
          </w:tcPr>
          <w:p w14:paraId="22DCC10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(0.02360)</w:t>
            </w:r>
          </w:p>
        </w:tc>
        <w:tc>
          <w:tcPr>
            <w:tcW w:w="822" w:type="dxa"/>
            <w:tcBorders>
              <w:right w:val="single" w:sz="4" w:space="0" w:color="auto"/>
            </w:tcBorders>
            <w:vAlign w:val="center"/>
          </w:tcPr>
          <w:p w14:paraId="09E589DA"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45E62A0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(0.00921)</w:t>
            </w:r>
          </w:p>
        </w:tc>
        <w:tc>
          <w:tcPr>
            <w:tcW w:w="917" w:type="dxa"/>
            <w:shd w:val="clear" w:color="auto" w:fill="auto"/>
            <w:noWrap/>
            <w:vAlign w:val="center"/>
            <w:hideMark/>
          </w:tcPr>
          <w:p w14:paraId="29E7A42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(0.01180)</w:t>
            </w:r>
          </w:p>
        </w:tc>
        <w:tc>
          <w:tcPr>
            <w:tcW w:w="1079" w:type="dxa"/>
            <w:gridSpan w:val="2"/>
            <w:shd w:val="clear" w:color="auto" w:fill="auto"/>
            <w:noWrap/>
            <w:vAlign w:val="center"/>
            <w:hideMark/>
          </w:tcPr>
          <w:p w14:paraId="3691B3A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(0.02090)</w:t>
            </w:r>
          </w:p>
        </w:tc>
        <w:tc>
          <w:tcPr>
            <w:tcW w:w="822" w:type="dxa"/>
            <w:vAlign w:val="center"/>
          </w:tcPr>
          <w:p w14:paraId="0EA4EF33"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25B371D0" w14:textId="77777777" w:rsidTr="000C41DE">
        <w:trPr>
          <w:trHeight w:val="225"/>
        </w:trPr>
        <w:tc>
          <w:tcPr>
            <w:tcW w:w="1985" w:type="dxa"/>
            <w:tcBorders>
              <w:right w:val="single" w:sz="4" w:space="0" w:color="auto"/>
            </w:tcBorders>
            <w:shd w:val="clear" w:color="auto" w:fill="auto"/>
            <w:noWrap/>
            <w:vAlign w:val="center"/>
            <w:hideMark/>
          </w:tcPr>
          <w:p w14:paraId="0A79824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Others</w:t>
            </w:r>
          </w:p>
        </w:tc>
        <w:tc>
          <w:tcPr>
            <w:tcW w:w="992" w:type="dxa"/>
            <w:tcBorders>
              <w:left w:val="single" w:sz="4" w:space="0" w:color="auto"/>
            </w:tcBorders>
            <w:shd w:val="clear" w:color="auto" w:fill="auto"/>
            <w:noWrap/>
            <w:vAlign w:val="center"/>
            <w:hideMark/>
          </w:tcPr>
          <w:p w14:paraId="7288112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-0.0313***</w:t>
            </w:r>
          </w:p>
        </w:tc>
        <w:tc>
          <w:tcPr>
            <w:tcW w:w="909" w:type="dxa"/>
            <w:shd w:val="clear" w:color="auto" w:fill="auto"/>
            <w:noWrap/>
            <w:vAlign w:val="center"/>
            <w:hideMark/>
          </w:tcPr>
          <w:p w14:paraId="690798F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-0.0571***</w:t>
            </w:r>
          </w:p>
        </w:tc>
        <w:tc>
          <w:tcPr>
            <w:tcW w:w="909" w:type="dxa"/>
            <w:shd w:val="clear" w:color="auto" w:fill="auto"/>
            <w:noWrap/>
            <w:vAlign w:val="center"/>
            <w:hideMark/>
          </w:tcPr>
          <w:p w14:paraId="6384A07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0.0884***</w:t>
            </w:r>
          </w:p>
        </w:tc>
        <w:tc>
          <w:tcPr>
            <w:tcW w:w="822" w:type="dxa"/>
            <w:tcBorders>
              <w:right w:val="single" w:sz="4" w:space="0" w:color="auto"/>
            </w:tcBorders>
            <w:vAlign w:val="center"/>
          </w:tcPr>
          <w:p w14:paraId="720DA3F0"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0.1197</w:t>
            </w:r>
          </w:p>
        </w:tc>
        <w:tc>
          <w:tcPr>
            <w:tcW w:w="992" w:type="dxa"/>
            <w:tcBorders>
              <w:left w:val="single" w:sz="4" w:space="0" w:color="auto"/>
            </w:tcBorders>
            <w:shd w:val="clear" w:color="auto" w:fill="auto"/>
            <w:noWrap/>
            <w:vAlign w:val="center"/>
            <w:hideMark/>
          </w:tcPr>
          <w:p w14:paraId="105727C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-0.00221</w:t>
            </w:r>
          </w:p>
        </w:tc>
        <w:tc>
          <w:tcPr>
            <w:tcW w:w="917" w:type="dxa"/>
            <w:shd w:val="clear" w:color="auto" w:fill="auto"/>
            <w:noWrap/>
            <w:vAlign w:val="center"/>
            <w:hideMark/>
          </w:tcPr>
          <w:p w14:paraId="7A9E8F7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-0.0064</w:t>
            </w:r>
          </w:p>
        </w:tc>
        <w:tc>
          <w:tcPr>
            <w:tcW w:w="1079" w:type="dxa"/>
            <w:gridSpan w:val="2"/>
            <w:shd w:val="clear" w:color="auto" w:fill="auto"/>
            <w:noWrap/>
            <w:vAlign w:val="center"/>
            <w:hideMark/>
          </w:tcPr>
          <w:p w14:paraId="2FF246E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0.00861</w:t>
            </w:r>
          </w:p>
        </w:tc>
        <w:tc>
          <w:tcPr>
            <w:tcW w:w="822" w:type="dxa"/>
            <w:vAlign w:val="center"/>
          </w:tcPr>
          <w:p w14:paraId="7C961BBF"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0.01082</w:t>
            </w:r>
          </w:p>
        </w:tc>
      </w:tr>
      <w:tr w:rsidR="000C5578" w:rsidRPr="00D13BC1" w14:paraId="27D81015" w14:textId="77777777" w:rsidTr="000C41DE">
        <w:trPr>
          <w:trHeight w:val="225"/>
        </w:trPr>
        <w:tc>
          <w:tcPr>
            <w:tcW w:w="1985" w:type="dxa"/>
            <w:tcBorders>
              <w:right w:val="single" w:sz="4" w:space="0" w:color="auto"/>
            </w:tcBorders>
            <w:shd w:val="clear" w:color="auto" w:fill="auto"/>
            <w:vAlign w:val="bottom"/>
            <w:hideMark/>
          </w:tcPr>
          <w:p w14:paraId="7022031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63DE657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(0.00481)</w:t>
            </w:r>
          </w:p>
        </w:tc>
        <w:tc>
          <w:tcPr>
            <w:tcW w:w="909" w:type="dxa"/>
            <w:shd w:val="clear" w:color="auto" w:fill="auto"/>
            <w:noWrap/>
            <w:vAlign w:val="center"/>
            <w:hideMark/>
          </w:tcPr>
          <w:p w14:paraId="65E7A93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(0.01050)</w:t>
            </w:r>
          </w:p>
        </w:tc>
        <w:tc>
          <w:tcPr>
            <w:tcW w:w="909" w:type="dxa"/>
            <w:shd w:val="clear" w:color="auto" w:fill="auto"/>
            <w:noWrap/>
            <w:vAlign w:val="center"/>
            <w:hideMark/>
          </w:tcPr>
          <w:p w14:paraId="0352E5F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(0.01530)</w:t>
            </w:r>
          </w:p>
        </w:tc>
        <w:tc>
          <w:tcPr>
            <w:tcW w:w="822" w:type="dxa"/>
            <w:tcBorders>
              <w:right w:val="single" w:sz="4" w:space="0" w:color="auto"/>
            </w:tcBorders>
            <w:vAlign w:val="center"/>
          </w:tcPr>
          <w:p w14:paraId="1E4DFA4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3087F1D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(0.00381)</w:t>
            </w:r>
          </w:p>
        </w:tc>
        <w:tc>
          <w:tcPr>
            <w:tcW w:w="917" w:type="dxa"/>
            <w:shd w:val="clear" w:color="auto" w:fill="auto"/>
            <w:noWrap/>
            <w:vAlign w:val="center"/>
            <w:hideMark/>
          </w:tcPr>
          <w:p w14:paraId="6A562A8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(0.01130)</w:t>
            </w:r>
          </w:p>
        </w:tc>
        <w:tc>
          <w:tcPr>
            <w:tcW w:w="1079" w:type="dxa"/>
            <w:gridSpan w:val="2"/>
            <w:shd w:val="clear" w:color="auto" w:fill="auto"/>
            <w:noWrap/>
            <w:vAlign w:val="center"/>
            <w:hideMark/>
          </w:tcPr>
          <w:p w14:paraId="06AAAAA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(0.01510)</w:t>
            </w:r>
          </w:p>
        </w:tc>
        <w:tc>
          <w:tcPr>
            <w:tcW w:w="822" w:type="dxa"/>
            <w:vAlign w:val="center"/>
          </w:tcPr>
          <w:p w14:paraId="5C619D3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r>
      <w:tr w:rsidR="000C5578" w:rsidRPr="00D13BC1" w14:paraId="14B1375B" w14:textId="77777777" w:rsidTr="000C41DE">
        <w:trPr>
          <w:trHeight w:val="225"/>
        </w:trPr>
        <w:tc>
          <w:tcPr>
            <w:tcW w:w="1985" w:type="dxa"/>
            <w:tcBorders>
              <w:right w:val="single" w:sz="4" w:space="0" w:color="auto"/>
            </w:tcBorders>
            <w:shd w:val="clear" w:color="auto" w:fill="auto"/>
            <w:vAlign w:val="center"/>
            <w:hideMark/>
          </w:tcPr>
          <w:p w14:paraId="26EDC0B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Caste</w:t>
            </w:r>
          </w:p>
        </w:tc>
        <w:tc>
          <w:tcPr>
            <w:tcW w:w="992" w:type="dxa"/>
            <w:tcBorders>
              <w:left w:val="single" w:sz="4" w:space="0" w:color="auto"/>
            </w:tcBorders>
            <w:shd w:val="clear" w:color="auto" w:fill="auto"/>
            <w:noWrap/>
            <w:vAlign w:val="center"/>
            <w:hideMark/>
          </w:tcPr>
          <w:p w14:paraId="0A06B9B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3F108DA2"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791650F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right w:val="single" w:sz="4" w:space="0" w:color="auto"/>
            </w:tcBorders>
            <w:vAlign w:val="center"/>
          </w:tcPr>
          <w:p w14:paraId="682E3BF9"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0BFAAA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6403AC4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7BF4FC2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vAlign w:val="bottom"/>
          </w:tcPr>
          <w:p w14:paraId="007B4921"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328AC81D" w14:textId="77777777" w:rsidTr="000C41DE">
        <w:trPr>
          <w:trHeight w:val="225"/>
        </w:trPr>
        <w:tc>
          <w:tcPr>
            <w:tcW w:w="1985" w:type="dxa"/>
            <w:tcBorders>
              <w:right w:val="single" w:sz="4" w:space="0" w:color="auto"/>
            </w:tcBorders>
            <w:shd w:val="clear" w:color="auto" w:fill="auto"/>
            <w:noWrap/>
            <w:vAlign w:val="center"/>
            <w:hideMark/>
          </w:tcPr>
          <w:p w14:paraId="6DA552A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 xml:space="preserve">  Brahmin</w:t>
            </w:r>
          </w:p>
        </w:tc>
        <w:tc>
          <w:tcPr>
            <w:tcW w:w="992" w:type="dxa"/>
            <w:tcBorders>
              <w:left w:val="single" w:sz="4" w:space="0" w:color="auto"/>
            </w:tcBorders>
            <w:shd w:val="clear" w:color="auto" w:fill="auto"/>
            <w:noWrap/>
            <w:vAlign w:val="center"/>
            <w:hideMark/>
          </w:tcPr>
          <w:p w14:paraId="7A60F00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0.00339</w:t>
            </w:r>
          </w:p>
        </w:tc>
        <w:tc>
          <w:tcPr>
            <w:tcW w:w="909" w:type="dxa"/>
            <w:shd w:val="clear" w:color="auto" w:fill="auto"/>
            <w:noWrap/>
            <w:vAlign w:val="center"/>
            <w:hideMark/>
          </w:tcPr>
          <w:p w14:paraId="73E4270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0.00542</w:t>
            </w:r>
          </w:p>
        </w:tc>
        <w:tc>
          <w:tcPr>
            <w:tcW w:w="909" w:type="dxa"/>
            <w:shd w:val="clear" w:color="auto" w:fill="auto"/>
            <w:noWrap/>
            <w:vAlign w:val="center"/>
            <w:hideMark/>
          </w:tcPr>
          <w:p w14:paraId="12BB5C6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-0.00881</w:t>
            </w:r>
          </w:p>
        </w:tc>
        <w:tc>
          <w:tcPr>
            <w:tcW w:w="822" w:type="dxa"/>
            <w:tcBorders>
              <w:right w:val="single" w:sz="4" w:space="0" w:color="auto"/>
            </w:tcBorders>
            <w:vAlign w:val="center"/>
          </w:tcPr>
          <w:p w14:paraId="38D532FD"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1356C3">
              <w:rPr>
                <w:rFonts w:ascii="Arial Narrow" w:hAnsi="Arial Narrow" w:cs="Arial"/>
                <w:color w:val="000000"/>
                <w:sz w:val="16"/>
                <w:szCs w:val="16"/>
              </w:rPr>
              <w:t>-0.0122</w:t>
            </w:r>
          </w:p>
        </w:tc>
        <w:tc>
          <w:tcPr>
            <w:tcW w:w="992" w:type="dxa"/>
            <w:tcBorders>
              <w:left w:val="single" w:sz="4" w:space="0" w:color="auto"/>
            </w:tcBorders>
            <w:shd w:val="clear" w:color="auto" w:fill="auto"/>
            <w:noWrap/>
            <w:vAlign w:val="center"/>
            <w:hideMark/>
          </w:tcPr>
          <w:p w14:paraId="6611DDA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-0.00587*</w:t>
            </w:r>
          </w:p>
        </w:tc>
        <w:tc>
          <w:tcPr>
            <w:tcW w:w="917" w:type="dxa"/>
            <w:shd w:val="clear" w:color="auto" w:fill="auto"/>
            <w:noWrap/>
            <w:vAlign w:val="center"/>
            <w:hideMark/>
          </w:tcPr>
          <w:p w14:paraId="5670AC3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-0.0165</w:t>
            </w:r>
          </w:p>
        </w:tc>
        <w:tc>
          <w:tcPr>
            <w:tcW w:w="1079" w:type="dxa"/>
            <w:gridSpan w:val="2"/>
            <w:shd w:val="clear" w:color="auto" w:fill="auto"/>
            <w:noWrap/>
            <w:vAlign w:val="center"/>
            <w:hideMark/>
          </w:tcPr>
          <w:p w14:paraId="3B8C0A22"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0.0224*</w:t>
            </w:r>
          </w:p>
        </w:tc>
        <w:tc>
          <w:tcPr>
            <w:tcW w:w="822" w:type="dxa"/>
            <w:vAlign w:val="center"/>
          </w:tcPr>
          <w:p w14:paraId="066D84C2"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1356C3">
              <w:rPr>
                <w:rFonts w:ascii="Arial Narrow" w:hAnsi="Arial Narrow" w:cs="Arial"/>
                <w:color w:val="000000"/>
                <w:sz w:val="16"/>
                <w:szCs w:val="16"/>
              </w:rPr>
              <w:t>0.0283</w:t>
            </w:r>
          </w:p>
        </w:tc>
      </w:tr>
      <w:tr w:rsidR="000C5578" w:rsidRPr="00D13BC1" w14:paraId="0BD4E227" w14:textId="77777777" w:rsidTr="000C41DE">
        <w:trPr>
          <w:trHeight w:val="225"/>
        </w:trPr>
        <w:tc>
          <w:tcPr>
            <w:tcW w:w="1985" w:type="dxa"/>
            <w:tcBorders>
              <w:right w:val="single" w:sz="4" w:space="0" w:color="auto"/>
            </w:tcBorders>
            <w:shd w:val="clear" w:color="auto" w:fill="auto"/>
            <w:vAlign w:val="bottom"/>
            <w:hideMark/>
          </w:tcPr>
          <w:p w14:paraId="112BDEE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5B11DEC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(0.00521)</w:t>
            </w:r>
          </w:p>
        </w:tc>
        <w:tc>
          <w:tcPr>
            <w:tcW w:w="909" w:type="dxa"/>
            <w:shd w:val="clear" w:color="auto" w:fill="auto"/>
            <w:noWrap/>
            <w:vAlign w:val="center"/>
            <w:hideMark/>
          </w:tcPr>
          <w:p w14:paraId="579CB3B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(0.00813)</w:t>
            </w:r>
          </w:p>
        </w:tc>
        <w:tc>
          <w:tcPr>
            <w:tcW w:w="909" w:type="dxa"/>
            <w:shd w:val="clear" w:color="auto" w:fill="auto"/>
            <w:noWrap/>
            <w:vAlign w:val="center"/>
            <w:hideMark/>
          </w:tcPr>
          <w:p w14:paraId="31A64BA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(0.01330)</w:t>
            </w:r>
          </w:p>
        </w:tc>
        <w:tc>
          <w:tcPr>
            <w:tcW w:w="822" w:type="dxa"/>
            <w:tcBorders>
              <w:right w:val="single" w:sz="4" w:space="0" w:color="auto"/>
            </w:tcBorders>
            <w:vAlign w:val="center"/>
          </w:tcPr>
          <w:p w14:paraId="53B0B136"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3C8B4E4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(0.00341)</w:t>
            </w:r>
          </w:p>
        </w:tc>
        <w:tc>
          <w:tcPr>
            <w:tcW w:w="917" w:type="dxa"/>
            <w:shd w:val="clear" w:color="auto" w:fill="auto"/>
            <w:noWrap/>
            <w:vAlign w:val="center"/>
            <w:hideMark/>
          </w:tcPr>
          <w:p w14:paraId="474664E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(0.01020)</w:t>
            </w:r>
          </w:p>
        </w:tc>
        <w:tc>
          <w:tcPr>
            <w:tcW w:w="1079" w:type="dxa"/>
            <w:gridSpan w:val="2"/>
            <w:shd w:val="clear" w:color="auto" w:fill="auto"/>
            <w:noWrap/>
            <w:vAlign w:val="center"/>
            <w:hideMark/>
          </w:tcPr>
          <w:p w14:paraId="72993EA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(0.01360)</w:t>
            </w:r>
          </w:p>
        </w:tc>
        <w:tc>
          <w:tcPr>
            <w:tcW w:w="822" w:type="dxa"/>
            <w:vAlign w:val="center"/>
          </w:tcPr>
          <w:p w14:paraId="7C05F6AA"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5A884DAD" w14:textId="77777777" w:rsidTr="000C41DE">
        <w:trPr>
          <w:trHeight w:val="225"/>
        </w:trPr>
        <w:tc>
          <w:tcPr>
            <w:tcW w:w="1985" w:type="dxa"/>
            <w:tcBorders>
              <w:right w:val="single" w:sz="4" w:space="0" w:color="auto"/>
            </w:tcBorders>
            <w:shd w:val="clear" w:color="auto" w:fill="auto"/>
            <w:noWrap/>
            <w:vAlign w:val="center"/>
            <w:hideMark/>
          </w:tcPr>
          <w:p w14:paraId="00F4B88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 xml:space="preserve">  High Caste</w:t>
            </w:r>
          </w:p>
        </w:tc>
        <w:tc>
          <w:tcPr>
            <w:tcW w:w="992" w:type="dxa"/>
            <w:tcBorders>
              <w:left w:val="single" w:sz="4" w:space="0" w:color="auto"/>
            </w:tcBorders>
            <w:shd w:val="clear" w:color="auto" w:fill="auto"/>
            <w:noWrap/>
            <w:vAlign w:val="center"/>
            <w:hideMark/>
          </w:tcPr>
          <w:p w14:paraId="4757DC0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0.0044</w:t>
            </w:r>
          </w:p>
        </w:tc>
        <w:tc>
          <w:tcPr>
            <w:tcW w:w="909" w:type="dxa"/>
            <w:shd w:val="clear" w:color="auto" w:fill="auto"/>
            <w:noWrap/>
            <w:vAlign w:val="center"/>
            <w:hideMark/>
          </w:tcPr>
          <w:p w14:paraId="10A0A8E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0.00697</w:t>
            </w:r>
          </w:p>
        </w:tc>
        <w:tc>
          <w:tcPr>
            <w:tcW w:w="909" w:type="dxa"/>
            <w:shd w:val="clear" w:color="auto" w:fill="auto"/>
            <w:noWrap/>
            <w:vAlign w:val="center"/>
            <w:hideMark/>
          </w:tcPr>
          <w:p w14:paraId="7E7B5E61"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-0.0114</w:t>
            </w:r>
          </w:p>
        </w:tc>
        <w:tc>
          <w:tcPr>
            <w:tcW w:w="822" w:type="dxa"/>
            <w:tcBorders>
              <w:right w:val="single" w:sz="4" w:space="0" w:color="auto"/>
            </w:tcBorders>
            <w:vAlign w:val="center"/>
          </w:tcPr>
          <w:p w14:paraId="5DE0BA9A"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1356C3">
              <w:rPr>
                <w:rFonts w:ascii="Arial Narrow" w:hAnsi="Arial Narrow" w:cs="Arial"/>
                <w:color w:val="000000"/>
                <w:sz w:val="16"/>
                <w:szCs w:val="16"/>
              </w:rPr>
              <w:t>-0.01583</w:t>
            </w:r>
          </w:p>
        </w:tc>
        <w:tc>
          <w:tcPr>
            <w:tcW w:w="992" w:type="dxa"/>
            <w:tcBorders>
              <w:left w:val="single" w:sz="4" w:space="0" w:color="auto"/>
            </w:tcBorders>
            <w:shd w:val="clear" w:color="auto" w:fill="auto"/>
            <w:noWrap/>
            <w:vAlign w:val="center"/>
            <w:hideMark/>
          </w:tcPr>
          <w:p w14:paraId="1163A07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-0.00656***</w:t>
            </w:r>
          </w:p>
        </w:tc>
        <w:tc>
          <w:tcPr>
            <w:tcW w:w="917" w:type="dxa"/>
            <w:shd w:val="clear" w:color="auto" w:fill="auto"/>
            <w:noWrap/>
            <w:vAlign w:val="center"/>
            <w:hideMark/>
          </w:tcPr>
          <w:p w14:paraId="360F5B4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-0.0187***</w:t>
            </w:r>
          </w:p>
        </w:tc>
        <w:tc>
          <w:tcPr>
            <w:tcW w:w="1079" w:type="dxa"/>
            <w:gridSpan w:val="2"/>
            <w:shd w:val="clear" w:color="auto" w:fill="auto"/>
            <w:noWrap/>
            <w:vAlign w:val="center"/>
            <w:hideMark/>
          </w:tcPr>
          <w:p w14:paraId="062E9F0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sz w:val="16"/>
                <w:szCs w:val="16"/>
              </w:rPr>
              <w:t>0.0252***</w:t>
            </w:r>
          </w:p>
        </w:tc>
        <w:tc>
          <w:tcPr>
            <w:tcW w:w="822" w:type="dxa"/>
            <w:vAlign w:val="center"/>
          </w:tcPr>
          <w:p w14:paraId="45975AEF"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1356C3">
              <w:rPr>
                <w:rFonts w:ascii="Arial Narrow" w:hAnsi="Arial Narrow" w:cs="Arial"/>
                <w:color w:val="000000"/>
                <w:sz w:val="16"/>
                <w:szCs w:val="16"/>
              </w:rPr>
              <w:t>0.0317</w:t>
            </w:r>
          </w:p>
        </w:tc>
      </w:tr>
      <w:tr w:rsidR="000C5578" w:rsidRPr="00D13BC1" w14:paraId="59592155" w14:textId="77777777" w:rsidTr="000C41DE">
        <w:trPr>
          <w:trHeight w:val="225"/>
        </w:trPr>
        <w:tc>
          <w:tcPr>
            <w:tcW w:w="1985" w:type="dxa"/>
            <w:tcBorders>
              <w:right w:val="single" w:sz="4" w:space="0" w:color="auto"/>
            </w:tcBorders>
            <w:shd w:val="clear" w:color="auto" w:fill="auto"/>
            <w:vAlign w:val="bottom"/>
            <w:hideMark/>
          </w:tcPr>
          <w:p w14:paraId="3A18D14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6522163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sz w:val="16"/>
                <w:szCs w:val="16"/>
              </w:rPr>
              <w:t>(0.00328)</w:t>
            </w:r>
          </w:p>
        </w:tc>
        <w:tc>
          <w:tcPr>
            <w:tcW w:w="909" w:type="dxa"/>
            <w:shd w:val="clear" w:color="auto" w:fill="auto"/>
            <w:noWrap/>
            <w:vAlign w:val="center"/>
            <w:hideMark/>
          </w:tcPr>
          <w:p w14:paraId="67BB325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sz w:val="16"/>
                <w:szCs w:val="16"/>
              </w:rPr>
              <w:t>(0.00512)</w:t>
            </w:r>
          </w:p>
        </w:tc>
        <w:tc>
          <w:tcPr>
            <w:tcW w:w="909" w:type="dxa"/>
            <w:shd w:val="clear" w:color="auto" w:fill="auto"/>
            <w:noWrap/>
            <w:vAlign w:val="center"/>
            <w:hideMark/>
          </w:tcPr>
          <w:p w14:paraId="138819B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sz w:val="16"/>
                <w:szCs w:val="16"/>
              </w:rPr>
              <w:t>(0.00840)</w:t>
            </w:r>
          </w:p>
        </w:tc>
        <w:tc>
          <w:tcPr>
            <w:tcW w:w="822" w:type="dxa"/>
            <w:tcBorders>
              <w:right w:val="single" w:sz="4" w:space="0" w:color="auto"/>
            </w:tcBorders>
            <w:vAlign w:val="center"/>
          </w:tcPr>
          <w:p w14:paraId="674E511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428A15F5"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sz w:val="16"/>
                <w:szCs w:val="16"/>
              </w:rPr>
              <w:t>(0.00218)</w:t>
            </w:r>
          </w:p>
        </w:tc>
        <w:tc>
          <w:tcPr>
            <w:tcW w:w="917" w:type="dxa"/>
            <w:shd w:val="clear" w:color="auto" w:fill="auto"/>
            <w:noWrap/>
            <w:vAlign w:val="center"/>
            <w:hideMark/>
          </w:tcPr>
          <w:p w14:paraId="467924B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sz w:val="16"/>
                <w:szCs w:val="16"/>
              </w:rPr>
              <w:t>(0.00642)</w:t>
            </w:r>
          </w:p>
        </w:tc>
        <w:tc>
          <w:tcPr>
            <w:tcW w:w="1079" w:type="dxa"/>
            <w:gridSpan w:val="2"/>
            <w:shd w:val="clear" w:color="auto" w:fill="auto"/>
            <w:noWrap/>
            <w:vAlign w:val="center"/>
            <w:hideMark/>
          </w:tcPr>
          <w:p w14:paraId="3082F3C6"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sz w:val="16"/>
                <w:szCs w:val="16"/>
              </w:rPr>
              <w:t>(0.00860)</w:t>
            </w:r>
          </w:p>
        </w:tc>
        <w:tc>
          <w:tcPr>
            <w:tcW w:w="822" w:type="dxa"/>
            <w:vAlign w:val="center"/>
          </w:tcPr>
          <w:p w14:paraId="2ACEC49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r>
      <w:tr w:rsidR="000C5578" w:rsidRPr="00D13BC1" w14:paraId="7067F23E" w14:textId="77777777" w:rsidTr="000C41DE">
        <w:trPr>
          <w:trHeight w:val="225"/>
        </w:trPr>
        <w:tc>
          <w:tcPr>
            <w:tcW w:w="1985" w:type="dxa"/>
            <w:tcBorders>
              <w:right w:val="single" w:sz="4" w:space="0" w:color="auto"/>
            </w:tcBorders>
            <w:shd w:val="clear" w:color="auto" w:fill="auto"/>
            <w:vAlign w:val="center"/>
            <w:hideMark/>
          </w:tcPr>
          <w:p w14:paraId="4B60AE7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  Dalit</w:t>
            </w:r>
          </w:p>
        </w:tc>
        <w:tc>
          <w:tcPr>
            <w:tcW w:w="992" w:type="dxa"/>
            <w:tcBorders>
              <w:left w:val="single" w:sz="4" w:space="0" w:color="auto"/>
            </w:tcBorders>
            <w:shd w:val="clear" w:color="auto" w:fill="auto"/>
            <w:noWrap/>
            <w:vAlign w:val="center"/>
            <w:hideMark/>
          </w:tcPr>
          <w:p w14:paraId="5711FD58"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0.0194***</w:t>
            </w:r>
          </w:p>
        </w:tc>
        <w:tc>
          <w:tcPr>
            <w:tcW w:w="909" w:type="dxa"/>
            <w:shd w:val="clear" w:color="auto" w:fill="auto"/>
            <w:noWrap/>
            <w:vAlign w:val="center"/>
            <w:hideMark/>
          </w:tcPr>
          <w:p w14:paraId="68310B4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0.0270***</w:t>
            </w:r>
          </w:p>
        </w:tc>
        <w:tc>
          <w:tcPr>
            <w:tcW w:w="909" w:type="dxa"/>
            <w:shd w:val="clear" w:color="auto" w:fill="auto"/>
            <w:noWrap/>
            <w:vAlign w:val="center"/>
            <w:hideMark/>
          </w:tcPr>
          <w:p w14:paraId="3C8BB69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-0.0464***</w:t>
            </w:r>
          </w:p>
        </w:tc>
        <w:tc>
          <w:tcPr>
            <w:tcW w:w="822" w:type="dxa"/>
            <w:tcBorders>
              <w:right w:val="single" w:sz="4" w:space="0" w:color="auto"/>
            </w:tcBorders>
            <w:vAlign w:val="center"/>
          </w:tcPr>
          <w:p w14:paraId="56E846A6"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-0.0658</w:t>
            </w:r>
          </w:p>
        </w:tc>
        <w:tc>
          <w:tcPr>
            <w:tcW w:w="992" w:type="dxa"/>
            <w:tcBorders>
              <w:left w:val="single" w:sz="4" w:space="0" w:color="auto"/>
            </w:tcBorders>
            <w:shd w:val="clear" w:color="auto" w:fill="auto"/>
            <w:noWrap/>
            <w:vAlign w:val="center"/>
            <w:hideMark/>
          </w:tcPr>
          <w:p w14:paraId="27EB23F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0.0175***</w:t>
            </w:r>
          </w:p>
        </w:tc>
        <w:tc>
          <w:tcPr>
            <w:tcW w:w="917" w:type="dxa"/>
            <w:shd w:val="clear" w:color="auto" w:fill="auto"/>
            <w:noWrap/>
            <w:vAlign w:val="center"/>
            <w:hideMark/>
          </w:tcPr>
          <w:p w14:paraId="02CEEC5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0.0367***</w:t>
            </w:r>
          </w:p>
        </w:tc>
        <w:tc>
          <w:tcPr>
            <w:tcW w:w="1079" w:type="dxa"/>
            <w:gridSpan w:val="2"/>
            <w:shd w:val="clear" w:color="auto" w:fill="auto"/>
            <w:noWrap/>
            <w:vAlign w:val="center"/>
            <w:hideMark/>
          </w:tcPr>
          <w:p w14:paraId="574E390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-0.0542***</w:t>
            </w:r>
          </w:p>
        </w:tc>
        <w:tc>
          <w:tcPr>
            <w:tcW w:w="822" w:type="dxa"/>
            <w:vAlign w:val="center"/>
          </w:tcPr>
          <w:p w14:paraId="6EEF60F8" w14:textId="77777777" w:rsidR="000C5578" w:rsidRPr="005C79F4" w:rsidRDefault="000C5578" w:rsidP="00D13BC1">
            <w:pPr>
              <w:adjustRightInd w:val="0"/>
              <w:snapToGrid w:val="0"/>
              <w:spacing w:after="0" w:line="240" w:lineRule="auto"/>
              <w:rPr>
                <w:rFonts w:ascii="Arial Narrow" w:hAnsi="Arial Narrow" w:cs="Arial"/>
                <w:i/>
                <w:sz w:val="16"/>
                <w:szCs w:val="16"/>
              </w:rPr>
            </w:pPr>
            <w:r w:rsidRPr="005C79F4">
              <w:rPr>
                <w:rFonts w:ascii="Arial Narrow" w:hAnsi="Arial Narrow" w:cs="Arial"/>
                <w:i/>
                <w:color w:val="000000"/>
                <w:sz w:val="16"/>
                <w:szCs w:val="16"/>
              </w:rPr>
              <w:t>-0.0717</w:t>
            </w:r>
          </w:p>
        </w:tc>
      </w:tr>
      <w:tr w:rsidR="000C5578" w:rsidRPr="00D13BC1" w14:paraId="62E78BC9" w14:textId="77777777" w:rsidTr="000C41DE">
        <w:trPr>
          <w:trHeight w:val="225"/>
        </w:trPr>
        <w:tc>
          <w:tcPr>
            <w:tcW w:w="1985" w:type="dxa"/>
            <w:tcBorders>
              <w:right w:val="single" w:sz="4" w:space="0" w:color="auto"/>
            </w:tcBorders>
            <w:shd w:val="clear" w:color="auto" w:fill="auto"/>
            <w:noWrap/>
            <w:vAlign w:val="bottom"/>
            <w:hideMark/>
          </w:tcPr>
          <w:p w14:paraId="5EC520F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4B8DB77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(0.00310)</w:t>
            </w:r>
          </w:p>
        </w:tc>
        <w:tc>
          <w:tcPr>
            <w:tcW w:w="909" w:type="dxa"/>
            <w:shd w:val="clear" w:color="auto" w:fill="auto"/>
            <w:noWrap/>
            <w:vAlign w:val="center"/>
            <w:hideMark/>
          </w:tcPr>
          <w:p w14:paraId="16C3F1A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(0.00420)</w:t>
            </w:r>
          </w:p>
        </w:tc>
        <w:tc>
          <w:tcPr>
            <w:tcW w:w="909" w:type="dxa"/>
            <w:shd w:val="clear" w:color="auto" w:fill="auto"/>
            <w:noWrap/>
            <w:vAlign w:val="center"/>
            <w:hideMark/>
          </w:tcPr>
          <w:p w14:paraId="761A479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(0.00725)</w:t>
            </w:r>
          </w:p>
        </w:tc>
        <w:tc>
          <w:tcPr>
            <w:tcW w:w="822" w:type="dxa"/>
            <w:tcBorders>
              <w:right w:val="single" w:sz="4" w:space="0" w:color="auto"/>
            </w:tcBorders>
            <w:vAlign w:val="center"/>
          </w:tcPr>
          <w:p w14:paraId="69396756"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5A3E354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(0.00242)</w:t>
            </w:r>
          </w:p>
        </w:tc>
        <w:tc>
          <w:tcPr>
            <w:tcW w:w="917" w:type="dxa"/>
            <w:shd w:val="clear" w:color="auto" w:fill="auto"/>
            <w:noWrap/>
            <w:vAlign w:val="center"/>
            <w:hideMark/>
          </w:tcPr>
          <w:p w14:paraId="1F8E688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(0.00487)</w:t>
            </w:r>
          </w:p>
        </w:tc>
        <w:tc>
          <w:tcPr>
            <w:tcW w:w="1079" w:type="dxa"/>
            <w:gridSpan w:val="2"/>
            <w:shd w:val="clear" w:color="auto" w:fill="auto"/>
            <w:noWrap/>
            <w:vAlign w:val="center"/>
            <w:hideMark/>
          </w:tcPr>
          <w:p w14:paraId="354D531F"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(0.00721)</w:t>
            </w:r>
          </w:p>
        </w:tc>
        <w:tc>
          <w:tcPr>
            <w:tcW w:w="822" w:type="dxa"/>
            <w:vAlign w:val="center"/>
          </w:tcPr>
          <w:p w14:paraId="727A8FB2"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D13BC1" w14:paraId="70949F9C" w14:textId="77777777" w:rsidTr="000C41DE">
        <w:trPr>
          <w:trHeight w:val="225"/>
        </w:trPr>
        <w:tc>
          <w:tcPr>
            <w:tcW w:w="1985" w:type="dxa"/>
            <w:tcBorders>
              <w:right w:val="single" w:sz="4" w:space="0" w:color="auto"/>
            </w:tcBorders>
            <w:shd w:val="clear" w:color="auto" w:fill="auto"/>
            <w:vAlign w:val="center"/>
            <w:hideMark/>
          </w:tcPr>
          <w:p w14:paraId="67EA7C0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Adivasi</w:t>
            </w:r>
          </w:p>
        </w:tc>
        <w:tc>
          <w:tcPr>
            <w:tcW w:w="992" w:type="dxa"/>
            <w:tcBorders>
              <w:left w:val="single" w:sz="4" w:space="0" w:color="auto"/>
            </w:tcBorders>
            <w:shd w:val="clear" w:color="auto" w:fill="auto"/>
            <w:noWrap/>
            <w:vAlign w:val="center"/>
            <w:hideMark/>
          </w:tcPr>
          <w:p w14:paraId="29A5FD5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-0.0102***</w:t>
            </w:r>
          </w:p>
        </w:tc>
        <w:tc>
          <w:tcPr>
            <w:tcW w:w="909" w:type="dxa"/>
            <w:shd w:val="clear" w:color="auto" w:fill="auto"/>
            <w:noWrap/>
            <w:vAlign w:val="center"/>
            <w:hideMark/>
          </w:tcPr>
          <w:p w14:paraId="5FF53E7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-0.0184**</w:t>
            </w:r>
          </w:p>
        </w:tc>
        <w:tc>
          <w:tcPr>
            <w:tcW w:w="909" w:type="dxa"/>
            <w:shd w:val="clear" w:color="auto" w:fill="auto"/>
            <w:noWrap/>
            <w:vAlign w:val="center"/>
            <w:hideMark/>
          </w:tcPr>
          <w:p w14:paraId="5E6AFE4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0.0285**</w:t>
            </w:r>
          </w:p>
        </w:tc>
        <w:tc>
          <w:tcPr>
            <w:tcW w:w="822" w:type="dxa"/>
            <w:tcBorders>
              <w:right w:val="single" w:sz="4" w:space="0" w:color="auto"/>
            </w:tcBorders>
            <w:vAlign w:val="center"/>
          </w:tcPr>
          <w:p w14:paraId="49A8C9F8"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0.0386</w:t>
            </w:r>
          </w:p>
        </w:tc>
        <w:tc>
          <w:tcPr>
            <w:tcW w:w="992" w:type="dxa"/>
            <w:tcBorders>
              <w:left w:val="single" w:sz="4" w:space="0" w:color="auto"/>
            </w:tcBorders>
            <w:shd w:val="clear" w:color="auto" w:fill="auto"/>
            <w:noWrap/>
            <w:vAlign w:val="center"/>
            <w:hideMark/>
          </w:tcPr>
          <w:p w14:paraId="6B591E6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0.0101***</w:t>
            </w:r>
          </w:p>
        </w:tc>
        <w:tc>
          <w:tcPr>
            <w:tcW w:w="917" w:type="dxa"/>
            <w:shd w:val="clear" w:color="auto" w:fill="auto"/>
            <w:noWrap/>
            <w:vAlign w:val="center"/>
            <w:hideMark/>
          </w:tcPr>
          <w:p w14:paraId="54F1856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0.0231***</w:t>
            </w:r>
          </w:p>
        </w:tc>
        <w:tc>
          <w:tcPr>
            <w:tcW w:w="1079" w:type="dxa"/>
            <w:gridSpan w:val="2"/>
            <w:shd w:val="clear" w:color="auto" w:fill="auto"/>
            <w:noWrap/>
            <w:vAlign w:val="center"/>
            <w:hideMark/>
          </w:tcPr>
          <w:p w14:paraId="5096BA3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-0.0332***</w:t>
            </w:r>
          </w:p>
        </w:tc>
        <w:tc>
          <w:tcPr>
            <w:tcW w:w="822" w:type="dxa"/>
            <w:vAlign w:val="center"/>
          </w:tcPr>
          <w:p w14:paraId="4172EA55"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-0.0433</w:t>
            </w:r>
          </w:p>
        </w:tc>
      </w:tr>
      <w:tr w:rsidR="000C5578" w:rsidRPr="00D13BC1" w14:paraId="12FA5E78" w14:textId="77777777" w:rsidTr="000C41DE">
        <w:trPr>
          <w:trHeight w:val="225"/>
        </w:trPr>
        <w:tc>
          <w:tcPr>
            <w:tcW w:w="1985" w:type="dxa"/>
            <w:tcBorders>
              <w:right w:val="single" w:sz="4" w:space="0" w:color="auto"/>
            </w:tcBorders>
            <w:shd w:val="clear" w:color="auto" w:fill="auto"/>
            <w:noWrap/>
            <w:vAlign w:val="bottom"/>
            <w:hideMark/>
          </w:tcPr>
          <w:p w14:paraId="10BC109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19D65B7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(0.00388)</w:t>
            </w:r>
          </w:p>
        </w:tc>
        <w:tc>
          <w:tcPr>
            <w:tcW w:w="909" w:type="dxa"/>
            <w:shd w:val="clear" w:color="auto" w:fill="auto"/>
            <w:noWrap/>
            <w:vAlign w:val="center"/>
            <w:hideMark/>
          </w:tcPr>
          <w:p w14:paraId="4F7E899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(0.00738)</w:t>
            </w:r>
          </w:p>
        </w:tc>
        <w:tc>
          <w:tcPr>
            <w:tcW w:w="909" w:type="dxa"/>
            <w:shd w:val="clear" w:color="auto" w:fill="auto"/>
            <w:noWrap/>
            <w:vAlign w:val="center"/>
            <w:hideMark/>
          </w:tcPr>
          <w:p w14:paraId="44713EA5"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(0.01120)</w:t>
            </w:r>
          </w:p>
        </w:tc>
        <w:tc>
          <w:tcPr>
            <w:tcW w:w="822" w:type="dxa"/>
            <w:tcBorders>
              <w:right w:val="single" w:sz="4" w:space="0" w:color="auto"/>
            </w:tcBorders>
            <w:vAlign w:val="center"/>
          </w:tcPr>
          <w:p w14:paraId="477D2325"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26BA2F2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(0.00350)</w:t>
            </w:r>
          </w:p>
        </w:tc>
        <w:tc>
          <w:tcPr>
            <w:tcW w:w="917" w:type="dxa"/>
            <w:shd w:val="clear" w:color="auto" w:fill="auto"/>
            <w:noWrap/>
            <w:vAlign w:val="center"/>
            <w:hideMark/>
          </w:tcPr>
          <w:p w14:paraId="4FB0273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(0.00745)</w:t>
            </w:r>
          </w:p>
        </w:tc>
        <w:tc>
          <w:tcPr>
            <w:tcW w:w="1079" w:type="dxa"/>
            <w:gridSpan w:val="2"/>
            <w:shd w:val="clear" w:color="auto" w:fill="auto"/>
            <w:noWrap/>
            <w:vAlign w:val="center"/>
            <w:hideMark/>
          </w:tcPr>
          <w:p w14:paraId="33DE25D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(0.01090)</w:t>
            </w:r>
          </w:p>
        </w:tc>
        <w:tc>
          <w:tcPr>
            <w:tcW w:w="822" w:type="dxa"/>
            <w:vAlign w:val="center"/>
          </w:tcPr>
          <w:p w14:paraId="6C5EFC1A"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744F44D3" w14:textId="77777777" w:rsidTr="000C41DE">
        <w:trPr>
          <w:trHeight w:val="225"/>
        </w:trPr>
        <w:tc>
          <w:tcPr>
            <w:tcW w:w="1985" w:type="dxa"/>
            <w:tcBorders>
              <w:right w:val="single" w:sz="4" w:space="0" w:color="auto"/>
            </w:tcBorders>
            <w:shd w:val="clear" w:color="auto" w:fill="auto"/>
            <w:vAlign w:val="center"/>
            <w:hideMark/>
          </w:tcPr>
          <w:p w14:paraId="2A06E02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Others</w:t>
            </w:r>
          </w:p>
        </w:tc>
        <w:tc>
          <w:tcPr>
            <w:tcW w:w="992" w:type="dxa"/>
            <w:tcBorders>
              <w:left w:val="single" w:sz="4" w:space="0" w:color="auto"/>
            </w:tcBorders>
            <w:shd w:val="clear" w:color="auto" w:fill="auto"/>
            <w:noWrap/>
            <w:vAlign w:val="center"/>
            <w:hideMark/>
          </w:tcPr>
          <w:p w14:paraId="64D2521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0.0250**</w:t>
            </w:r>
          </w:p>
        </w:tc>
        <w:tc>
          <w:tcPr>
            <w:tcW w:w="909" w:type="dxa"/>
            <w:shd w:val="clear" w:color="auto" w:fill="auto"/>
            <w:noWrap/>
            <w:vAlign w:val="center"/>
            <w:hideMark/>
          </w:tcPr>
          <w:p w14:paraId="73A359D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0.0333***</w:t>
            </w:r>
          </w:p>
        </w:tc>
        <w:tc>
          <w:tcPr>
            <w:tcW w:w="909" w:type="dxa"/>
            <w:shd w:val="clear" w:color="auto" w:fill="auto"/>
            <w:noWrap/>
            <w:vAlign w:val="center"/>
            <w:hideMark/>
          </w:tcPr>
          <w:p w14:paraId="5CB9D2F6"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-0.0584***</w:t>
            </w:r>
          </w:p>
        </w:tc>
        <w:tc>
          <w:tcPr>
            <w:tcW w:w="822" w:type="dxa"/>
            <w:tcBorders>
              <w:right w:val="single" w:sz="4" w:space="0" w:color="auto"/>
            </w:tcBorders>
            <w:vAlign w:val="center"/>
          </w:tcPr>
          <w:p w14:paraId="5FDF0301"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-0.0835</w:t>
            </w:r>
          </w:p>
        </w:tc>
        <w:tc>
          <w:tcPr>
            <w:tcW w:w="992" w:type="dxa"/>
            <w:tcBorders>
              <w:left w:val="single" w:sz="4" w:space="0" w:color="auto"/>
            </w:tcBorders>
            <w:shd w:val="clear" w:color="auto" w:fill="auto"/>
            <w:noWrap/>
            <w:vAlign w:val="center"/>
            <w:hideMark/>
          </w:tcPr>
          <w:p w14:paraId="09831CD3"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-0.0175***</w:t>
            </w:r>
          </w:p>
        </w:tc>
        <w:tc>
          <w:tcPr>
            <w:tcW w:w="917" w:type="dxa"/>
            <w:shd w:val="clear" w:color="auto" w:fill="auto"/>
            <w:noWrap/>
            <w:vAlign w:val="center"/>
            <w:hideMark/>
          </w:tcPr>
          <w:p w14:paraId="05F58DD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-0.0587***</w:t>
            </w:r>
          </w:p>
        </w:tc>
        <w:tc>
          <w:tcPr>
            <w:tcW w:w="1079" w:type="dxa"/>
            <w:gridSpan w:val="2"/>
            <w:shd w:val="clear" w:color="auto" w:fill="auto"/>
            <w:noWrap/>
            <w:vAlign w:val="center"/>
            <w:hideMark/>
          </w:tcPr>
          <w:p w14:paraId="38502E8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0.0762***</w:t>
            </w:r>
          </w:p>
        </w:tc>
        <w:tc>
          <w:tcPr>
            <w:tcW w:w="822" w:type="dxa"/>
            <w:vAlign w:val="center"/>
          </w:tcPr>
          <w:p w14:paraId="7714CED2"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0.0937</w:t>
            </w:r>
          </w:p>
        </w:tc>
      </w:tr>
      <w:tr w:rsidR="000C5578" w:rsidRPr="00D13BC1" w14:paraId="24B0BB79" w14:textId="77777777" w:rsidTr="000C41DE">
        <w:trPr>
          <w:trHeight w:val="225"/>
        </w:trPr>
        <w:tc>
          <w:tcPr>
            <w:tcW w:w="1985" w:type="dxa"/>
            <w:tcBorders>
              <w:right w:val="single" w:sz="4" w:space="0" w:color="auto"/>
            </w:tcBorders>
            <w:shd w:val="clear" w:color="auto" w:fill="auto"/>
            <w:noWrap/>
            <w:vAlign w:val="bottom"/>
            <w:hideMark/>
          </w:tcPr>
          <w:p w14:paraId="20103A4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299897B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(0.01020)</w:t>
            </w:r>
          </w:p>
        </w:tc>
        <w:tc>
          <w:tcPr>
            <w:tcW w:w="909" w:type="dxa"/>
            <w:shd w:val="clear" w:color="auto" w:fill="auto"/>
            <w:noWrap/>
            <w:vAlign w:val="center"/>
            <w:hideMark/>
          </w:tcPr>
          <w:p w14:paraId="5E017D8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(0.01160)</w:t>
            </w:r>
          </w:p>
        </w:tc>
        <w:tc>
          <w:tcPr>
            <w:tcW w:w="909" w:type="dxa"/>
            <w:shd w:val="clear" w:color="auto" w:fill="auto"/>
            <w:noWrap/>
            <w:vAlign w:val="center"/>
            <w:hideMark/>
          </w:tcPr>
          <w:p w14:paraId="7A3A994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(0.02180)</w:t>
            </w:r>
          </w:p>
        </w:tc>
        <w:tc>
          <w:tcPr>
            <w:tcW w:w="822" w:type="dxa"/>
            <w:tcBorders>
              <w:right w:val="single" w:sz="4" w:space="0" w:color="auto"/>
            </w:tcBorders>
            <w:vAlign w:val="center"/>
          </w:tcPr>
          <w:p w14:paraId="35166FAA"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38C69BC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(0.00475)</w:t>
            </w:r>
          </w:p>
        </w:tc>
        <w:tc>
          <w:tcPr>
            <w:tcW w:w="917" w:type="dxa"/>
            <w:shd w:val="clear" w:color="auto" w:fill="auto"/>
            <w:noWrap/>
            <w:vAlign w:val="center"/>
            <w:hideMark/>
          </w:tcPr>
          <w:p w14:paraId="36541FE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(0.01870)</w:t>
            </w:r>
          </w:p>
        </w:tc>
        <w:tc>
          <w:tcPr>
            <w:tcW w:w="1079" w:type="dxa"/>
            <w:gridSpan w:val="2"/>
            <w:shd w:val="clear" w:color="auto" w:fill="auto"/>
            <w:noWrap/>
            <w:vAlign w:val="center"/>
            <w:hideMark/>
          </w:tcPr>
          <w:p w14:paraId="5457BFB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(0.02340)</w:t>
            </w:r>
          </w:p>
        </w:tc>
        <w:tc>
          <w:tcPr>
            <w:tcW w:w="822" w:type="dxa"/>
            <w:vAlign w:val="center"/>
          </w:tcPr>
          <w:p w14:paraId="4563E764"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65966C86" w14:textId="77777777" w:rsidTr="000C41DE">
        <w:trPr>
          <w:trHeight w:val="225"/>
        </w:trPr>
        <w:tc>
          <w:tcPr>
            <w:tcW w:w="1985" w:type="dxa"/>
            <w:tcBorders>
              <w:right w:val="single" w:sz="4" w:space="0" w:color="auto"/>
            </w:tcBorders>
            <w:shd w:val="clear" w:color="auto" w:fill="auto"/>
            <w:vAlign w:val="center"/>
            <w:hideMark/>
          </w:tcPr>
          <w:p w14:paraId="2B14EA2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Household remittance</w:t>
            </w:r>
          </w:p>
        </w:tc>
        <w:tc>
          <w:tcPr>
            <w:tcW w:w="992" w:type="dxa"/>
            <w:tcBorders>
              <w:left w:val="single" w:sz="4" w:space="0" w:color="auto"/>
            </w:tcBorders>
            <w:shd w:val="clear" w:color="auto" w:fill="auto"/>
            <w:noWrap/>
            <w:vAlign w:val="center"/>
            <w:hideMark/>
          </w:tcPr>
          <w:p w14:paraId="5C6686F2"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6453CA0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7D7A5FC2"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right w:val="single" w:sz="4" w:space="0" w:color="auto"/>
            </w:tcBorders>
            <w:vAlign w:val="center"/>
          </w:tcPr>
          <w:p w14:paraId="5AB880EC"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7336C9D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17EAB48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221C23C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vAlign w:val="bottom"/>
          </w:tcPr>
          <w:p w14:paraId="2C94DAB0"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1A192EB9" w14:textId="77777777" w:rsidTr="000C41DE">
        <w:trPr>
          <w:trHeight w:val="225"/>
        </w:trPr>
        <w:tc>
          <w:tcPr>
            <w:tcW w:w="1985" w:type="dxa"/>
            <w:tcBorders>
              <w:right w:val="single" w:sz="4" w:space="0" w:color="auto"/>
            </w:tcBorders>
            <w:shd w:val="clear" w:color="auto" w:fill="auto"/>
            <w:noWrap/>
            <w:vAlign w:val="center"/>
            <w:hideMark/>
          </w:tcPr>
          <w:p w14:paraId="56CE41AC"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 xml:space="preserve">  Yes</w:t>
            </w:r>
          </w:p>
        </w:tc>
        <w:tc>
          <w:tcPr>
            <w:tcW w:w="992" w:type="dxa"/>
            <w:tcBorders>
              <w:left w:val="single" w:sz="4" w:space="0" w:color="auto"/>
            </w:tcBorders>
            <w:shd w:val="clear" w:color="auto" w:fill="auto"/>
            <w:noWrap/>
            <w:vAlign w:val="center"/>
            <w:hideMark/>
          </w:tcPr>
          <w:p w14:paraId="41BA3A0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-0.0185***</w:t>
            </w:r>
          </w:p>
        </w:tc>
        <w:tc>
          <w:tcPr>
            <w:tcW w:w="909" w:type="dxa"/>
            <w:shd w:val="clear" w:color="auto" w:fill="auto"/>
            <w:noWrap/>
            <w:vAlign w:val="center"/>
            <w:hideMark/>
          </w:tcPr>
          <w:p w14:paraId="2050F08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-0.0312***</w:t>
            </w:r>
          </w:p>
        </w:tc>
        <w:tc>
          <w:tcPr>
            <w:tcW w:w="909" w:type="dxa"/>
            <w:shd w:val="clear" w:color="auto" w:fill="auto"/>
            <w:noWrap/>
            <w:vAlign w:val="center"/>
            <w:hideMark/>
          </w:tcPr>
          <w:p w14:paraId="5C27C6D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0.0497***</w:t>
            </w:r>
          </w:p>
        </w:tc>
        <w:tc>
          <w:tcPr>
            <w:tcW w:w="822" w:type="dxa"/>
            <w:tcBorders>
              <w:right w:val="single" w:sz="4" w:space="0" w:color="auto"/>
            </w:tcBorders>
            <w:vAlign w:val="center"/>
          </w:tcPr>
          <w:p w14:paraId="7D047D4C"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1356C3">
              <w:rPr>
                <w:rFonts w:ascii="Arial Narrow" w:hAnsi="Arial Narrow" w:cs="Arial"/>
                <w:b/>
                <w:color w:val="000000"/>
                <w:sz w:val="16"/>
                <w:szCs w:val="16"/>
              </w:rPr>
              <w:t>0.0682</w:t>
            </w:r>
          </w:p>
        </w:tc>
        <w:tc>
          <w:tcPr>
            <w:tcW w:w="992" w:type="dxa"/>
            <w:tcBorders>
              <w:left w:val="single" w:sz="4" w:space="0" w:color="auto"/>
            </w:tcBorders>
            <w:shd w:val="clear" w:color="auto" w:fill="auto"/>
            <w:noWrap/>
            <w:vAlign w:val="center"/>
            <w:hideMark/>
          </w:tcPr>
          <w:p w14:paraId="3047C03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0.00725**</w:t>
            </w:r>
          </w:p>
        </w:tc>
        <w:tc>
          <w:tcPr>
            <w:tcW w:w="917" w:type="dxa"/>
            <w:shd w:val="clear" w:color="auto" w:fill="auto"/>
            <w:noWrap/>
            <w:vAlign w:val="center"/>
            <w:hideMark/>
          </w:tcPr>
          <w:p w14:paraId="4BA62F0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0.0174**</w:t>
            </w:r>
          </w:p>
        </w:tc>
        <w:tc>
          <w:tcPr>
            <w:tcW w:w="1079" w:type="dxa"/>
            <w:gridSpan w:val="2"/>
            <w:shd w:val="clear" w:color="auto" w:fill="auto"/>
            <w:noWrap/>
            <w:vAlign w:val="center"/>
            <w:hideMark/>
          </w:tcPr>
          <w:p w14:paraId="41674E6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-0.0246**</w:t>
            </w:r>
          </w:p>
        </w:tc>
        <w:tc>
          <w:tcPr>
            <w:tcW w:w="822" w:type="dxa"/>
            <w:vAlign w:val="center"/>
          </w:tcPr>
          <w:p w14:paraId="3338837D"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1356C3">
              <w:rPr>
                <w:rFonts w:ascii="Arial Narrow" w:hAnsi="Arial Narrow" w:cs="Arial"/>
                <w:b/>
                <w:color w:val="000000"/>
                <w:sz w:val="16"/>
                <w:szCs w:val="16"/>
              </w:rPr>
              <w:t>-0.0318</w:t>
            </w:r>
          </w:p>
        </w:tc>
      </w:tr>
      <w:tr w:rsidR="000C5578" w:rsidRPr="00D13BC1" w14:paraId="0995AA4B" w14:textId="77777777" w:rsidTr="000C41DE">
        <w:trPr>
          <w:trHeight w:val="225"/>
        </w:trPr>
        <w:tc>
          <w:tcPr>
            <w:tcW w:w="1985" w:type="dxa"/>
            <w:tcBorders>
              <w:bottom w:val="single" w:sz="4" w:space="0" w:color="auto"/>
              <w:right w:val="single" w:sz="4" w:space="0" w:color="auto"/>
            </w:tcBorders>
            <w:shd w:val="clear" w:color="auto" w:fill="auto"/>
            <w:vAlign w:val="bottom"/>
            <w:hideMark/>
          </w:tcPr>
          <w:p w14:paraId="532240A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bottom w:val="single" w:sz="4" w:space="0" w:color="auto"/>
            </w:tcBorders>
            <w:shd w:val="clear" w:color="auto" w:fill="auto"/>
            <w:noWrap/>
            <w:vAlign w:val="center"/>
            <w:hideMark/>
          </w:tcPr>
          <w:p w14:paraId="6417318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(0.00386)</w:t>
            </w:r>
          </w:p>
        </w:tc>
        <w:tc>
          <w:tcPr>
            <w:tcW w:w="909" w:type="dxa"/>
            <w:tcBorders>
              <w:bottom w:val="single" w:sz="4" w:space="0" w:color="auto"/>
            </w:tcBorders>
            <w:shd w:val="clear" w:color="auto" w:fill="auto"/>
            <w:noWrap/>
            <w:vAlign w:val="center"/>
            <w:hideMark/>
          </w:tcPr>
          <w:p w14:paraId="68D36F8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(0.00750)</w:t>
            </w:r>
          </w:p>
        </w:tc>
        <w:tc>
          <w:tcPr>
            <w:tcW w:w="909" w:type="dxa"/>
            <w:tcBorders>
              <w:bottom w:val="single" w:sz="4" w:space="0" w:color="auto"/>
            </w:tcBorders>
            <w:shd w:val="clear" w:color="auto" w:fill="auto"/>
            <w:noWrap/>
            <w:vAlign w:val="center"/>
            <w:hideMark/>
          </w:tcPr>
          <w:p w14:paraId="126AF221"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(0.01130)</w:t>
            </w:r>
          </w:p>
        </w:tc>
        <w:tc>
          <w:tcPr>
            <w:tcW w:w="822" w:type="dxa"/>
            <w:tcBorders>
              <w:bottom w:val="single" w:sz="4" w:space="0" w:color="auto"/>
              <w:right w:val="single" w:sz="4" w:space="0" w:color="auto"/>
            </w:tcBorders>
            <w:vAlign w:val="center"/>
          </w:tcPr>
          <w:p w14:paraId="2BD78C2B"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bottom w:val="single" w:sz="4" w:space="0" w:color="auto"/>
            </w:tcBorders>
            <w:shd w:val="clear" w:color="auto" w:fill="auto"/>
            <w:noWrap/>
            <w:vAlign w:val="center"/>
            <w:hideMark/>
          </w:tcPr>
          <w:p w14:paraId="07291F9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(0.00342)</w:t>
            </w:r>
          </w:p>
        </w:tc>
        <w:tc>
          <w:tcPr>
            <w:tcW w:w="917" w:type="dxa"/>
            <w:tcBorders>
              <w:bottom w:val="single" w:sz="4" w:space="0" w:color="auto"/>
            </w:tcBorders>
            <w:shd w:val="clear" w:color="auto" w:fill="auto"/>
            <w:noWrap/>
            <w:vAlign w:val="center"/>
            <w:hideMark/>
          </w:tcPr>
          <w:p w14:paraId="4FADD91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(0.00753)</w:t>
            </w:r>
          </w:p>
        </w:tc>
        <w:tc>
          <w:tcPr>
            <w:tcW w:w="1079" w:type="dxa"/>
            <w:gridSpan w:val="2"/>
            <w:tcBorders>
              <w:bottom w:val="single" w:sz="4" w:space="0" w:color="auto"/>
            </w:tcBorders>
            <w:shd w:val="clear" w:color="auto" w:fill="auto"/>
            <w:noWrap/>
            <w:vAlign w:val="center"/>
            <w:hideMark/>
          </w:tcPr>
          <w:p w14:paraId="5B6F380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(0.01090)</w:t>
            </w:r>
          </w:p>
        </w:tc>
        <w:tc>
          <w:tcPr>
            <w:tcW w:w="822" w:type="dxa"/>
            <w:tcBorders>
              <w:bottom w:val="single" w:sz="4" w:space="0" w:color="auto"/>
            </w:tcBorders>
            <w:vAlign w:val="center"/>
          </w:tcPr>
          <w:p w14:paraId="54C44B9D"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41DE" w:rsidRPr="00D13BC1" w14:paraId="5BB2F28D" w14:textId="77777777" w:rsidTr="000C41DE">
        <w:trPr>
          <w:trHeight w:val="225"/>
        </w:trPr>
        <w:tc>
          <w:tcPr>
            <w:tcW w:w="9427" w:type="dxa"/>
            <w:gridSpan w:val="10"/>
            <w:tcBorders>
              <w:top w:val="single" w:sz="4" w:space="0" w:color="auto"/>
              <w:bottom w:val="single" w:sz="4" w:space="0" w:color="auto"/>
            </w:tcBorders>
            <w:shd w:val="clear" w:color="auto" w:fill="auto"/>
            <w:noWrap/>
            <w:vAlign w:val="center"/>
          </w:tcPr>
          <w:p w14:paraId="4DB2B412" w14:textId="77777777" w:rsidR="000C41DE" w:rsidRPr="001356C3" w:rsidRDefault="000C41DE" w:rsidP="00D13BC1">
            <w:pPr>
              <w:adjustRightInd w:val="0"/>
              <w:snapToGrid w:val="0"/>
              <w:spacing w:after="0" w:line="240" w:lineRule="auto"/>
              <w:rPr>
                <w:rFonts w:ascii="Arial Narrow" w:hAnsi="Arial Narrow" w:cs="Arial"/>
                <w:b/>
                <w:sz w:val="16"/>
                <w:szCs w:val="16"/>
              </w:rPr>
            </w:pPr>
            <w:r w:rsidRPr="009B592E">
              <w:rPr>
                <w:rFonts w:ascii="Arial Narrow" w:hAnsi="Arial Narrow" w:cs="Arial"/>
                <w:b/>
                <w:i/>
                <w:sz w:val="16"/>
                <w:szCs w:val="16"/>
              </w:rPr>
              <w:t xml:space="preserve">     (2) Employment</w:t>
            </w:r>
            <w:r>
              <w:rPr>
                <w:rFonts w:ascii="Arial Narrow" w:hAnsi="Arial Narrow" w:cs="Arial"/>
                <w:b/>
                <w:i/>
                <w:sz w:val="16"/>
                <w:szCs w:val="16"/>
              </w:rPr>
              <w:t xml:space="preserve"> (2005)</w:t>
            </w:r>
          </w:p>
        </w:tc>
      </w:tr>
      <w:tr w:rsidR="000C5578" w:rsidRPr="00D13BC1" w14:paraId="7B88EA75" w14:textId="77777777" w:rsidTr="000C41DE">
        <w:trPr>
          <w:trHeight w:val="225"/>
        </w:trPr>
        <w:tc>
          <w:tcPr>
            <w:tcW w:w="1985" w:type="dxa"/>
            <w:tcBorders>
              <w:top w:val="single" w:sz="4" w:space="0" w:color="auto"/>
              <w:right w:val="single" w:sz="4" w:space="0" w:color="auto"/>
            </w:tcBorders>
            <w:shd w:val="clear" w:color="auto" w:fill="auto"/>
            <w:noWrap/>
            <w:vAlign w:val="center"/>
            <w:hideMark/>
          </w:tcPr>
          <w:p w14:paraId="7B0FE728"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Any Work</w:t>
            </w:r>
          </w:p>
        </w:tc>
        <w:tc>
          <w:tcPr>
            <w:tcW w:w="992" w:type="dxa"/>
            <w:tcBorders>
              <w:top w:val="single" w:sz="4" w:space="0" w:color="auto"/>
              <w:left w:val="single" w:sz="4" w:space="0" w:color="auto"/>
            </w:tcBorders>
            <w:shd w:val="clear" w:color="auto" w:fill="auto"/>
            <w:noWrap/>
            <w:vAlign w:val="center"/>
            <w:hideMark/>
          </w:tcPr>
          <w:p w14:paraId="2C23E4DD"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tcBorders>
              <w:top w:val="single" w:sz="4" w:space="0" w:color="auto"/>
            </w:tcBorders>
            <w:shd w:val="clear" w:color="auto" w:fill="auto"/>
            <w:noWrap/>
            <w:vAlign w:val="center"/>
            <w:hideMark/>
          </w:tcPr>
          <w:p w14:paraId="780FCB8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tcBorders>
              <w:top w:val="single" w:sz="4" w:space="0" w:color="auto"/>
            </w:tcBorders>
            <w:shd w:val="clear" w:color="auto" w:fill="auto"/>
            <w:noWrap/>
            <w:vAlign w:val="center"/>
            <w:hideMark/>
          </w:tcPr>
          <w:p w14:paraId="10FFBA5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tcBorders>
              <w:top w:val="single" w:sz="4" w:space="0" w:color="auto"/>
              <w:right w:val="single" w:sz="4" w:space="0" w:color="auto"/>
            </w:tcBorders>
            <w:vAlign w:val="center"/>
          </w:tcPr>
          <w:p w14:paraId="3D9C2306"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top w:val="single" w:sz="4" w:space="0" w:color="auto"/>
              <w:left w:val="single" w:sz="4" w:space="0" w:color="auto"/>
            </w:tcBorders>
            <w:shd w:val="clear" w:color="auto" w:fill="auto"/>
            <w:noWrap/>
            <w:vAlign w:val="center"/>
            <w:hideMark/>
          </w:tcPr>
          <w:p w14:paraId="29F87659"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17" w:type="dxa"/>
            <w:tcBorders>
              <w:top w:val="single" w:sz="4" w:space="0" w:color="auto"/>
            </w:tcBorders>
            <w:shd w:val="clear" w:color="auto" w:fill="auto"/>
            <w:noWrap/>
            <w:vAlign w:val="center"/>
            <w:hideMark/>
          </w:tcPr>
          <w:p w14:paraId="3BE0EDA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1079" w:type="dxa"/>
            <w:gridSpan w:val="2"/>
            <w:tcBorders>
              <w:top w:val="single" w:sz="4" w:space="0" w:color="auto"/>
            </w:tcBorders>
            <w:shd w:val="clear" w:color="auto" w:fill="auto"/>
            <w:noWrap/>
            <w:vAlign w:val="center"/>
            <w:hideMark/>
          </w:tcPr>
          <w:p w14:paraId="3F09F7C9"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tcBorders>
              <w:top w:val="single" w:sz="4" w:space="0" w:color="auto"/>
            </w:tcBorders>
            <w:vAlign w:val="bottom"/>
          </w:tcPr>
          <w:p w14:paraId="7C73A4DF"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5578" w:rsidRPr="00D13BC1" w14:paraId="1FA5F8F7" w14:textId="77777777" w:rsidTr="000C41DE">
        <w:trPr>
          <w:trHeight w:val="225"/>
        </w:trPr>
        <w:tc>
          <w:tcPr>
            <w:tcW w:w="1985" w:type="dxa"/>
            <w:tcBorders>
              <w:right w:val="single" w:sz="4" w:space="0" w:color="auto"/>
            </w:tcBorders>
            <w:shd w:val="clear" w:color="auto" w:fill="auto"/>
            <w:vAlign w:val="center"/>
            <w:hideMark/>
          </w:tcPr>
          <w:p w14:paraId="4E9776A0"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&lt; 240Hrs</w:t>
            </w:r>
          </w:p>
        </w:tc>
        <w:tc>
          <w:tcPr>
            <w:tcW w:w="992" w:type="dxa"/>
            <w:tcBorders>
              <w:left w:val="single" w:sz="4" w:space="0" w:color="auto"/>
            </w:tcBorders>
            <w:shd w:val="clear" w:color="auto" w:fill="auto"/>
            <w:noWrap/>
            <w:vAlign w:val="center"/>
            <w:hideMark/>
          </w:tcPr>
          <w:p w14:paraId="23AEB62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-0.00823**</w:t>
            </w:r>
          </w:p>
        </w:tc>
        <w:tc>
          <w:tcPr>
            <w:tcW w:w="909" w:type="dxa"/>
            <w:shd w:val="clear" w:color="auto" w:fill="auto"/>
            <w:noWrap/>
            <w:vAlign w:val="center"/>
            <w:hideMark/>
          </w:tcPr>
          <w:p w14:paraId="008F1B2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-0.0127**</w:t>
            </w:r>
          </w:p>
        </w:tc>
        <w:tc>
          <w:tcPr>
            <w:tcW w:w="909" w:type="dxa"/>
            <w:shd w:val="clear" w:color="auto" w:fill="auto"/>
            <w:noWrap/>
            <w:vAlign w:val="center"/>
            <w:hideMark/>
          </w:tcPr>
          <w:p w14:paraId="0D11CCB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0.0209**</w:t>
            </w:r>
          </w:p>
        </w:tc>
        <w:tc>
          <w:tcPr>
            <w:tcW w:w="822" w:type="dxa"/>
            <w:tcBorders>
              <w:right w:val="single" w:sz="4" w:space="0" w:color="auto"/>
            </w:tcBorders>
            <w:vAlign w:val="center"/>
          </w:tcPr>
          <w:p w14:paraId="7EE638C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color w:val="000000"/>
                <w:sz w:val="16"/>
                <w:szCs w:val="16"/>
              </w:rPr>
              <w:t>0.0291</w:t>
            </w:r>
          </w:p>
        </w:tc>
        <w:tc>
          <w:tcPr>
            <w:tcW w:w="992" w:type="dxa"/>
            <w:tcBorders>
              <w:left w:val="single" w:sz="4" w:space="0" w:color="auto"/>
            </w:tcBorders>
            <w:shd w:val="clear" w:color="auto" w:fill="auto"/>
            <w:noWrap/>
            <w:vAlign w:val="center"/>
            <w:hideMark/>
          </w:tcPr>
          <w:p w14:paraId="611D228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-0.00606**</w:t>
            </w:r>
          </w:p>
        </w:tc>
        <w:tc>
          <w:tcPr>
            <w:tcW w:w="917" w:type="dxa"/>
            <w:shd w:val="clear" w:color="auto" w:fill="auto"/>
            <w:noWrap/>
            <w:vAlign w:val="center"/>
            <w:hideMark/>
          </w:tcPr>
          <w:p w14:paraId="35C1F9B2"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-0.0168**</w:t>
            </w:r>
          </w:p>
        </w:tc>
        <w:tc>
          <w:tcPr>
            <w:tcW w:w="1079" w:type="dxa"/>
            <w:gridSpan w:val="2"/>
            <w:shd w:val="clear" w:color="auto" w:fill="auto"/>
            <w:noWrap/>
            <w:vAlign w:val="center"/>
            <w:hideMark/>
          </w:tcPr>
          <w:p w14:paraId="6D94F00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0.0228**</w:t>
            </w:r>
          </w:p>
        </w:tc>
        <w:tc>
          <w:tcPr>
            <w:tcW w:w="822" w:type="dxa"/>
            <w:vAlign w:val="center"/>
          </w:tcPr>
          <w:p w14:paraId="05C9895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color w:val="000000"/>
                <w:sz w:val="16"/>
                <w:szCs w:val="16"/>
              </w:rPr>
              <w:t>0.0288</w:t>
            </w:r>
          </w:p>
        </w:tc>
      </w:tr>
      <w:tr w:rsidR="000C5578" w:rsidRPr="00D13BC1" w14:paraId="6BD25335" w14:textId="77777777" w:rsidTr="000C41DE">
        <w:trPr>
          <w:trHeight w:val="225"/>
        </w:trPr>
        <w:tc>
          <w:tcPr>
            <w:tcW w:w="1985" w:type="dxa"/>
            <w:tcBorders>
              <w:right w:val="single" w:sz="4" w:space="0" w:color="auto"/>
            </w:tcBorders>
            <w:shd w:val="clear" w:color="auto" w:fill="auto"/>
            <w:vAlign w:val="bottom"/>
            <w:hideMark/>
          </w:tcPr>
          <w:p w14:paraId="3D4CDDF8"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tcBorders>
            <w:shd w:val="clear" w:color="auto" w:fill="auto"/>
            <w:noWrap/>
            <w:vAlign w:val="center"/>
            <w:hideMark/>
          </w:tcPr>
          <w:p w14:paraId="48EC3C73"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(0.00370)</w:t>
            </w:r>
          </w:p>
        </w:tc>
        <w:tc>
          <w:tcPr>
            <w:tcW w:w="909" w:type="dxa"/>
            <w:shd w:val="clear" w:color="auto" w:fill="auto"/>
            <w:noWrap/>
            <w:vAlign w:val="center"/>
            <w:hideMark/>
          </w:tcPr>
          <w:p w14:paraId="29D7DAF3"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(0.00602)</w:t>
            </w:r>
          </w:p>
        </w:tc>
        <w:tc>
          <w:tcPr>
            <w:tcW w:w="909" w:type="dxa"/>
            <w:shd w:val="clear" w:color="auto" w:fill="auto"/>
            <w:noWrap/>
            <w:vAlign w:val="center"/>
            <w:hideMark/>
          </w:tcPr>
          <w:p w14:paraId="58F76794"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(0.00971)</w:t>
            </w:r>
          </w:p>
        </w:tc>
        <w:tc>
          <w:tcPr>
            <w:tcW w:w="822" w:type="dxa"/>
            <w:tcBorders>
              <w:right w:val="single" w:sz="4" w:space="0" w:color="auto"/>
            </w:tcBorders>
            <w:vAlign w:val="center"/>
          </w:tcPr>
          <w:p w14:paraId="264D87A9"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left w:val="single" w:sz="4" w:space="0" w:color="auto"/>
            </w:tcBorders>
            <w:shd w:val="clear" w:color="auto" w:fill="auto"/>
            <w:noWrap/>
            <w:vAlign w:val="center"/>
            <w:hideMark/>
          </w:tcPr>
          <w:p w14:paraId="075A31A5"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(0.00253)</w:t>
            </w:r>
          </w:p>
        </w:tc>
        <w:tc>
          <w:tcPr>
            <w:tcW w:w="917" w:type="dxa"/>
            <w:shd w:val="clear" w:color="auto" w:fill="auto"/>
            <w:noWrap/>
            <w:vAlign w:val="center"/>
            <w:hideMark/>
          </w:tcPr>
          <w:p w14:paraId="2A2F32D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(0.00743)</w:t>
            </w:r>
          </w:p>
        </w:tc>
        <w:tc>
          <w:tcPr>
            <w:tcW w:w="1079" w:type="dxa"/>
            <w:gridSpan w:val="2"/>
            <w:shd w:val="clear" w:color="auto" w:fill="auto"/>
            <w:noWrap/>
            <w:vAlign w:val="center"/>
            <w:hideMark/>
          </w:tcPr>
          <w:p w14:paraId="6FBE999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(0.00995)</w:t>
            </w:r>
          </w:p>
        </w:tc>
        <w:tc>
          <w:tcPr>
            <w:tcW w:w="822" w:type="dxa"/>
            <w:vAlign w:val="center"/>
          </w:tcPr>
          <w:p w14:paraId="7E17A2ED"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5578" w:rsidRPr="00D13BC1" w14:paraId="2BC5B973" w14:textId="77777777" w:rsidTr="000C41DE">
        <w:trPr>
          <w:trHeight w:val="225"/>
        </w:trPr>
        <w:tc>
          <w:tcPr>
            <w:tcW w:w="1985" w:type="dxa"/>
            <w:tcBorders>
              <w:right w:val="single" w:sz="4" w:space="0" w:color="auto"/>
            </w:tcBorders>
            <w:shd w:val="clear" w:color="auto" w:fill="auto"/>
            <w:noWrap/>
            <w:vAlign w:val="center"/>
            <w:hideMark/>
          </w:tcPr>
          <w:p w14:paraId="7ECF14D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 xml:space="preserve">Number of Working Adults </w:t>
            </w:r>
            <w:r w:rsidRPr="001356C3">
              <w:rPr>
                <w:rFonts w:ascii="Arial Narrow" w:eastAsia="Times New Roman" w:hAnsi="Arial Narrow" w:cs="Arial"/>
                <w:b/>
                <w:sz w:val="16"/>
                <w:szCs w:val="16"/>
              </w:rPr>
              <w:lastRenderedPageBreak/>
              <w:t>(20-50) males in HH</w:t>
            </w:r>
          </w:p>
        </w:tc>
        <w:tc>
          <w:tcPr>
            <w:tcW w:w="992" w:type="dxa"/>
            <w:tcBorders>
              <w:left w:val="single" w:sz="4" w:space="0" w:color="auto"/>
            </w:tcBorders>
            <w:shd w:val="clear" w:color="auto" w:fill="auto"/>
            <w:noWrap/>
            <w:vAlign w:val="center"/>
            <w:hideMark/>
          </w:tcPr>
          <w:p w14:paraId="6960187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269726E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0FBD5DE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right w:val="single" w:sz="4" w:space="0" w:color="auto"/>
            </w:tcBorders>
            <w:vAlign w:val="center"/>
          </w:tcPr>
          <w:p w14:paraId="6EC8B199"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2452216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7DD78E8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5183E0C1"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vAlign w:val="bottom"/>
          </w:tcPr>
          <w:p w14:paraId="4B5234F0"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125A38E3" w14:textId="77777777" w:rsidTr="000C41DE">
        <w:trPr>
          <w:trHeight w:val="225"/>
        </w:trPr>
        <w:tc>
          <w:tcPr>
            <w:tcW w:w="1985" w:type="dxa"/>
            <w:tcBorders>
              <w:right w:val="single" w:sz="4" w:space="0" w:color="auto"/>
            </w:tcBorders>
            <w:shd w:val="clear" w:color="auto" w:fill="auto"/>
            <w:vAlign w:val="center"/>
            <w:hideMark/>
          </w:tcPr>
          <w:p w14:paraId="5B68379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lastRenderedPageBreak/>
              <w:t xml:space="preserve">  0</w:t>
            </w:r>
          </w:p>
        </w:tc>
        <w:tc>
          <w:tcPr>
            <w:tcW w:w="992" w:type="dxa"/>
            <w:tcBorders>
              <w:left w:val="single" w:sz="4" w:space="0" w:color="auto"/>
            </w:tcBorders>
            <w:shd w:val="clear" w:color="auto" w:fill="auto"/>
            <w:noWrap/>
            <w:vAlign w:val="center"/>
            <w:hideMark/>
          </w:tcPr>
          <w:p w14:paraId="482941E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0.0273***</w:t>
            </w:r>
          </w:p>
        </w:tc>
        <w:tc>
          <w:tcPr>
            <w:tcW w:w="909" w:type="dxa"/>
            <w:shd w:val="clear" w:color="auto" w:fill="auto"/>
            <w:noWrap/>
            <w:vAlign w:val="center"/>
            <w:hideMark/>
          </w:tcPr>
          <w:p w14:paraId="71D2B8B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0.0344***</w:t>
            </w:r>
          </w:p>
        </w:tc>
        <w:tc>
          <w:tcPr>
            <w:tcW w:w="909" w:type="dxa"/>
            <w:shd w:val="clear" w:color="auto" w:fill="auto"/>
            <w:noWrap/>
            <w:vAlign w:val="center"/>
            <w:hideMark/>
          </w:tcPr>
          <w:p w14:paraId="3C048D2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-0.0617***</w:t>
            </w:r>
          </w:p>
        </w:tc>
        <w:tc>
          <w:tcPr>
            <w:tcW w:w="822" w:type="dxa"/>
            <w:tcBorders>
              <w:right w:val="single" w:sz="4" w:space="0" w:color="auto"/>
            </w:tcBorders>
            <w:vAlign w:val="center"/>
          </w:tcPr>
          <w:p w14:paraId="15A91C1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-0.089</w:t>
            </w:r>
          </w:p>
        </w:tc>
        <w:tc>
          <w:tcPr>
            <w:tcW w:w="992" w:type="dxa"/>
            <w:tcBorders>
              <w:left w:val="single" w:sz="4" w:space="0" w:color="auto"/>
            </w:tcBorders>
            <w:shd w:val="clear" w:color="auto" w:fill="auto"/>
            <w:noWrap/>
            <w:vAlign w:val="center"/>
            <w:hideMark/>
          </w:tcPr>
          <w:p w14:paraId="13A86EC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-0.0104***</w:t>
            </w:r>
          </w:p>
        </w:tc>
        <w:tc>
          <w:tcPr>
            <w:tcW w:w="917" w:type="dxa"/>
            <w:shd w:val="clear" w:color="auto" w:fill="auto"/>
            <w:noWrap/>
            <w:vAlign w:val="center"/>
            <w:hideMark/>
          </w:tcPr>
          <w:p w14:paraId="3FAEDE3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-0.0309***</w:t>
            </w:r>
          </w:p>
        </w:tc>
        <w:tc>
          <w:tcPr>
            <w:tcW w:w="1079" w:type="dxa"/>
            <w:gridSpan w:val="2"/>
            <w:shd w:val="clear" w:color="auto" w:fill="auto"/>
            <w:noWrap/>
            <w:vAlign w:val="center"/>
            <w:hideMark/>
          </w:tcPr>
          <w:p w14:paraId="32901C4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0.0414***</w:t>
            </w:r>
          </w:p>
        </w:tc>
        <w:tc>
          <w:tcPr>
            <w:tcW w:w="822" w:type="dxa"/>
            <w:vAlign w:val="center"/>
          </w:tcPr>
          <w:p w14:paraId="5D9AAFE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0.0519</w:t>
            </w:r>
          </w:p>
        </w:tc>
      </w:tr>
      <w:tr w:rsidR="000C5578" w:rsidRPr="00D13BC1" w14:paraId="65D66A3E" w14:textId="77777777" w:rsidTr="000C41DE">
        <w:trPr>
          <w:trHeight w:val="225"/>
        </w:trPr>
        <w:tc>
          <w:tcPr>
            <w:tcW w:w="1985" w:type="dxa"/>
            <w:tcBorders>
              <w:right w:val="single" w:sz="4" w:space="0" w:color="auto"/>
            </w:tcBorders>
            <w:shd w:val="clear" w:color="auto" w:fill="auto"/>
            <w:vAlign w:val="bottom"/>
            <w:hideMark/>
          </w:tcPr>
          <w:p w14:paraId="2A45106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3692A17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(0.00348)</w:t>
            </w:r>
          </w:p>
        </w:tc>
        <w:tc>
          <w:tcPr>
            <w:tcW w:w="909" w:type="dxa"/>
            <w:shd w:val="clear" w:color="auto" w:fill="auto"/>
            <w:noWrap/>
            <w:vAlign w:val="center"/>
            <w:hideMark/>
          </w:tcPr>
          <w:p w14:paraId="3248797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(0.00393)</w:t>
            </w:r>
          </w:p>
        </w:tc>
        <w:tc>
          <w:tcPr>
            <w:tcW w:w="909" w:type="dxa"/>
            <w:shd w:val="clear" w:color="auto" w:fill="auto"/>
            <w:noWrap/>
            <w:vAlign w:val="center"/>
            <w:hideMark/>
          </w:tcPr>
          <w:p w14:paraId="2167B48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(0.00736)</w:t>
            </w:r>
          </w:p>
        </w:tc>
        <w:tc>
          <w:tcPr>
            <w:tcW w:w="822" w:type="dxa"/>
            <w:tcBorders>
              <w:right w:val="single" w:sz="4" w:space="0" w:color="auto"/>
            </w:tcBorders>
            <w:vAlign w:val="center"/>
          </w:tcPr>
          <w:p w14:paraId="228555AB"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7034448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(0.00191)</w:t>
            </w:r>
          </w:p>
        </w:tc>
        <w:tc>
          <w:tcPr>
            <w:tcW w:w="917" w:type="dxa"/>
            <w:shd w:val="clear" w:color="auto" w:fill="auto"/>
            <w:noWrap/>
            <w:vAlign w:val="center"/>
            <w:hideMark/>
          </w:tcPr>
          <w:p w14:paraId="2036E7B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(0.00601)</w:t>
            </w:r>
          </w:p>
        </w:tc>
        <w:tc>
          <w:tcPr>
            <w:tcW w:w="1079" w:type="dxa"/>
            <w:gridSpan w:val="2"/>
            <w:shd w:val="clear" w:color="auto" w:fill="auto"/>
            <w:noWrap/>
            <w:vAlign w:val="center"/>
            <w:hideMark/>
          </w:tcPr>
          <w:p w14:paraId="7563E8C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(0.00790)</w:t>
            </w:r>
          </w:p>
        </w:tc>
        <w:tc>
          <w:tcPr>
            <w:tcW w:w="822" w:type="dxa"/>
            <w:vAlign w:val="center"/>
          </w:tcPr>
          <w:p w14:paraId="14E665A7"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2EE8DCDD" w14:textId="77777777" w:rsidTr="000C41DE">
        <w:trPr>
          <w:trHeight w:val="225"/>
        </w:trPr>
        <w:tc>
          <w:tcPr>
            <w:tcW w:w="1985" w:type="dxa"/>
            <w:tcBorders>
              <w:right w:val="single" w:sz="4" w:space="0" w:color="auto"/>
            </w:tcBorders>
            <w:shd w:val="clear" w:color="auto" w:fill="auto"/>
            <w:noWrap/>
            <w:vAlign w:val="center"/>
            <w:hideMark/>
          </w:tcPr>
          <w:p w14:paraId="6DB6BDA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&gt;=2</w:t>
            </w:r>
          </w:p>
        </w:tc>
        <w:tc>
          <w:tcPr>
            <w:tcW w:w="992" w:type="dxa"/>
            <w:tcBorders>
              <w:left w:val="single" w:sz="4" w:space="0" w:color="auto"/>
            </w:tcBorders>
            <w:shd w:val="clear" w:color="auto" w:fill="auto"/>
            <w:noWrap/>
            <w:vAlign w:val="center"/>
            <w:hideMark/>
          </w:tcPr>
          <w:p w14:paraId="1697073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-0.0135***</w:t>
            </w:r>
          </w:p>
        </w:tc>
        <w:tc>
          <w:tcPr>
            <w:tcW w:w="909" w:type="dxa"/>
            <w:shd w:val="clear" w:color="auto" w:fill="auto"/>
            <w:noWrap/>
            <w:vAlign w:val="center"/>
            <w:hideMark/>
          </w:tcPr>
          <w:p w14:paraId="3AFD78F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-0.0244***</w:t>
            </w:r>
          </w:p>
        </w:tc>
        <w:tc>
          <w:tcPr>
            <w:tcW w:w="909" w:type="dxa"/>
            <w:shd w:val="clear" w:color="auto" w:fill="auto"/>
            <w:noWrap/>
            <w:vAlign w:val="center"/>
            <w:hideMark/>
          </w:tcPr>
          <w:p w14:paraId="2916725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0.0379***</w:t>
            </w:r>
          </w:p>
        </w:tc>
        <w:tc>
          <w:tcPr>
            <w:tcW w:w="822" w:type="dxa"/>
            <w:tcBorders>
              <w:right w:val="single" w:sz="4" w:space="0" w:color="auto"/>
            </w:tcBorders>
            <w:vAlign w:val="center"/>
          </w:tcPr>
          <w:p w14:paraId="5D2D9945"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0.0514</w:t>
            </w:r>
          </w:p>
        </w:tc>
        <w:tc>
          <w:tcPr>
            <w:tcW w:w="992" w:type="dxa"/>
            <w:tcBorders>
              <w:left w:val="single" w:sz="4" w:space="0" w:color="auto"/>
            </w:tcBorders>
            <w:shd w:val="clear" w:color="auto" w:fill="auto"/>
            <w:noWrap/>
            <w:vAlign w:val="center"/>
            <w:hideMark/>
          </w:tcPr>
          <w:p w14:paraId="395DDD3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0.0412***</w:t>
            </w:r>
          </w:p>
        </w:tc>
        <w:tc>
          <w:tcPr>
            <w:tcW w:w="917" w:type="dxa"/>
            <w:shd w:val="clear" w:color="auto" w:fill="auto"/>
            <w:noWrap/>
            <w:vAlign w:val="center"/>
            <w:hideMark/>
          </w:tcPr>
          <w:p w14:paraId="60FC1EB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0.0664***</w:t>
            </w:r>
          </w:p>
        </w:tc>
        <w:tc>
          <w:tcPr>
            <w:tcW w:w="1079" w:type="dxa"/>
            <w:gridSpan w:val="2"/>
            <w:shd w:val="clear" w:color="auto" w:fill="auto"/>
            <w:noWrap/>
            <w:vAlign w:val="center"/>
            <w:hideMark/>
          </w:tcPr>
          <w:p w14:paraId="4333DC0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-0.108***</w:t>
            </w:r>
          </w:p>
        </w:tc>
        <w:tc>
          <w:tcPr>
            <w:tcW w:w="822" w:type="dxa"/>
            <w:vAlign w:val="center"/>
          </w:tcPr>
          <w:p w14:paraId="378CC831"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-0.1496</w:t>
            </w:r>
          </w:p>
        </w:tc>
      </w:tr>
      <w:tr w:rsidR="000C5578" w:rsidRPr="00D13BC1" w14:paraId="2BBB2E5E" w14:textId="77777777" w:rsidTr="000C41DE">
        <w:trPr>
          <w:trHeight w:val="225"/>
        </w:trPr>
        <w:tc>
          <w:tcPr>
            <w:tcW w:w="1985" w:type="dxa"/>
            <w:tcBorders>
              <w:right w:val="single" w:sz="4" w:space="0" w:color="auto"/>
            </w:tcBorders>
            <w:shd w:val="clear" w:color="auto" w:fill="auto"/>
            <w:vAlign w:val="bottom"/>
            <w:hideMark/>
          </w:tcPr>
          <w:p w14:paraId="366DD4B1"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2E854BF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(0.00371)</w:t>
            </w:r>
          </w:p>
        </w:tc>
        <w:tc>
          <w:tcPr>
            <w:tcW w:w="909" w:type="dxa"/>
            <w:shd w:val="clear" w:color="auto" w:fill="auto"/>
            <w:noWrap/>
            <w:vAlign w:val="center"/>
            <w:hideMark/>
          </w:tcPr>
          <w:p w14:paraId="4ABF148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(0.00734)</w:t>
            </w:r>
          </w:p>
        </w:tc>
        <w:tc>
          <w:tcPr>
            <w:tcW w:w="909" w:type="dxa"/>
            <w:shd w:val="clear" w:color="auto" w:fill="auto"/>
            <w:noWrap/>
            <w:vAlign w:val="center"/>
            <w:hideMark/>
          </w:tcPr>
          <w:p w14:paraId="1F83267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(0.01100)</w:t>
            </w:r>
          </w:p>
        </w:tc>
        <w:tc>
          <w:tcPr>
            <w:tcW w:w="822" w:type="dxa"/>
            <w:tcBorders>
              <w:right w:val="single" w:sz="4" w:space="0" w:color="auto"/>
            </w:tcBorders>
            <w:vAlign w:val="center"/>
          </w:tcPr>
          <w:p w14:paraId="05671ED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6015CFE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(0.00459)</w:t>
            </w:r>
          </w:p>
        </w:tc>
        <w:tc>
          <w:tcPr>
            <w:tcW w:w="917" w:type="dxa"/>
            <w:shd w:val="clear" w:color="auto" w:fill="auto"/>
            <w:noWrap/>
            <w:vAlign w:val="center"/>
            <w:hideMark/>
          </w:tcPr>
          <w:p w14:paraId="3FD5AF8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(0.00499)</w:t>
            </w:r>
          </w:p>
        </w:tc>
        <w:tc>
          <w:tcPr>
            <w:tcW w:w="1079" w:type="dxa"/>
            <w:gridSpan w:val="2"/>
            <w:shd w:val="clear" w:color="auto" w:fill="auto"/>
            <w:noWrap/>
            <w:vAlign w:val="center"/>
            <w:hideMark/>
          </w:tcPr>
          <w:p w14:paraId="03BC9DE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(0.00937)</w:t>
            </w:r>
          </w:p>
        </w:tc>
        <w:tc>
          <w:tcPr>
            <w:tcW w:w="822" w:type="dxa"/>
            <w:vAlign w:val="center"/>
          </w:tcPr>
          <w:p w14:paraId="76015232"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r>
      <w:tr w:rsidR="000C5578" w:rsidRPr="00D13BC1" w14:paraId="195B8E56" w14:textId="77777777" w:rsidTr="000C41DE">
        <w:trPr>
          <w:trHeight w:val="225"/>
        </w:trPr>
        <w:tc>
          <w:tcPr>
            <w:tcW w:w="1985" w:type="dxa"/>
            <w:tcBorders>
              <w:right w:val="single" w:sz="4" w:space="0" w:color="auto"/>
            </w:tcBorders>
            <w:shd w:val="clear" w:color="auto" w:fill="auto"/>
            <w:vAlign w:val="center"/>
            <w:hideMark/>
          </w:tcPr>
          <w:p w14:paraId="46EE9CB2"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Number of Working Adults (20-50) Females in HH</w:t>
            </w:r>
          </w:p>
        </w:tc>
        <w:tc>
          <w:tcPr>
            <w:tcW w:w="992" w:type="dxa"/>
            <w:tcBorders>
              <w:left w:val="single" w:sz="4" w:space="0" w:color="auto"/>
            </w:tcBorders>
            <w:shd w:val="clear" w:color="auto" w:fill="auto"/>
            <w:noWrap/>
            <w:vAlign w:val="center"/>
            <w:hideMark/>
          </w:tcPr>
          <w:p w14:paraId="4AFE3C9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16685F1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3D14486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right w:val="single" w:sz="4" w:space="0" w:color="auto"/>
            </w:tcBorders>
            <w:vAlign w:val="center"/>
          </w:tcPr>
          <w:p w14:paraId="4E2A4B7E"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479F03D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3A62BAC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78A51BB1"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vAlign w:val="bottom"/>
          </w:tcPr>
          <w:p w14:paraId="7124519B"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151C2A5A" w14:textId="77777777" w:rsidTr="000C41DE">
        <w:trPr>
          <w:trHeight w:val="225"/>
        </w:trPr>
        <w:tc>
          <w:tcPr>
            <w:tcW w:w="1985" w:type="dxa"/>
            <w:tcBorders>
              <w:right w:val="single" w:sz="4" w:space="0" w:color="auto"/>
            </w:tcBorders>
            <w:shd w:val="clear" w:color="auto" w:fill="auto"/>
            <w:noWrap/>
            <w:vAlign w:val="center"/>
            <w:hideMark/>
          </w:tcPr>
          <w:p w14:paraId="687049C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1</w:t>
            </w:r>
          </w:p>
        </w:tc>
        <w:tc>
          <w:tcPr>
            <w:tcW w:w="992" w:type="dxa"/>
            <w:tcBorders>
              <w:left w:val="single" w:sz="4" w:space="0" w:color="auto"/>
            </w:tcBorders>
            <w:shd w:val="clear" w:color="auto" w:fill="auto"/>
            <w:noWrap/>
            <w:vAlign w:val="center"/>
            <w:hideMark/>
          </w:tcPr>
          <w:p w14:paraId="36CBAE5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-0.00243</w:t>
            </w:r>
          </w:p>
        </w:tc>
        <w:tc>
          <w:tcPr>
            <w:tcW w:w="909" w:type="dxa"/>
            <w:shd w:val="clear" w:color="auto" w:fill="auto"/>
            <w:noWrap/>
            <w:vAlign w:val="center"/>
            <w:hideMark/>
          </w:tcPr>
          <w:p w14:paraId="3EEBFEEC"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-0.00352</w:t>
            </w:r>
          </w:p>
        </w:tc>
        <w:tc>
          <w:tcPr>
            <w:tcW w:w="909" w:type="dxa"/>
            <w:shd w:val="clear" w:color="auto" w:fill="auto"/>
            <w:noWrap/>
            <w:vAlign w:val="center"/>
            <w:hideMark/>
          </w:tcPr>
          <w:p w14:paraId="7E9F69D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0.00595</w:t>
            </w:r>
          </w:p>
        </w:tc>
        <w:tc>
          <w:tcPr>
            <w:tcW w:w="822" w:type="dxa"/>
            <w:tcBorders>
              <w:right w:val="single" w:sz="4" w:space="0" w:color="auto"/>
            </w:tcBorders>
            <w:vAlign w:val="center"/>
          </w:tcPr>
          <w:p w14:paraId="44AD4416"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0.00838</w:t>
            </w:r>
          </w:p>
        </w:tc>
        <w:tc>
          <w:tcPr>
            <w:tcW w:w="992" w:type="dxa"/>
            <w:tcBorders>
              <w:left w:val="single" w:sz="4" w:space="0" w:color="auto"/>
            </w:tcBorders>
            <w:shd w:val="clear" w:color="auto" w:fill="auto"/>
            <w:noWrap/>
            <w:vAlign w:val="center"/>
            <w:hideMark/>
          </w:tcPr>
          <w:p w14:paraId="4619E31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-0.000887</w:t>
            </w:r>
          </w:p>
        </w:tc>
        <w:tc>
          <w:tcPr>
            <w:tcW w:w="917" w:type="dxa"/>
            <w:shd w:val="clear" w:color="auto" w:fill="auto"/>
            <w:noWrap/>
            <w:vAlign w:val="center"/>
            <w:hideMark/>
          </w:tcPr>
          <w:p w14:paraId="6A2B020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-0.00234</w:t>
            </w:r>
          </w:p>
        </w:tc>
        <w:tc>
          <w:tcPr>
            <w:tcW w:w="1079" w:type="dxa"/>
            <w:gridSpan w:val="2"/>
            <w:shd w:val="clear" w:color="auto" w:fill="auto"/>
            <w:noWrap/>
            <w:vAlign w:val="center"/>
            <w:hideMark/>
          </w:tcPr>
          <w:p w14:paraId="0EF9208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0.00323</w:t>
            </w:r>
          </w:p>
        </w:tc>
        <w:tc>
          <w:tcPr>
            <w:tcW w:w="822" w:type="dxa"/>
            <w:vAlign w:val="center"/>
          </w:tcPr>
          <w:p w14:paraId="0662BDE8"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0.00412</w:t>
            </w:r>
          </w:p>
        </w:tc>
      </w:tr>
      <w:tr w:rsidR="000C5578" w:rsidRPr="00D13BC1" w14:paraId="3E310E1E" w14:textId="77777777" w:rsidTr="000C41DE">
        <w:trPr>
          <w:trHeight w:val="225"/>
        </w:trPr>
        <w:tc>
          <w:tcPr>
            <w:tcW w:w="1985" w:type="dxa"/>
            <w:tcBorders>
              <w:right w:val="single" w:sz="4" w:space="0" w:color="auto"/>
            </w:tcBorders>
            <w:shd w:val="clear" w:color="auto" w:fill="auto"/>
            <w:vAlign w:val="bottom"/>
            <w:hideMark/>
          </w:tcPr>
          <w:p w14:paraId="7491739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0B0C713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(0.00246)</w:t>
            </w:r>
          </w:p>
        </w:tc>
        <w:tc>
          <w:tcPr>
            <w:tcW w:w="909" w:type="dxa"/>
            <w:shd w:val="clear" w:color="auto" w:fill="auto"/>
            <w:noWrap/>
            <w:vAlign w:val="center"/>
            <w:hideMark/>
          </w:tcPr>
          <w:p w14:paraId="775F896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(0.00356)</w:t>
            </w:r>
          </w:p>
        </w:tc>
        <w:tc>
          <w:tcPr>
            <w:tcW w:w="909" w:type="dxa"/>
            <w:shd w:val="clear" w:color="auto" w:fill="auto"/>
            <w:noWrap/>
            <w:vAlign w:val="center"/>
            <w:hideMark/>
          </w:tcPr>
          <w:p w14:paraId="2727AA2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(0.00602)</w:t>
            </w:r>
          </w:p>
        </w:tc>
        <w:tc>
          <w:tcPr>
            <w:tcW w:w="822" w:type="dxa"/>
            <w:tcBorders>
              <w:right w:val="single" w:sz="4" w:space="0" w:color="auto"/>
            </w:tcBorders>
            <w:vAlign w:val="center"/>
          </w:tcPr>
          <w:p w14:paraId="37B89E86"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40A63F2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(0.00169)</w:t>
            </w:r>
          </w:p>
        </w:tc>
        <w:tc>
          <w:tcPr>
            <w:tcW w:w="917" w:type="dxa"/>
            <w:shd w:val="clear" w:color="auto" w:fill="auto"/>
            <w:noWrap/>
            <w:vAlign w:val="center"/>
            <w:hideMark/>
          </w:tcPr>
          <w:p w14:paraId="44D208D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(0.00446)</w:t>
            </w:r>
          </w:p>
        </w:tc>
        <w:tc>
          <w:tcPr>
            <w:tcW w:w="1079" w:type="dxa"/>
            <w:gridSpan w:val="2"/>
            <w:shd w:val="clear" w:color="auto" w:fill="auto"/>
            <w:noWrap/>
            <w:vAlign w:val="center"/>
            <w:hideMark/>
          </w:tcPr>
          <w:p w14:paraId="48AA377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(0.00615)</w:t>
            </w:r>
          </w:p>
        </w:tc>
        <w:tc>
          <w:tcPr>
            <w:tcW w:w="822" w:type="dxa"/>
            <w:vAlign w:val="center"/>
          </w:tcPr>
          <w:p w14:paraId="451E8069"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57AF049C" w14:textId="77777777" w:rsidTr="000C41DE">
        <w:trPr>
          <w:trHeight w:val="225"/>
        </w:trPr>
        <w:tc>
          <w:tcPr>
            <w:tcW w:w="1985" w:type="dxa"/>
            <w:tcBorders>
              <w:right w:val="single" w:sz="4" w:space="0" w:color="auto"/>
            </w:tcBorders>
            <w:shd w:val="clear" w:color="auto" w:fill="auto"/>
            <w:noWrap/>
            <w:vAlign w:val="center"/>
            <w:hideMark/>
          </w:tcPr>
          <w:p w14:paraId="7AF763C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&gt;=2</w:t>
            </w:r>
          </w:p>
        </w:tc>
        <w:tc>
          <w:tcPr>
            <w:tcW w:w="992" w:type="dxa"/>
            <w:tcBorders>
              <w:left w:val="single" w:sz="4" w:space="0" w:color="auto"/>
            </w:tcBorders>
            <w:shd w:val="clear" w:color="auto" w:fill="auto"/>
            <w:noWrap/>
            <w:vAlign w:val="center"/>
            <w:hideMark/>
          </w:tcPr>
          <w:p w14:paraId="7FBC6D3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-0.0101</w:t>
            </w:r>
          </w:p>
        </w:tc>
        <w:tc>
          <w:tcPr>
            <w:tcW w:w="909" w:type="dxa"/>
            <w:shd w:val="clear" w:color="auto" w:fill="auto"/>
            <w:noWrap/>
            <w:vAlign w:val="center"/>
            <w:hideMark/>
          </w:tcPr>
          <w:p w14:paraId="7AB6A43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-0.0157</w:t>
            </w:r>
          </w:p>
        </w:tc>
        <w:tc>
          <w:tcPr>
            <w:tcW w:w="909" w:type="dxa"/>
            <w:shd w:val="clear" w:color="auto" w:fill="auto"/>
            <w:noWrap/>
            <w:vAlign w:val="center"/>
            <w:hideMark/>
          </w:tcPr>
          <w:p w14:paraId="4BC74FC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0.0259</w:t>
            </w:r>
          </w:p>
        </w:tc>
        <w:tc>
          <w:tcPr>
            <w:tcW w:w="822" w:type="dxa"/>
            <w:tcBorders>
              <w:right w:val="single" w:sz="4" w:space="0" w:color="auto"/>
            </w:tcBorders>
            <w:vAlign w:val="center"/>
          </w:tcPr>
          <w:p w14:paraId="384BCE12"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0.0361</w:t>
            </w:r>
          </w:p>
        </w:tc>
        <w:tc>
          <w:tcPr>
            <w:tcW w:w="992" w:type="dxa"/>
            <w:tcBorders>
              <w:left w:val="single" w:sz="4" w:space="0" w:color="auto"/>
            </w:tcBorders>
            <w:shd w:val="clear" w:color="auto" w:fill="auto"/>
            <w:noWrap/>
            <w:vAlign w:val="center"/>
            <w:hideMark/>
          </w:tcPr>
          <w:p w14:paraId="4F2D676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0.0285***</w:t>
            </w:r>
          </w:p>
        </w:tc>
        <w:tc>
          <w:tcPr>
            <w:tcW w:w="917" w:type="dxa"/>
            <w:shd w:val="clear" w:color="auto" w:fill="auto"/>
            <w:noWrap/>
            <w:vAlign w:val="center"/>
            <w:hideMark/>
          </w:tcPr>
          <w:p w14:paraId="1BE48C3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0.0531***</w:t>
            </w:r>
          </w:p>
        </w:tc>
        <w:tc>
          <w:tcPr>
            <w:tcW w:w="1079" w:type="dxa"/>
            <w:gridSpan w:val="2"/>
            <w:shd w:val="clear" w:color="auto" w:fill="auto"/>
            <w:noWrap/>
            <w:vAlign w:val="center"/>
            <w:hideMark/>
          </w:tcPr>
          <w:p w14:paraId="29E51EB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-0.0816***</w:t>
            </w:r>
          </w:p>
        </w:tc>
        <w:tc>
          <w:tcPr>
            <w:tcW w:w="822" w:type="dxa"/>
            <w:vAlign w:val="center"/>
          </w:tcPr>
          <w:p w14:paraId="55D7ED14"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-0.1101</w:t>
            </w:r>
          </w:p>
        </w:tc>
      </w:tr>
      <w:tr w:rsidR="000C5578" w:rsidRPr="00D13BC1" w14:paraId="310D8352" w14:textId="77777777" w:rsidTr="000C41DE">
        <w:trPr>
          <w:trHeight w:val="225"/>
        </w:trPr>
        <w:tc>
          <w:tcPr>
            <w:tcW w:w="1985" w:type="dxa"/>
            <w:tcBorders>
              <w:bottom w:val="single" w:sz="4" w:space="0" w:color="auto"/>
              <w:right w:val="single" w:sz="4" w:space="0" w:color="auto"/>
            </w:tcBorders>
            <w:shd w:val="clear" w:color="auto" w:fill="auto"/>
            <w:vAlign w:val="bottom"/>
            <w:hideMark/>
          </w:tcPr>
          <w:p w14:paraId="7050C789" w14:textId="77777777" w:rsidR="000C5578" w:rsidRPr="009B592E"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bottom w:val="single" w:sz="4" w:space="0" w:color="auto"/>
            </w:tcBorders>
            <w:shd w:val="clear" w:color="auto" w:fill="auto"/>
            <w:noWrap/>
            <w:vAlign w:val="center"/>
            <w:hideMark/>
          </w:tcPr>
          <w:p w14:paraId="6603BE1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(0.00658)</w:t>
            </w:r>
          </w:p>
        </w:tc>
        <w:tc>
          <w:tcPr>
            <w:tcW w:w="909" w:type="dxa"/>
            <w:tcBorders>
              <w:bottom w:val="single" w:sz="4" w:space="0" w:color="auto"/>
            </w:tcBorders>
            <w:shd w:val="clear" w:color="auto" w:fill="auto"/>
            <w:noWrap/>
            <w:vAlign w:val="center"/>
            <w:hideMark/>
          </w:tcPr>
          <w:p w14:paraId="389F703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(0.01100)</w:t>
            </w:r>
          </w:p>
        </w:tc>
        <w:tc>
          <w:tcPr>
            <w:tcW w:w="909" w:type="dxa"/>
            <w:tcBorders>
              <w:bottom w:val="single" w:sz="4" w:space="0" w:color="auto"/>
            </w:tcBorders>
            <w:shd w:val="clear" w:color="auto" w:fill="auto"/>
            <w:noWrap/>
            <w:vAlign w:val="center"/>
            <w:hideMark/>
          </w:tcPr>
          <w:p w14:paraId="57A09FE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(0.01760)</w:t>
            </w:r>
          </w:p>
        </w:tc>
        <w:tc>
          <w:tcPr>
            <w:tcW w:w="822" w:type="dxa"/>
            <w:tcBorders>
              <w:bottom w:val="single" w:sz="4" w:space="0" w:color="auto"/>
              <w:right w:val="single" w:sz="4" w:space="0" w:color="auto"/>
            </w:tcBorders>
            <w:vAlign w:val="center"/>
          </w:tcPr>
          <w:p w14:paraId="482279E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bottom w:val="single" w:sz="4" w:space="0" w:color="auto"/>
            </w:tcBorders>
            <w:shd w:val="clear" w:color="auto" w:fill="auto"/>
            <w:noWrap/>
            <w:vAlign w:val="center"/>
            <w:hideMark/>
          </w:tcPr>
          <w:p w14:paraId="6DAB030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(0.00675)</w:t>
            </w:r>
          </w:p>
        </w:tc>
        <w:tc>
          <w:tcPr>
            <w:tcW w:w="917" w:type="dxa"/>
            <w:tcBorders>
              <w:bottom w:val="single" w:sz="4" w:space="0" w:color="auto"/>
            </w:tcBorders>
            <w:shd w:val="clear" w:color="auto" w:fill="auto"/>
            <w:noWrap/>
            <w:vAlign w:val="center"/>
            <w:hideMark/>
          </w:tcPr>
          <w:p w14:paraId="54A036A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(0.00921)</w:t>
            </w:r>
          </w:p>
        </w:tc>
        <w:tc>
          <w:tcPr>
            <w:tcW w:w="1079" w:type="dxa"/>
            <w:gridSpan w:val="2"/>
            <w:tcBorders>
              <w:bottom w:val="single" w:sz="4" w:space="0" w:color="auto"/>
            </w:tcBorders>
            <w:shd w:val="clear" w:color="auto" w:fill="auto"/>
            <w:noWrap/>
            <w:vAlign w:val="center"/>
            <w:hideMark/>
          </w:tcPr>
          <w:p w14:paraId="215C878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(0.01590)</w:t>
            </w:r>
          </w:p>
        </w:tc>
        <w:tc>
          <w:tcPr>
            <w:tcW w:w="822" w:type="dxa"/>
            <w:tcBorders>
              <w:bottom w:val="single" w:sz="4" w:space="0" w:color="auto"/>
            </w:tcBorders>
            <w:vAlign w:val="center"/>
          </w:tcPr>
          <w:p w14:paraId="75C8BD2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r>
      <w:tr w:rsidR="000C41DE" w:rsidRPr="00D13BC1" w14:paraId="65FCE47D" w14:textId="77777777" w:rsidTr="000C41DE">
        <w:trPr>
          <w:trHeight w:val="225"/>
        </w:trPr>
        <w:tc>
          <w:tcPr>
            <w:tcW w:w="9427" w:type="dxa"/>
            <w:gridSpan w:val="10"/>
            <w:tcBorders>
              <w:top w:val="single" w:sz="4" w:space="0" w:color="auto"/>
              <w:bottom w:val="single" w:sz="4" w:space="0" w:color="auto"/>
            </w:tcBorders>
            <w:shd w:val="clear" w:color="auto" w:fill="auto"/>
            <w:vAlign w:val="center"/>
          </w:tcPr>
          <w:p w14:paraId="6E73A7E5" w14:textId="77777777" w:rsidR="000C41DE" w:rsidRPr="000C41DE" w:rsidRDefault="000C41DE" w:rsidP="000C41DE">
            <w:pPr>
              <w:pStyle w:val="ListParagraph"/>
              <w:numPr>
                <w:ilvl w:val="0"/>
                <w:numId w:val="13"/>
              </w:numPr>
              <w:adjustRightInd w:val="0"/>
              <w:snapToGrid w:val="0"/>
              <w:spacing w:after="0" w:line="240" w:lineRule="auto"/>
              <w:rPr>
                <w:rFonts w:ascii="Arial Narrow" w:hAnsi="Arial Narrow" w:cs="Arial"/>
                <w:sz w:val="16"/>
                <w:szCs w:val="16"/>
              </w:rPr>
            </w:pPr>
            <w:r w:rsidRPr="000C41DE">
              <w:rPr>
                <w:rFonts w:ascii="Arial Narrow" w:hAnsi="Arial Narrow" w:cs="Arial"/>
                <w:b/>
                <w:i/>
                <w:sz w:val="16"/>
                <w:szCs w:val="16"/>
              </w:rPr>
              <w:t>Health &amp; Disability (2005)</w:t>
            </w:r>
          </w:p>
        </w:tc>
      </w:tr>
      <w:tr w:rsidR="000C5578" w:rsidRPr="00D13BC1" w14:paraId="793D3031" w14:textId="77777777" w:rsidTr="000C41DE">
        <w:trPr>
          <w:trHeight w:val="225"/>
        </w:trPr>
        <w:tc>
          <w:tcPr>
            <w:tcW w:w="1985" w:type="dxa"/>
            <w:tcBorders>
              <w:top w:val="single" w:sz="4" w:space="0" w:color="auto"/>
              <w:right w:val="single" w:sz="4" w:space="0" w:color="auto"/>
            </w:tcBorders>
            <w:shd w:val="clear" w:color="auto" w:fill="auto"/>
            <w:vAlign w:val="center"/>
            <w:hideMark/>
          </w:tcPr>
          <w:p w14:paraId="31D6899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NCD</w:t>
            </w:r>
          </w:p>
        </w:tc>
        <w:tc>
          <w:tcPr>
            <w:tcW w:w="992" w:type="dxa"/>
            <w:tcBorders>
              <w:top w:val="single" w:sz="4" w:space="0" w:color="auto"/>
              <w:left w:val="single" w:sz="4" w:space="0" w:color="auto"/>
            </w:tcBorders>
            <w:shd w:val="clear" w:color="auto" w:fill="auto"/>
            <w:noWrap/>
            <w:vAlign w:val="center"/>
            <w:hideMark/>
          </w:tcPr>
          <w:p w14:paraId="0E6A560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tcBorders>
              <w:top w:val="single" w:sz="4" w:space="0" w:color="auto"/>
            </w:tcBorders>
            <w:shd w:val="clear" w:color="auto" w:fill="auto"/>
            <w:noWrap/>
            <w:vAlign w:val="center"/>
            <w:hideMark/>
          </w:tcPr>
          <w:p w14:paraId="207420E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tcBorders>
              <w:top w:val="single" w:sz="4" w:space="0" w:color="auto"/>
            </w:tcBorders>
            <w:shd w:val="clear" w:color="auto" w:fill="auto"/>
            <w:noWrap/>
            <w:vAlign w:val="center"/>
            <w:hideMark/>
          </w:tcPr>
          <w:p w14:paraId="221EA17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top w:val="single" w:sz="4" w:space="0" w:color="auto"/>
              <w:right w:val="single" w:sz="4" w:space="0" w:color="auto"/>
            </w:tcBorders>
            <w:vAlign w:val="center"/>
          </w:tcPr>
          <w:p w14:paraId="0C246B5C"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top w:val="single" w:sz="4" w:space="0" w:color="auto"/>
              <w:left w:val="single" w:sz="4" w:space="0" w:color="auto"/>
            </w:tcBorders>
            <w:shd w:val="clear" w:color="auto" w:fill="auto"/>
            <w:noWrap/>
            <w:vAlign w:val="center"/>
            <w:hideMark/>
          </w:tcPr>
          <w:p w14:paraId="6C374CD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tcBorders>
              <w:top w:val="single" w:sz="4" w:space="0" w:color="auto"/>
            </w:tcBorders>
            <w:shd w:val="clear" w:color="auto" w:fill="auto"/>
            <w:noWrap/>
            <w:vAlign w:val="center"/>
            <w:hideMark/>
          </w:tcPr>
          <w:p w14:paraId="208B923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tcBorders>
              <w:top w:val="single" w:sz="4" w:space="0" w:color="auto"/>
            </w:tcBorders>
            <w:shd w:val="clear" w:color="auto" w:fill="auto"/>
            <w:noWrap/>
            <w:vAlign w:val="center"/>
            <w:hideMark/>
          </w:tcPr>
          <w:p w14:paraId="25755E8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top w:val="single" w:sz="4" w:space="0" w:color="auto"/>
            </w:tcBorders>
            <w:vAlign w:val="bottom"/>
          </w:tcPr>
          <w:p w14:paraId="22B79E36"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1D4E181C" w14:textId="77777777" w:rsidTr="000C41DE">
        <w:trPr>
          <w:trHeight w:val="225"/>
        </w:trPr>
        <w:tc>
          <w:tcPr>
            <w:tcW w:w="1985" w:type="dxa"/>
            <w:tcBorders>
              <w:right w:val="single" w:sz="4" w:space="0" w:color="auto"/>
            </w:tcBorders>
            <w:shd w:val="clear" w:color="auto" w:fill="auto"/>
            <w:noWrap/>
            <w:vAlign w:val="center"/>
            <w:hideMark/>
          </w:tcPr>
          <w:p w14:paraId="3B6EB8F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Yes</w:t>
            </w:r>
          </w:p>
        </w:tc>
        <w:tc>
          <w:tcPr>
            <w:tcW w:w="992" w:type="dxa"/>
            <w:tcBorders>
              <w:left w:val="single" w:sz="4" w:space="0" w:color="auto"/>
            </w:tcBorders>
            <w:shd w:val="clear" w:color="auto" w:fill="auto"/>
            <w:noWrap/>
            <w:vAlign w:val="center"/>
            <w:hideMark/>
          </w:tcPr>
          <w:p w14:paraId="21B9DA2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0.0116***</w:t>
            </w:r>
          </w:p>
        </w:tc>
        <w:tc>
          <w:tcPr>
            <w:tcW w:w="909" w:type="dxa"/>
            <w:shd w:val="clear" w:color="auto" w:fill="auto"/>
            <w:noWrap/>
            <w:vAlign w:val="center"/>
            <w:hideMark/>
          </w:tcPr>
          <w:p w14:paraId="71F3EE6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0.0155***</w:t>
            </w:r>
          </w:p>
        </w:tc>
        <w:tc>
          <w:tcPr>
            <w:tcW w:w="909" w:type="dxa"/>
            <w:shd w:val="clear" w:color="auto" w:fill="auto"/>
            <w:noWrap/>
            <w:vAlign w:val="center"/>
            <w:hideMark/>
          </w:tcPr>
          <w:p w14:paraId="360CC6A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-0.0271***</w:t>
            </w:r>
          </w:p>
        </w:tc>
        <w:tc>
          <w:tcPr>
            <w:tcW w:w="822" w:type="dxa"/>
            <w:tcBorders>
              <w:right w:val="single" w:sz="4" w:space="0" w:color="auto"/>
            </w:tcBorders>
            <w:vAlign w:val="center"/>
          </w:tcPr>
          <w:p w14:paraId="232D85D4"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-0.0387</w:t>
            </w:r>
          </w:p>
        </w:tc>
        <w:tc>
          <w:tcPr>
            <w:tcW w:w="992" w:type="dxa"/>
            <w:tcBorders>
              <w:left w:val="single" w:sz="4" w:space="0" w:color="auto"/>
            </w:tcBorders>
            <w:shd w:val="clear" w:color="auto" w:fill="auto"/>
            <w:noWrap/>
            <w:vAlign w:val="center"/>
            <w:hideMark/>
          </w:tcPr>
          <w:p w14:paraId="2473E05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-0.00614**</w:t>
            </w:r>
          </w:p>
        </w:tc>
        <w:tc>
          <w:tcPr>
            <w:tcW w:w="917" w:type="dxa"/>
            <w:shd w:val="clear" w:color="auto" w:fill="auto"/>
            <w:noWrap/>
            <w:vAlign w:val="center"/>
            <w:hideMark/>
          </w:tcPr>
          <w:p w14:paraId="0C72710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-0.0171**</w:t>
            </w:r>
          </w:p>
        </w:tc>
        <w:tc>
          <w:tcPr>
            <w:tcW w:w="1079" w:type="dxa"/>
            <w:gridSpan w:val="2"/>
            <w:shd w:val="clear" w:color="auto" w:fill="auto"/>
            <w:noWrap/>
            <w:vAlign w:val="center"/>
            <w:hideMark/>
          </w:tcPr>
          <w:p w14:paraId="1D65EF7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0.0232**</w:t>
            </w:r>
          </w:p>
        </w:tc>
        <w:tc>
          <w:tcPr>
            <w:tcW w:w="822" w:type="dxa"/>
            <w:vAlign w:val="center"/>
          </w:tcPr>
          <w:p w14:paraId="6AA028E7"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0.0293</w:t>
            </w:r>
          </w:p>
        </w:tc>
      </w:tr>
      <w:tr w:rsidR="000C5578" w:rsidRPr="00D13BC1" w14:paraId="38C65668" w14:textId="77777777" w:rsidTr="000C41DE">
        <w:trPr>
          <w:trHeight w:val="225"/>
        </w:trPr>
        <w:tc>
          <w:tcPr>
            <w:tcW w:w="1985" w:type="dxa"/>
            <w:tcBorders>
              <w:right w:val="single" w:sz="4" w:space="0" w:color="auto"/>
            </w:tcBorders>
            <w:shd w:val="clear" w:color="auto" w:fill="auto"/>
            <w:vAlign w:val="bottom"/>
            <w:hideMark/>
          </w:tcPr>
          <w:p w14:paraId="57FFBD1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090704A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(0.00428)</w:t>
            </w:r>
          </w:p>
        </w:tc>
        <w:tc>
          <w:tcPr>
            <w:tcW w:w="909" w:type="dxa"/>
            <w:shd w:val="clear" w:color="auto" w:fill="auto"/>
            <w:noWrap/>
            <w:vAlign w:val="center"/>
            <w:hideMark/>
          </w:tcPr>
          <w:p w14:paraId="6D4A9C4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(0.00525)</w:t>
            </w:r>
          </w:p>
        </w:tc>
        <w:tc>
          <w:tcPr>
            <w:tcW w:w="909" w:type="dxa"/>
            <w:shd w:val="clear" w:color="auto" w:fill="auto"/>
            <w:noWrap/>
            <w:vAlign w:val="center"/>
            <w:hideMark/>
          </w:tcPr>
          <w:p w14:paraId="625A950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(0.00952)</w:t>
            </w:r>
          </w:p>
        </w:tc>
        <w:tc>
          <w:tcPr>
            <w:tcW w:w="822" w:type="dxa"/>
            <w:tcBorders>
              <w:right w:val="single" w:sz="4" w:space="0" w:color="auto"/>
            </w:tcBorders>
            <w:vAlign w:val="center"/>
          </w:tcPr>
          <w:p w14:paraId="48132433"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2160946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(0.00253)</w:t>
            </w:r>
          </w:p>
        </w:tc>
        <w:tc>
          <w:tcPr>
            <w:tcW w:w="917" w:type="dxa"/>
            <w:shd w:val="clear" w:color="auto" w:fill="auto"/>
            <w:noWrap/>
            <w:vAlign w:val="center"/>
            <w:hideMark/>
          </w:tcPr>
          <w:p w14:paraId="11298E5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(0.00752)</w:t>
            </w:r>
          </w:p>
        </w:tc>
        <w:tc>
          <w:tcPr>
            <w:tcW w:w="1079" w:type="dxa"/>
            <w:gridSpan w:val="2"/>
            <w:shd w:val="clear" w:color="auto" w:fill="auto"/>
            <w:noWrap/>
            <w:vAlign w:val="center"/>
            <w:hideMark/>
          </w:tcPr>
          <w:p w14:paraId="024609B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(0.01000)</w:t>
            </w:r>
          </w:p>
        </w:tc>
        <w:tc>
          <w:tcPr>
            <w:tcW w:w="822" w:type="dxa"/>
            <w:vAlign w:val="center"/>
          </w:tcPr>
          <w:p w14:paraId="53EFFCE9"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6B6EAF21" w14:textId="77777777" w:rsidTr="000C41DE">
        <w:trPr>
          <w:trHeight w:val="225"/>
        </w:trPr>
        <w:tc>
          <w:tcPr>
            <w:tcW w:w="1985" w:type="dxa"/>
            <w:tcBorders>
              <w:right w:val="single" w:sz="4" w:space="0" w:color="auto"/>
            </w:tcBorders>
            <w:shd w:val="clear" w:color="auto" w:fill="auto"/>
            <w:noWrap/>
            <w:vAlign w:val="center"/>
            <w:hideMark/>
          </w:tcPr>
          <w:p w14:paraId="2BEDA382"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Disability</w:t>
            </w:r>
          </w:p>
        </w:tc>
        <w:tc>
          <w:tcPr>
            <w:tcW w:w="992" w:type="dxa"/>
            <w:tcBorders>
              <w:left w:val="single" w:sz="4" w:space="0" w:color="auto"/>
            </w:tcBorders>
            <w:shd w:val="clear" w:color="auto" w:fill="auto"/>
            <w:noWrap/>
            <w:vAlign w:val="center"/>
            <w:hideMark/>
          </w:tcPr>
          <w:p w14:paraId="56A66FE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center"/>
            <w:hideMark/>
          </w:tcPr>
          <w:p w14:paraId="4A1F6A7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center"/>
            <w:hideMark/>
          </w:tcPr>
          <w:p w14:paraId="32448C5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822" w:type="dxa"/>
            <w:tcBorders>
              <w:right w:val="single" w:sz="4" w:space="0" w:color="auto"/>
            </w:tcBorders>
            <w:vAlign w:val="center"/>
          </w:tcPr>
          <w:p w14:paraId="0AC873B2"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470B2CD6"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12C3D7E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7E3F4BD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822" w:type="dxa"/>
            <w:vAlign w:val="bottom"/>
          </w:tcPr>
          <w:p w14:paraId="5D4CEEB6"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D13BC1" w14:paraId="35ECF8FC" w14:textId="77777777" w:rsidTr="000C41DE">
        <w:trPr>
          <w:trHeight w:val="225"/>
        </w:trPr>
        <w:tc>
          <w:tcPr>
            <w:tcW w:w="1985" w:type="dxa"/>
            <w:tcBorders>
              <w:right w:val="single" w:sz="4" w:space="0" w:color="auto"/>
            </w:tcBorders>
            <w:shd w:val="clear" w:color="auto" w:fill="auto"/>
            <w:vAlign w:val="center"/>
            <w:hideMark/>
          </w:tcPr>
          <w:p w14:paraId="10417E3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 xml:space="preserve">  Yes</w:t>
            </w:r>
          </w:p>
        </w:tc>
        <w:tc>
          <w:tcPr>
            <w:tcW w:w="992" w:type="dxa"/>
            <w:tcBorders>
              <w:left w:val="single" w:sz="4" w:space="0" w:color="auto"/>
            </w:tcBorders>
            <w:shd w:val="clear" w:color="auto" w:fill="auto"/>
            <w:noWrap/>
            <w:vAlign w:val="center"/>
            <w:hideMark/>
          </w:tcPr>
          <w:p w14:paraId="3B9426A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0.0239***</w:t>
            </w:r>
          </w:p>
        </w:tc>
        <w:tc>
          <w:tcPr>
            <w:tcW w:w="909" w:type="dxa"/>
            <w:shd w:val="clear" w:color="auto" w:fill="auto"/>
            <w:noWrap/>
            <w:vAlign w:val="center"/>
            <w:hideMark/>
          </w:tcPr>
          <w:p w14:paraId="3D9B9542"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0.0287***</w:t>
            </w:r>
          </w:p>
        </w:tc>
        <w:tc>
          <w:tcPr>
            <w:tcW w:w="909" w:type="dxa"/>
            <w:shd w:val="clear" w:color="auto" w:fill="auto"/>
            <w:noWrap/>
            <w:vAlign w:val="center"/>
            <w:hideMark/>
          </w:tcPr>
          <w:p w14:paraId="14B9CE7C"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-0.0527***</w:t>
            </w:r>
          </w:p>
        </w:tc>
        <w:tc>
          <w:tcPr>
            <w:tcW w:w="822" w:type="dxa"/>
            <w:tcBorders>
              <w:right w:val="single" w:sz="4" w:space="0" w:color="auto"/>
            </w:tcBorders>
            <w:vAlign w:val="center"/>
          </w:tcPr>
          <w:p w14:paraId="373325CB"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color w:val="000000"/>
                <w:sz w:val="16"/>
                <w:szCs w:val="16"/>
              </w:rPr>
              <w:t>-0.0767</w:t>
            </w:r>
          </w:p>
        </w:tc>
        <w:tc>
          <w:tcPr>
            <w:tcW w:w="992" w:type="dxa"/>
            <w:tcBorders>
              <w:left w:val="single" w:sz="4" w:space="0" w:color="auto"/>
            </w:tcBorders>
            <w:shd w:val="clear" w:color="auto" w:fill="auto"/>
            <w:noWrap/>
            <w:vAlign w:val="center"/>
            <w:hideMark/>
          </w:tcPr>
          <w:p w14:paraId="403D9FCF"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0.00803</w:t>
            </w:r>
          </w:p>
        </w:tc>
        <w:tc>
          <w:tcPr>
            <w:tcW w:w="917" w:type="dxa"/>
            <w:shd w:val="clear" w:color="auto" w:fill="auto"/>
            <w:noWrap/>
            <w:vAlign w:val="center"/>
            <w:hideMark/>
          </w:tcPr>
          <w:p w14:paraId="1728917B"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0.0189*</w:t>
            </w:r>
          </w:p>
        </w:tc>
        <w:tc>
          <w:tcPr>
            <w:tcW w:w="1079" w:type="dxa"/>
            <w:gridSpan w:val="2"/>
            <w:shd w:val="clear" w:color="auto" w:fill="auto"/>
            <w:noWrap/>
            <w:vAlign w:val="center"/>
            <w:hideMark/>
          </w:tcPr>
          <w:p w14:paraId="0A61E7E4"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-0.0270*</w:t>
            </w:r>
          </w:p>
        </w:tc>
        <w:tc>
          <w:tcPr>
            <w:tcW w:w="822" w:type="dxa"/>
            <w:vAlign w:val="center"/>
          </w:tcPr>
          <w:p w14:paraId="6909BEE3"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color w:val="000000"/>
                <w:sz w:val="16"/>
                <w:szCs w:val="16"/>
              </w:rPr>
              <w:t>-0.0351</w:t>
            </w:r>
          </w:p>
        </w:tc>
      </w:tr>
      <w:tr w:rsidR="000C5578" w:rsidRPr="00D13BC1" w14:paraId="6B31CE64" w14:textId="77777777" w:rsidTr="000C41DE">
        <w:trPr>
          <w:trHeight w:val="225"/>
        </w:trPr>
        <w:tc>
          <w:tcPr>
            <w:tcW w:w="1985" w:type="dxa"/>
            <w:tcBorders>
              <w:bottom w:val="single" w:sz="4" w:space="0" w:color="auto"/>
              <w:right w:val="single" w:sz="4" w:space="0" w:color="auto"/>
            </w:tcBorders>
            <w:shd w:val="clear" w:color="auto" w:fill="auto"/>
            <w:vAlign w:val="bottom"/>
            <w:hideMark/>
          </w:tcPr>
          <w:p w14:paraId="5F18B250"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bottom w:val="single" w:sz="4" w:space="0" w:color="auto"/>
            </w:tcBorders>
            <w:shd w:val="clear" w:color="auto" w:fill="auto"/>
            <w:noWrap/>
            <w:vAlign w:val="center"/>
            <w:hideMark/>
          </w:tcPr>
          <w:p w14:paraId="517D8DF0"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(0.00755)</w:t>
            </w:r>
          </w:p>
        </w:tc>
        <w:tc>
          <w:tcPr>
            <w:tcW w:w="909" w:type="dxa"/>
            <w:tcBorders>
              <w:bottom w:val="single" w:sz="4" w:space="0" w:color="auto"/>
            </w:tcBorders>
            <w:shd w:val="clear" w:color="auto" w:fill="auto"/>
            <w:noWrap/>
            <w:vAlign w:val="center"/>
            <w:hideMark/>
          </w:tcPr>
          <w:p w14:paraId="58BB191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(0.00739)</w:t>
            </w:r>
          </w:p>
        </w:tc>
        <w:tc>
          <w:tcPr>
            <w:tcW w:w="909" w:type="dxa"/>
            <w:tcBorders>
              <w:bottom w:val="single" w:sz="4" w:space="0" w:color="auto"/>
            </w:tcBorders>
            <w:shd w:val="clear" w:color="auto" w:fill="auto"/>
            <w:noWrap/>
            <w:vAlign w:val="center"/>
            <w:hideMark/>
          </w:tcPr>
          <w:p w14:paraId="1CBE4639"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(0.01490)</w:t>
            </w:r>
          </w:p>
        </w:tc>
        <w:tc>
          <w:tcPr>
            <w:tcW w:w="822" w:type="dxa"/>
            <w:tcBorders>
              <w:bottom w:val="single" w:sz="4" w:space="0" w:color="auto"/>
              <w:right w:val="single" w:sz="4" w:space="0" w:color="auto"/>
            </w:tcBorders>
            <w:vAlign w:val="center"/>
          </w:tcPr>
          <w:p w14:paraId="4A98BB65"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left w:val="single" w:sz="4" w:space="0" w:color="auto"/>
              <w:bottom w:val="single" w:sz="4" w:space="0" w:color="auto"/>
            </w:tcBorders>
            <w:shd w:val="clear" w:color="auto" w:fill="auto"/>
            <w:noWrap/>
            <w:vAlign w:val="center"/>
            <w:hideMark/>
          </w:tcPr>
          <w:p w14:paraId="6059DE7E"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(0.00496)</w:t>
            </w:r>
          </w:p>
        </w:tc>
        <w:tc>
          <w:tcPr>
            <w:tcW w:w="917" w:type="dxa"/>
            <w:tcBorders>
              <w:bottom w:val="single" w:sz="4" w:space="0" w:color="auto"/>
            </w:tcBorders>
            <w:shd w:val="clear" w:color="auto" w:fill="auto"/>
            <w:noWrap/>
            <w:vAlign w:val="center"/>
            <w:hideMark/>
          </w:tcPr>
          <w:p w14:paraId="72B96894"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(0.01060)</w:t>
            </w:r>
          </w:p>
        </w:tc>
        <w:tc>
          <w:tcPr>
            <w:tcW w:w="1079" w:type="dxa"/>
            <w:gridSpan w:val="2"/>
            <w:tcBorders>
              <w:bottom w:val="single" w:sz="4" w:space="0" w:color="auto"/>
            </w:tcBorders>
            <w:shd w:val="clear" w:color="auto" w:fill="auto"/>
            <w:noWrap/>
            <w:vAlign w:val="center"/>
            <w:hideMark/>
          </w:tcPr>
          <w:p w14:paraId="4DEDE9AE"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(0.01560)</w:t>
            </w:r>
          </w:p>
        </w:tc>
        <w:tc>
          <w:tcPr>
            <w:tcW w:w="822" w:type="dxa"/>
            <w:tcBorders>
              <w:bottom w:val="single" w:sz="4" w:space="0" w:color="auto"/>
            </w:tcBorders>
            <w:vAlign w:val="center"/>
          </w:tcPr>
          <w:p w14:paraId="3B2A920D"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41DE" w:rsidRPr="00682B9C" w14:paraId="3CD33DEE" w14:textId="77777777" w:rsidTr="000C41DE">
        <w:trPr>
          <w:trHeight w:val="225"/>
        </w:trPr>
        <w:tc>
          <w:tcPr>
            <w:tcW w:w="9427" w:type="dxa"/>
            <w:gridSpan w:val="10"/>
            <w:tcBorders>
              <w:top w:val="single" w:sz="4" w:space="0" w:color="auto"/>
              <w:bottom w:val="single" w:sz="4" w:space="0" w:color="auto"/>
            </w:tcBorders>
            <w:shd w:val="clear" w:color="auto" w:fill="auto"/>
            <w:noWrap/>
            <w:vAlign w:val="center"/>
          </w:tcPr>
          <w:p w14:paraId="70C7D214" w14:textId="77777777" w:rsidR="000C41DE" w:rsidRPr="000C41DE" w:rsidRDefault="000C41DE" w:rsidP="000C41DE">
            <w:pPr>
              <w:pStyle w:val="ListParagraph"/>
              <w:numPr>
                <w:ilvl w:val="0"/>
                <w:numId w:val="13"/>
              </w:numPr>
              <w:adjustRightInd w:val="0"/>
              <w:snapToGrid w:val="0"/>
              <w:spacing w:after="0" w:line="240" w:lineRule="auto"/>
              <w:rPr>
                <w:rFonts w:ascii="Arial Narrow" w:hAnsi="Arial Narrow" w:cs="Arial"/>
                <w:b/>
                <w:i/>
                <w:sz w:val="16"/>
                <w:szCs w:val="16"/>
              </w:rPr>
            </w:pPr>
            <w:r w:rsidRPr="000C41DE">
              <w:rPr>
                <w:rFonts w:ascii="Arial Narrow" w:hAnsi="Arial Narrow" w:cs="Arial"/>
                <w:b/>
                <w:i/>
                <w:sz w:val="16"/>
                <w:szCs w:val="16"/>
              </w:rPr>
              <w:t>Media Access</w:t>
            </w:r>
          </w:p>
        </w:tc>
      </w:tr>
      <w:tr w:rsidR="000C5578" w:rsidRPr="00D13BC1" w14:paraId="5AE26DF4" w14:textId="77777777" w:rsidTr="000C41DE">
        <w:trPr>
          <w:trHeight w:val="225"/>
        </w:trPr>
        <w:tc>
          <w:tcPr>
            <w:tcW w:w="1985" w:type="dxa"/>
            <w:tcBorders>
              <w:top w:val="single" w:sz="4" w:space="0" w:color="auto"/>
              <w:right w:val="single" w:sz="4" w:space="0" w:color="auto"/>
            </w:tcBorders>
            <w:shd w:val="clear" w:color="auto" w:fill="auto"/>
            <w:noWrap/>
            <w:vAlign w:val="center"/>
            <w:hideMark/>
          </w:tcPr>
          <w:p w14:paraId="0EFBA64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Radio regular Men</w:t>
            </w:r>
          </w:p>
        </w:tc>
        <w:tc>
          <w:tcPr>
            <w:tcW w:w="992" w:type="dxa"/>
            <w:tcBorders>
              <w:top w:val="single" w:sz="4" w:space="0" w:color="auto"/>
              <w:left w:val="single" w:sz="4" w:space="0" w:color="auto"/>
            </w:tcBorders>
            <w:shd w:val="clear" w:color="auto" w:fill="auto"/>
            <w:noWrap/>
            <w:vAlign w:val="center"/>
            <w:hideMark/>
          </w:tcPr>
          <w:p w14:paraId="672600C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hideMark/>
          </w:tcPr>
          <w:p w14:paraId="37F9959C"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hideMark/>
          </w:tcPr>
          <w:p w14:paraId="7CED530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top w:val="single" w:sz="4" w:space="0" w:color="auto"/>
              <w:right w:val="single" w:sz="4" w:space="0" w:color="auto"/>
            </w:tcBorders>
            <w:vAlign w:val="center"/>
          </w:tcPr>
          <w:p w14:paraId="3797B0E0"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top w:val="single" w:sz="4" w:space="0" w:color="auto"/>
              <w:left w:val="single" w:sz="4" w:space="0" w:color="auto"/>
            </w:tcBorders>
            <w:shd w:val="clear" w:color="auto" w:fill="auto"/>
            <w:noWrap/>
            <w:vAlign w:val="center"/>
            <w:hideMark/>
          </w:tcPr>
          <w:p w14:paraId="5169602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tcBorders>
              <w:top w:val="single" w:sz="4" w:space="0" w:color="auto"/>
            </w:tcBorders>
            <w:shd w:val="clear" w:color="auto" w:fill="auto"/>
            <w:noWrap/>
            <w:vAlign w:val="center"/>
            <w:hideMark/>
          </w:tcPr>
          <w:p w14:paraId="529AD61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tcBorders>
              <w:top w:val="single" w:sz="4" w:space="0" w:color="auto"/>
            </w:tcBorders>
            <w:shd w:val="clear" w:color="auto" w:fill="auto"/>
            <w:noWrap/>
            <w:vAlign w:val="center"/>
            <w:hideMark/>
          </w:tcPr>
          <w:p w14:paraId="191512D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top w:val="single" w:sz="4" w:space="0" w:color="auto"/>
            </w:tcBorders>
            <w:vAlign w:val="bottom"/>
          </w:tcPr>
          <w:p w14:paraId="5880A90E"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219F89DA" w14:textId="77777777" w:rsidTr="000C41DE">
        <w:trPr>
          <w:trHeight w:val="225"/>
        </w:trPr>
        <w:tc>
          <w:tcPr>
            <w:tcW w:w="1985" w:type="dxa"/>
            <w:tcBorders>
              <w:right w:val="single" w:sz="4" w:space="0" w:color="auto"/>
            </w:tcBorders>
            <w:shd w:val="clear" w:color="auto" w:fill="auto"/>
            <w:vAlign w:val="center"/>
            <w:hideMark/>
          </w:tcPr>
          <w:p w14:paraId="3BA10AC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Regularly</w:t>
            </w:r>
          </w:p>
        </w:tc>
        <w:tc>
          <w:tcPr>
            <w:tcW w:w="992" w:type="dxa"/>
            <w:tcBorders>
              <w:left w:val="single" w:sz="4" w:space="0" w:color="auto"/>
            </w:tcBorders>
            <w:shd w:val="clear" w:color="auto" w:fill="auto"/>
            <w:noWrap/>
            <w:vAlign w:val="center"/>
            <w:hideMark/>
          </w:tcPr>
          <w:p w14:paraId="2C262AD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-0.0259***</w:t>
            </w:r>
          </w:p>
        </w:tc>
        <w:tc>
          <w:tcPr>
            <w:tcW w:w="909" w:type="dxa"/>
            <w:shd w:val="clear" w:color="auto" w:fill="auto"/>
            <w:noWrap/>
            <w:vAlign w:val="center"/>
            <w:hideMark/>
          </w:tcPr>
          <w:p w14:paraId="4F4536D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-0.0445***</w:t>
            </w:r>
          </w:p>
        </w:tc>
        <w:tc>
          <w:tcPr>
            <w:tcW w:w="909" w:type="dxa"/>
            <w:shd w:val="clear" w:color="auto" w:fill="auto"/>
            <w:noWrap/>
            <w:vAlign w:val="center"/>
            <w:hideMark/>
          </w:tcPr>
          <w:p w14:paraId="2D55C8A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0.0704***</w:t>
            </w:r>
          </w:p>
        </w:tc>
        <w:tc>
          <w:tcPr>
            <w:tcW w:w="822" w:type="dxa"/>
            <w:tcBorders>
              <w:right w:val="single" w:sz="4" w:space="0" w:color="auto"/>
            </w:tcBorders>
            <w:vAlign w:val="center"/>
          </w:tcPr>
          <w:p w14:paraId="4F003DE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0.0963</w:t>
            </w:r>
          </w:p>
        </w:tc>
        <w:tc>
          <w:tcPr>
            <w:tcW w:w="992" w:type="dxa"/>
            <w:tcBorders>
              <w:left w:val="single" w:sz="4" w:space="0" w:color="auto"/>
            </w:tcBorders>
            <w:shd w:val="clear" w:color="auto" w:fill="auto"/>
            <w:noWrap/>
            <w:vAlign w:val="center"/>
            <w:hideMark/>
          </w:tcPr>
          <w:p w14:paraId="5753DBC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0.00275</w:t>
            </w:r>
          </w:p>
        </w:tc>
        <w:tc>
          <w:tcPr>
            <w:tcW w:w="917" w:type="dxa"/>
            <w:shd w:val="clear" w:color="auto" w:fill="auto"/>
            <w:noWrap/>
            <w:vAlign w:val="center"/>
            <w:hideMark/>
          </w:tcPr>
          <w:p w14:paraId="47241E3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0.00695</w:t>
            </w:r>
          </w:p>
        </w:tc>
        <w:tc>
          <w:tcPr>
            <w:tcW w:w="1079" w:type="dxa"/>
            <w:gridSpan w:val="2"/>
            <w:shd w:val="clear" w:color="auto" w:fill="auto"/>
            <w:noWrap/>
            <w:vAlign w:val="center"/>
            <w:hideMark/>
          </w:tcPr>
          <w:p w14:paraId="4FA8F10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-0.0097</w:t>
            </w:r>
          </w:p>
        </w:tc>
        <w:tc>
          <w:tcPr>
            <w:tcW w:w="822" w:type="dxa"/>
            <w:vAlign w:val="center"/>
          </w:tcPr>
          <w:p w14:paraId="1F33CF2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-0.01245</w:t>
            </w:r>
          </w:p>
        </w:tc>
      </w:tr>
      <w:tr w:rsidR="000C5578" w:rsidRPr="00D13BC1" w14:paraId="33CC3D34" w14:textId="77777777" w:rsidTr="000C41DE">
        <w:trPr>
          <w:trHeight w:val="225"/>
        </w:trPr>
        <w:tc>
          <w:tcPr>
            <w:tcW w:w="1985" w:type="dxa"/>
            <w:tcBorders>
              <w:right w:val="single" w:sz="4" w:space="0" w:color="auto"/>
            </w:tcBorders>
            <w:shd w:val="clear" w:color="auto" w:fill="auto"/>
            <w:vAlign w:val="bottom"/>
            <w:hideMark/>
          </w:tcPr>
          <w:p w14:paraId="007832E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1E44D4E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(0.00425)</w:t>
            </w:r>
          </w:p>
        </w:tc>
        <w:tc>
          <w:tcPr>
            <w:tcW w:w="909" w:type="dxa"/>
            <w:shd w:val="clear" w:color="auto" w:fill="auto"/>
            <w:noWrap/>
            <w:vAlign w:val="center"/>
            <w:hideMark/>
          </w:tcPr>
          <w:p w14:paraId="51A882B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(0.00861)</w:t>
            </w:r>
          </w:p>
        </w:tc>
        <w:tc>
          <w:tcPr>
            <w:tcW w:w="909" w:type="dxa"/>
            <w:shd w:val="clear" w:color="auto" w:fill="auto"/>
            <w:noWrap/>
            <w:vAlign w:val="center"/>
            <w:hideMark/>
          </w:tcPr>
          <w:p w14:paraId="48ABF29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(0.01280)</w:t>
            </w:r>
          </w:p>
        </w:tc>
        <w:tc>
          <w:tcPr>
            <w:tcW w:w="822" w:type="dxa"/>
            <w:tcBorders>
              <w:right w:val="single" w:sz="4" w:space="0" w:color="auto"/>
            </w:tcBorders>
            <w:vAlign w:val="center"/>
          </w:tcPr>
          <w:p w14:paraId="0787A637"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7A00476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(0.00359)</w:t>
            </w:r>
          </w:p>
        </w:tc>
        <w:tc>
          <w:tcPr>
            <w:tcW w:w="917" w:type="dxa"/>
            <w:shd w:val="clear" w:color="auto" w:fill="auto"/>
            <w:noWrap/>
            <w:vAlign w:val="center"/>
            <w:hideMark/>
          </w:tcPr>
          <w:p w14:paraId="77BFEF7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(0.00884)</w:t>
            </w:r>
          </w:p>
        </w:tc>
        <w:tc>
          <w:tcPr>
            <w:tcW w:w="1079" w:type="dxa"/>
            <w:gridSpan w:val="2"/>
            <w:shd w:val="clear" w:color="auto" w:fill="auto"/>
            <w:noWrap/>
            <w:vAlign w:val="center"/>
            <w:hideMark/>
          </w:tcPr>
          <w:p w14:paraId="1952992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(0.01240)</w:t>
            </w:r>
          </w:p>
        </w:tc>
        <w:tc>
          <w:tcPr>
            <w:tcW w:w="822" w:type="dxa"/>
            <w:vAlign w:val="center"/>
          </w:tcPr>
          <w:p w14:paraId="10CA1675"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5AB304B9" w14:textId="77777777" w:rsidTr="000C41DE">
        <w:trPr>
          <w:trHeight w:val="225"/>
        </w:trPr>
        <w:tc>
          <w:tcPr>
            <w:tcW w:w="1985" w:type="dxa"/>
            <w:tcBorders>
              <w:right w:val="single" w:sz="4" w:space="0" w:color="auto"/>
            </w:tcBorders>
            <w:shd w:val="clear" w:color="auto" w:fill="auto"/>
            <w:noWrap/>
            <w:vAlign w:val="center"/>
            <w:hideMark/>
          </w:tcPr>
          <w:p w14:paraId="3D54BE4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Radio regular Women</w:t>
            </w:r>
          </w:p>
        </w:tc>
        <w:tc>
          <w:tcPr>
            <w:tcW w:w="992" w:type="dxa"/>
            <w:tcBorders>
              <w:left w:val="single" w:sz="4" w:space="0" w:color="auto"/>
            </w:tcBorders>
            <w:shd w:val="clear" w:color="auto" w:fill="auto"/>
            <w:noWrap/>
            <w:vAlign w:val="center"/>
            <w:hideMark/>
          </w:tcPr>
          <w:p w14:paraId="77152B3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0228EE3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7747CE8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right w:val="single" w:sz="4" w:space="0" w:color="auto"/>
            </w:tcBorders>
            <w:vAlign w:val="center"/>
          </w:tcPr>
          <w:p w14:paraId="18CC133A"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680A695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7279180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2A9CDA4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vAlign w:val="bottom"/>
          </w:tcPr>
          <w:p w14:paraId="5E6EC61C"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63CD97E8" w14:textId="77777777" w:rsidTr="000C41DE">
        <w:trPr>
          <w:trHeight w:val="225"/>
        </w:trPr>
        <w:tc>
          <w:tcPr>
            <w:tcW w:w="1985" w:type="dxa"/>
            <w:tcBorders>
              <w:right w:val="single" w:sz="4" w:space="0" w:color="auto"/>
            </w:tcBorders>
            <w:shd w:val="clear" w:color="auto" w:fill="auto"/>
            <w:vAlign w:val="center"/>
            <w:hideMark/>
          </w:tcPr>
          <w:p w14:paraId="20C9244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 xml:space="preserve">  Regularly</w:t>
            </w:r>
          </w:p>
        </w:tc>
        <w:tc>
          <w:tcPr>
            <w:tcW w:w="992" w:type="dxa"/>
            <w:tcBorders>
              <w:left w:val="single" w:sz="4" w:space="0" w:color="auto"/>
            </w:tcBorders>
            <w:shd w:val="clear" w:color="auto" w:fill="auto"/>
            <w:noWrap/>
            <w:vAlign w:val="center"/>
            <w:hideMark/>
          </w:tcPr>
          <w:p w14:paraId="5F81369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0.0162***</w:t>
            </w:r>
          </w:p>
        </w:tc>
        <w:tc>
          <w:tcPr>
            <w:tcW w:w="909" w:type="dxa"/>
            <w:shd w:val="clear" w:color="auto" w:fill="auto"/>
            <w:noWrap/>
            <w:vAlign w:val="center"/>
            <w:hideMark/>
          </w:tcPr>
          <w:p w14:paraId="7B1842A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0.0211***</w:t>
            </w:r>
          </w:p>
        </w:tc>
        <w:tc>
          <w:tcPr>
            <w:tcW w:w="909" w:type="dxa"/>
            <w:shd w:val="clear" w:color="auto" w:fill="auto"/>
            <w:noWrap/>
            <w:vAlign w:val="center"/>
            <w:hideMark/>
          </w:tcPr>
          <w:p w14:paraId="6CC1EDE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-0.0373***</w:t>
            </w:r>
          </w:p>
        </w:tc>
        <w:tc>
          <w:tcPr>
            <w:tcW w:w="822" w:type="dxa"/>
            <w:tcBorders>
              <w:right w:val="single" w:sz="4" w:space="0" w:color="auto"/>
            </w:tcBorders>
            <w:vAlign w:val="center"/>
          </w:tcPr>
          <w:p w14:paraId="66D0FD8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color w:val="000000"/>
                <w:sz w:val="16"/>
                <w:szCs w:val="16"/>
              </w:rPr>
              <w:t>-0.0535</w:t>
            </w:r>
          </w:p>
        </w:tc>
        <w:tc>
          <w:tcPr>
            <w:tcW w:w="992" w:type="dxa"/>
            <w:tcBorders>
              <w:left w:val="single" w:sz="4" w:space="0" w:color="auto"/>
            </w:tcBorders>
            <w:shd w:val="clear" w:color="auto" w:fill="auto"/>
            <w:noWrap/>
            <w:vAlign w:val="center"/>
            <w:hideMark/>
          </w:tcPr>
          <w:p w14:paraId="7A9BF87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-0.0018</w:t>
            </w:r>
          </w:p>
        </w:tc>
        <w:tc>
          <w:tcPr>
            <w:tcW w:w="917" w:type="dxa"/>
            <w:shd w:val="clear" w:color="auto" w:fill="auto"/>
            <w:noWrap/>
            <w:vAlign w:val="center"/>
            <w:hideMark/>
          </w:tcPr>
          <w:p w14:paraId="4C96E84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-0.00475</w:t>
            </w:r>
          </w:p>
        </w:tc>
        <w:tc>
          <w:tcPr>
            <w:tcW w:w="1079" w:type="dxa"/>
            <w:gridSpan w:val="2"/>
            <w:shd w:val="clear" w:color="auto" w:fill="auto"/>
            <w:noWrap/>
            <w:vAlign w:val="center"/>
            <w:hideMark/>
          </w:tcPr>
          <w:p w14:paraId="545AEFD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0.00655</w:t>
            </w:r>
          </w:p>
        </w:tc>
        <w:tc>
          <w:tcPr>
            <w:tcW w:w="822" w:type="dxa"/>
            <w:vAlign w:val="center"/>
          </w:tcPr>
          <w:p w14:paraId="3FB026C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color w:val="000000"/>
                <w:sz w:val="16"/>
                <w:szCs w:val="16"/>
              </w:rPr>
              <w:t>0.00835</w:t>
            </w:r>
          </w:p>
        </w:tc>
      </w:tr>
      <w:tr w:rsidR="000C5578" w:rsidRPr="00D13BC1" w14:paraId="0505F91E" w14:textId="77777777" w:rsidTr="000C41DE">
        <w:trPr>
          <w:trHeight w:val="225"/>
        </w:trPr>
        <w:tc>
          <w:tcPr>
            <w:tcW w:w="1985" w:type="dxa"/>
            <w:tcBorders>
              <w:right w:val="single" w:sz="4" w:space="0" w:color="auto"/>
            </w:tcBorders>
            <w:shd w:val="clear" w:color="auto" w:fill="auto"/>
            <w:vAlign w:val="bottom"/>
            <w:hideMark/>
          </w:tcPr>
          <w:p w14:paraId="61498EC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5DF7268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(0.00600)</w:t>
            </w:r>
          </w:p>
        </w:tc>
        <w:tc>
          <w:tcPr>
            <w:tcW w:w="909" w:type="dxa"/>
            <w:shd w:val="clear" w:color="auto" w:fill="auto"/>
            <w:noWrap/>
            <w:vAlign w:val="center"/>
            <w:hideMark/>
          </w:tcPr>
          <w:p w14:paraId="6D8F139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(0.00702)</w:t>
            </w:r>
          </w:p>
        </w:tc>
        <w:tc>
          <w:tcPr>
            <w:tcW w:w="909" w:type="dxa"/>
            <w:shd w:val="clear" w:color="auto" w:fill="auto"/>
            <w:noWrap/>
            <w:vAlign w:val="center"/>
            <w:hideMark/>
          </w:tcPr>
          <w:p w14:paraId="24F05BC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(0.01300)</w:t>
            </w:r>
          </w:p>
        </w:tc>
        <w:tc>
          <w:tcPr>
            <w:tcW w:w="822" w:type="dxa"/>
            <w:tcBorders>
              <w:right w:val="single" w:sz="4" w:space="0" w:color="auto"/>
            </w:tcBorders>
            <w:vAlign w:val="center"/>
          </w:tcPr>
          <w:p w14:paraId="33FECBB9"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0DA428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(0.00364)</w:t>
            </w:r>
          </w:p>
        </w:tc>
        <w:tc>
          <w:tcPr>
            <w:tcW w:w="917" w:type="dxa"/>
            <w:shd w:val="clear" w:color="auto" w:fill="auto"/>
            <w:noWrap/>
            <w:vAlign w:val="center"/>
            <w:hideMark/>
          </w:tcPr>
          <w:p w14:paraId="603762C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(0.00980)</w:t>
            </w:r>
          </w:p>
        </w:tc>
        <w:tc>
          <w:tcPr>
            <w:tcW w:w="1079" w:type="dxa"/>
            <w:gridSpan w:val="2"/>
            <w:shd w:val="clear" w:color="auto" w:fill="auto"/>
            <w:noWrap/>
            <w:vAlign w:val="center"/>
            <w:hideMark/>
          </w:tcPr>
          <w:p w14:paraId="47D634E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1356C3">
              <w:rPr>
                <w:rFonts w:ascii="Arial Narrow" w:hAnsi="Arial Narrow" w:cs="Arial"/>
                <w:b/>
                <w:sz w:val="16"/>
                <w:szCs w:val="16"/>
              </w:rPr>
              <w:t>(0.01340)</w:t>
            </w:r>
          </w:p>
        </w:tc>
        <w:tc>
          <w:tcPr>
            <w:tcW w:w="822" w:type="dxa"/>
            <w:vAlign w:val="center"/>
          </w:tcPr>
          <w:p w14:paraId="7FB95BDC"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1D5D92D1" w14:textId="77777777" w:rsidTr="000C41DE">
        <w:trPr>
          <w:trHeight w:val="225"/>
        </w:trPr>
        <w:tc>
          <w:tcPr>
            <w:tcW w:w="1985" w:type="dxa"/>
            <w:tcBorders>
              <w:right w:val="single" w:sz="4" w:space="0" w:color="auto"/>
            </w:tcBorders>
            <w:shd w:val="clear" w:color="auto" w:fill="auto"/>
            <w:noWrap/>
            <w:vAlign w:val="center"/>
            <w:hideMark/>
          </w:tcPr>
          <w:p w14:paraId="5132A07B"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Newspaper regular Men</w:t>
            </w:r>
          </w:p>
        </w:tc>
        <w:tc>
          <w:tcPr>
            <w:tcW w:w="992" w:type="dxa"/>
            <w:tcBorders>
              <w:left w:val="single" w:sz="4" w:space="0" w:color="auto"/>
            </w:tcBorders>
            <w:shd w:val="clear" w:color="auto" w:fill="auto"/>
            <w:noWrap/>
            <w:vAlign w:val="center"/>
            <w:hideMark/>
          </w:tcPr>
          <w:p w14:paraId="1E436B72"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shd w:val="clear" w:color="auto" w:fill="auto"/>
            <w:noWrap/>
            <w:vAlign w:val="center"/>
            <w:hideMark/>
          </w:tcPr>
          <w:p w14:paraId="1B7DC94F"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shd w:val="clear" w:color="auto" w:fill="auto"/>
            <w:noWrap/>
            <w:vAlign w:val="center"/>
            <w:hideMark/>
          </w:tcPr>
          <w:p w14:paraId="43A0ADD2"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tcBorders>
              <w:right w:val="single" w:sz="4" w:space="0" w:color="auto"/>
            </w:tcBorders>
            <w:vAlign w:val="center"/>
          </w:tcPr>
          <w:p w14:paraId="06392E21"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left w:val="single" w:sz="4" w:space="0" w:color="auto"/>
            </w:tcBorders>
            <w:shd w:val="clear" w:color="auto" w:fill="auto"/>
            <w:noWrap/>
            <w:vAlign w:val="center"/>
            <w:hideMark/>
          </w:tcPr>
          <w:p w14:paraId="5AAB5D7C"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17" w:type="dxa"/>
            <w:shd w:val="clear" w:color="auto" w:fill="auto"/>
            <w:noWrap/>
            <w:vAlign w:val="center"/>
            <w:hideMark/>
          </w:tcPr>
          <w:p w14:paraId="7B2E5268"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1079" w:type="dxa"/>
            <w:gridSpan w:val="2"/>
            <w:shd w:val="clear" w:color="auto" w:fill="auto"/>
            <w:noWrap/>
            <w:vAlign w:val="center"/>
            <w:hideMark/>
          </w:tcPr>
          <w:p w14:paraId="3B1C635B"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vAlign w:val="bottom"/>
          </w:tcPr>
          <w:p w14:paraId="4B1C7266"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5578" w:rsidRPr="00D13BC1" w14:paraId="10A53486" w14:textId="77777777" w:rsidTr="000C41DE">
        <w:trPr>
          <w:trHeight w:val="225"/>
        </w:trPr>
        <w:tc>
          <w:tcPr>
            <w:tcW w:w="1985" w:type="dxa"/>
            <w:tcBorders>
              <w:right w:val="single" w:sz="4" w:space="0" w:color="auto"/>
            </w:tcBorders>
            <w:shd w:val="clear" w:color="auto" w:fill="auto"/>
            <w:vAlign w:val="center"/>
            <w:hideMark/>
          </w:tcPr>
          <w:p w14:paraId="29D614A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 xml:space="preserve">  Regularly</w:t>
            </w:r>
          </w:p>
        </w:tc>
        <w:tc>
          <w:tcPr>
            <w:tcW w:w="992" w:type="dxa"/>
            <w:tcBorders>
              <w:left w:val="single" w:sz="4" w:space="0" w:color="auto"/>
            </w:tcBorders>
            <w:shd w:val="clear" w:color="auto" w:fill="auto"/>
            <w:noWrap/>
            <w:vAlign w:val="center"/>
            <w:hideMark/>
          </w:tcPr>
          <w:p w14:paraId="14E2EB0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-0.0167***</w:t>
            </w:r>
          </w:p>
        </w:tc>
        <w:tc>
          <w:tcPr>
            <w:tcW w:w="909" w:type="dxa"/>
            <w:shd w:val="clear" w:color="auto" w:fill="auto"/>
            <w:noWrap/>
            <w:vAlign w:val="center"/>
            <w:hideMark/>
          </w:tcPr>
          <w:p w14:paraId="605FA41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-0.0265***</w:t>
            </w:r>
          </w:p>
        </w:tc>
        <w:tc>
          <w:tcPr>
            <w:tcW w:w="909" w:type="dxa"/>
            <w:shd w:val="clear" w:color="auto" w:fill="auto"/>
            <w:noWrap/>
            <w:vAlign w:val="center"/>
            <w:hideMark/>
          </w:tcPr>
          <w:p w14:paraId="5026EECE"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0.0432***</w:t>
            </w:r>
          </w:p>
        </w:tc>
        <w:tc>
          <w:tcPr>
            <w:tcW w:w="822" w:type="dxa"/>
            <w:tcBorders>
              <w:right w:val="single" w:sz="4" w:space="0" w:color="auto"/>
            </w:tcBorders>
            <w:vAlign w:val="center"/>
          </w:tcPr>
          <w:p w14:paraId="00A4369F"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color w:val="000000"/>
                <w:sz w:val="16"/>
                <w:szCs w:val="16"/>
              </w:rPr>
              <w:t>0.0599</w:t>
            </w:r>
          </w:p>
        </w:tc>
        <w:tc>
          <w:tcPr>
            <w:tcW w:w="992" w:type="dxa"/>
            <w:tcBorders>
              <w:left w:val="single" w:sz="4" w:space="0" w:color="auto"/>
            </w:tcBorders>
            <w:shd w:val="clear" w:color="auto" w:fill="auto"/>
            <w:noWrap/>
            <w:vAlign w:val="center"/>
            <w:hideMark/>
          </w:tcPr>
          <w:p w14:paraId="36D026D0"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-0.00564**</w:t>
            </w:r>
          </w:p>
        </w:tc>
        <w:tc>
          <w:tcPr>
            <w:tcW w:w="917" w:type="dxa"/>
            <w:shd w:val="clear" w:color="auto" w:fill="auto"/>
            <w:noWrap/>
            <w:vAlign w:val="center"/>
            <w:hideMark/>
          </w:tcPr>
          <w:p w14:paraId="6A6DC41D"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-0.0153**</w:t>
            </w:r>
          </w:p>
        </w:tc>
        <w:tc>
          <w:tcPr>
            <w:tcW w:w="1079" w:type="dxa"/>
            <w:gridSpan w:val="2"/>
            <w:shd w:val="clear" w:color="auto" w:fill="auto"/>
            <w:noWrap/>
            <w:vAlign w:val="center"/>
            <w:hideMark/>
          </w:tcPr>
          <w:p w14:paraId="10098DF1"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0.0209**</w:t>
            </w:r>
          </w:p>
        </w:tc>
        <w:tc>
          <w:tcPr>
            <w:tcW w:w="822" w:type="dxa"/>
            <w:vAlign w:val="center"/>
          </w:tcPr>
          <w:p w14:paraId="5996FE43"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color w:val="000000"/>
                <w:sz w:val="16"/>
                <w:szCs w:val="16"/>
              </w:rPr>
              <w:t>0.0265</w:t>
            </w:r>
          </w:p>
        </w:tc>
      </w:tr>
      <w:tr w:rsidR="000C5578" w:rsidRPr="00D13BC1" w14:paraId="09B58CC2" w14:textId="77777777" w:rsidTr="000C41DE">
        <w:trPr>
          <w:trHeight w:val="225"/>
        </w:trPr>
        <w:tc>
          <w:tcPr>
            <w:tcW w:w="1985" w:type="dxa"/>
            <w:tcBorders>
              <w:right w:val="single" w:sz="4" w:space="0" w:color="auto"/>
            </w:tcBorders>
            <w:shd w:val="clear" w:color="auto" w:fill="auto"/>
            <w:vAlign w:val="bottom"/>
            <w:hideMark/>
          </w:tcPr>
          <w:p w14:paraId="2CDCA68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tcBorders>
            <w:shd w:val="clear" w:color="auto" w:fill="auto"/>
            <w:noWrap/>
            <w:vAlign w:val="center"/>
            <w:hideMark/>
          </w:tcPr>
          <w:p w14:paraId="27EDB5E8"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(0.00361)</w:t>
            </w:r>
          </w:p>
        </w:tc>
        <w:tc>
          <w:tcPr>
            <w:tcW w:w="909" w:type="dxa"/>
            <w:shd w:val="clear" w:color="auto" w:fill="auto"/>
            <w:noWrap/>
            <w:vAlign w:val="center"/>
            <w:hideMark/>
          </w:tcPr>
          <w:p w14:paraId="65683A7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(0.00625)</w:t>
            </w:r>
          </w:p>
        </w:tc>
        <w:tc>
          <w:tcPr>
            <w:tcW w:w="909" w:type="dxa"/>
            <w:shd w:val="clear" w:color="auto" w:fill="auto"/>
            <w:noWrap/>
            <w:vAlign w:val="center"/>
            <w:hideMark/>
          </w:tcPr>
          <w:p w14:paraId="6A98592C"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(0.00984)</w:t>
            </w:r>
          </w:p>
        </w:tc>
        <w:tc>
          <w:tcPr>
            <w:tcW w:w="822" w:type="dxa"/>
            <w:tcBorders>
              <w:right w:val="single" w:sz="4" w:space="0" w:color="auto"/>
            </w:tcBorders>
            <w:vAlign w:val="center"/>
          </w:tcPr>
          <w:p w14:paraId="71A1DAAD"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left w:val="single" w:sz="4" w:space="0" w:color="auto"/>
            </w:tcBorders>
            <w:shd w:val="clear" w:color="auto" w:fill="auto"/>
            <w:noWrap/>
            <w:vAlign w:val="center"/>
            <w:hideMark/>
          </w:tcPr>
          <w:p w14:paraId="694F1C0D"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(0.00257)</w:t>
            </w:r>
          </w:p>
        </w:tc>
        <w:tc>
          <w:tcPr>
            <w:tcW w:w="917" w:type="dxa"/>
            <w:shd w:val="clear" w:color="auto" w:fill="auto"/>
            <w:noWrap/>
            <w:vAlign w:val="center"/>
            <w:hideMark/>
          </w:tcPr>
          <w:p w14:paraId="1AF40CA5"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(0.00727)</w:t>
            </w:r>
          </w:p>
        </w:tc>
        <w:tc>
          <w:tcPr>
            <w:tcW w:w="1079" w:type="dxa"/>
            <w:gridSpan w:val="2"/>
            <w:shd w:val="clear" w:color="auto" w:fill="auto"/>
            <w:noWrap/>
            <w:vAlign w:val="center"/>
            <w:hideMark/>
          </w:tcPr>
          <w:p w14:paraId="1F95DB54"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hAnsi="Arial Narrow" w:cs="Arial"/>
                <w:i/>
                <w:sz w:val="16"/>
                <w:szCs w:val="16"/>
              </w:rPr>
              <w:t>(0.00983)</w:t>
            </w:r>
          </w:p>
        </w:tc>
        <w:tc>
          <w:tcPr>
            <w:tcW w:w="822" w:type="dxa"/>
            <w:vAlign w:val="center"/>
          </w:tcPr>
          <w:p w14:paraId="530BE0A2"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5578" w:rsidRPr="00D13BC1" w14:paraId="38A0106C" w14:textId="77777777" w:rsidTr="000C41DE">
        <w:trPr>
          <w:trHeight w:val="225"/>
        </w:trPr>
        <w:tc>
          <w:tcPr>
            <w:tcW w:w="1985" w:type="dxa"/>
            <w:tcBorders>
              <w:right w:val="single" w:sz="4" w:space="0" w:color="auto"/>
            </w:tcBorders>
            <w:shd w:val="clear" w:color="auto" w:fill="auto"/>
            <w:noWrap/>
            <w:vAlign w:val="center"/>
            <w:hideMark/>
          </w:tcPr>
          <w:p w14:paraId="14E5A32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Newspaper regular Women</w:t>
            </w:r>
          </w:p>
        </w:tc>
        <w:tc>
          <w:tcPr>
            <w:tcW w:w="992" w:type="dxa"/>
            <w:tcBorders>
              <w:left w:val="single" w:sz="4" w:space="0" w:color="auto"/>
            </w:tcBorders>
            <w:shd w:val="clear" w:color="auto" w:fill="auto"/>
            <w:noWrap/>
            <w:vAlign w:val="center"/>
            <w:hideMark/>
          </w:tcPr>
          <w:p w14:paraId="48B0DD3E"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shd w:val="clear" w:color="auto" w:fill="auto"/>
            <w:noWrap/>
            <w:vAlign w:val="center"/>
            <w:hideMark/>
          </w:tcPr>
          <w:p w14:paraId="442477B4"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shd w:val="clear" w:color="auto" w:fill="auto"/>
            <w:noWrap/>
            <w:vAlign w:val="center"/>
            <w:hideMark/>
          </w:tcPr>
          <w:p w14:paraId="4611089C"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tcBorders>
              <w:right w:val="single" w:sz="4" w:space="0" w:color="auto"/>
            </w:tcBorders>
            <w:vAlign w:val="center"/>
          </w:tcPr>
          <w:p w14:paraId="168428CF"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c>
          <w:tcPr>
            <w:tcW w:w="992" w:type="dxa"/>
            <w:tcBorders>
              <w:left w:val="single" w:sz="4" w:space="0" w:color="auto"/>
            </w:tcBorders>
            <w:shd w:val="clear" w:color="auto" w:fill="auto"/>
            <w:noWrap/>
            <w:vAlign w:val="center"/>
            <w:hideMark/>
          </w:tcPr>
          <w:p w14:paraId="671E4265"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17" w:type="dxa"/>
            <w:shd w:val="clear" w:color="auto" w:fill="auto"/>
            <w:noWrap/>
            <w:vAlign w:val="center"/>
            <w:hideMark/>
          </w:tcPr>
          <w:p w14:paraId="0EE61B8C"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1079" w:type="dxa"/>
            <w:gridSpan w:val="2"/>
            <w:shd w:val="clear" w:color="auto" w:fill="auto"/>
            <w:noWrap/>
            <w:vAlign w:val="center"/>
            <w:hideMark/>
          </w:tcPr>
          <w:p w14:paraId="2CBB9131"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vAlign w:val="bottom"/>
          </w:tcPr>
          <w:p w14:paraId="32BDDBA5" w14:textId="77777777" w:rsidR="000C5578" w:rsidRPr="005C79F4" w:rsidRDefault="000C5578" w:rsidP="00D13BC1">
            <w:pPr>
              <w:adjustRightInd w:val="0"/>
              <w:snapToGrid w:val="0"/>
              <w:spacing w:after="0" w:line="240" w:lineRule="auto"/>
              <w:rPr>
                <w:rFonts w:ascii="Arial Narrow" w:hAnsi="Arial Narrow" w:cs="Arial"/>
                <w:b/>
                <w:i/>
                <w:sz w:val="16"/>
                <w:szCs w:val="16"/>
              </w:rPr>
            </w:pPr>
          </w:p>
        </w:tc>
      </w:tr>
      <w:tr w:rsidR="000C5578" w:rsidRPr="00D13BC1" w14:paraId="25EB6954" w14:textId="77777777" w:rsidTr="000C41DE">
        <w:trPr>
          <w:trHeight w:val="225"/>
        </w:trPr>
        <w:tc>
          <w:tcPr>
            <w:tcW w:w="1985" w:type="dxa"/>
            <w:tcBorders>
              <w:right w:val="single" w:sz="4" w:space="0" w:color="auto"/>
            </w:tcBorders>
            <w:shd w:val="clear" w:color="auto" w:fill="auto"/>
            <w:vAlign w:val="center"/>
            <w:hideMark/>
          </w:tcPr>
          <w:p w14:paraId="6FA2E40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  Regularly</w:t>
            </w:r>
          </w:p>
        </w:tc>
        <w:tc>
          <w:tcPr>
            <w:tcW w:w="992" w:type="dxa"/>
            <w:tcBorders>
              <w:left w:val="single" w:sz="4" w:space="0" w:color="auto"/>
            </w:tcBorders>
            <w:shd w:val="clear" w:color="auto" w:fill="auto"/>
            <w:noWrap/>
            <w:vAlign w:val="center"/>
            <w:hideMark/>
          </w:tcPr>
          <w:p w14:paraId="57122CB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-0.0136***</w:t>
            </w:r>
          </w:p>
        </w:tc>
        <w:tc>
          <w:tcPr>
            <w:tcW w:w="909" w:type="dxa"/>
            <w:shd w:val="clear" w:color="auto" w:fill="auto"/>
            <w:noWrap/>
            <w:vAlign w:val="center"/>
            <w:hideMark/>
          </w:tcPr>
          <w:p w14:paraId="6F4967D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-0.0218***</w:t>
            </w:r>
          </w:p>
        </w:tc>
        <w:tc>
          <w:tcPr>
            <w:tcW w:w="909" w:type="dxa"/>
            <w:shd w:val="clear" w:color="auto" w:fill="auto"/>
            <w:noWrap/>
            <w:vAlign w:val="center"/>
            <w:hideMark/>
          </w:tcPr>
          <w:p w14:paraId="6E210E9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0.0354***</w:t>
            </w:r>
          </w:p>
        </w:tc>
        <w:tc>
          <w:tcPr>
            <w:tcW w:w="822" w:type="dxa"/>
            <w:tcBorders>
              <w:right w:val="single" w:sz="4" w:space="0" w:color="auto"/>
            </w:tcBorders>
            <w:vAlign w:val="center"/>
          </w:tcPr>
          <w:p w14:paraId="0539003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color w:val="000000"/>
                <w:sz w:val="16"/>
                <w:szCs w:val="16"/>
              </w:rPr>
              <w:t>0.0490</w:t>
            </w:r>
          </w:p>
        </w:tc>
        <w:tc>
          <w:tcPr>
            <w:tcW w:w="992" w:type="dxa"/>
            <w:tcBorders>
              <w:left w:val="single" w:sz="4" w:space="0" w:color="auto"/>
            </w:tcBorders>
            <w:shd w:val="clear" w:color="auto" w:fill="auto"/>
            <w:noWrap/>
            <w:vAlign w:val="center"/>
            <w:hideMark/>
          </w:tcPr>
          <w:p w14:paraId="76CAC7C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-0.0229***</w:t>
            </w:r>
          </w:p>
        </w:tc>
        <w:tc>
          <w:tcPr>
            <w:tcW w:w="917" w:type="dxa"/>
            <w:shd w:val="clear" w:color="auto" w:fill="auto"/>
            <w:noWrap/>
            <w:vAlign w:val="center"/>
            <w:hideMark/>
          </w:tcPr>
          <w:p w14:paraId="5C5DF54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-0.0771***</w:t>
            </w:r>
          </w:p>
        </w:tc>
        <w:tc>
          <w:tcPr>
            <w:tcW w:w="1079" w:type="dxa"/>
            <w:gridSpan w:val="2"/>
            <w:shd w:val="clear" w:color="auto" w:fill="auto"/>
            <w:noWrap/>
            <w:vAlign w:val="center"/>
            <w:hideMark/>
          </w:tcPr>
          <w:p w14:paraId="1B988230"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0.1000***</w:t>
            </w:r>
          </w:p>
        </w:tc>
        <w:tc>
          <w:tcPr>
            <w:tcW w:w="822" w:type="dxa"/>
            <w:vAlign w:val="center"/>
          </w:tcPr>
          <w:p w14:paraId="44C71E8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color w:val="000000"/>
                <w:sz w:val="16"/>
                <w:szCs w:val="16"/>
              </w:rPr>
              <w:t>0.1229</w:t>
            </w:r>
          </w:p>
        </w:tc>
      </w:tr>
      <w:tr w:rsidR="000C5578" w:rsidRPr="00D13BC1" w14:paraId="2FFF3296" w14:textId="77777777" w:rsidTr="000C41DE">
        <w:trPr>
          <w:trHeight w:val="225"/>
        </w:trPr>
        <w:tc>
          <w:tcPr>
            <w:tcW w:w="1985" w:type="dxa"/>
            <w:tcBorders>
              <w:right w:val="single" w:sz="4" w:space="0" w:color="auto"/>
            </w:tcBorders>
            <w:shd w:val="clear" w:color="auto" w:fill="auto"/>
            <w:vAlign w:val="bottom"/>
            <w:hideMark/>
          </w:tcPr>
          <w:p w14:paraId="5334832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2098152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(0.00440)</w:t>
            </w:r>
          </w:p>
        </w:tc>
        <w:tc>
          <w:tcPr>
            <w:tcW w:w="909" w:type="dxa"/>
            <w:shd w:val="clear" w:color="auto" w:fill="auto"/>
            <w:noWrap/>
            <w:vAlign w:val="center"/>
            <w:hideMark/>
          </w:tcPr>
          <w:p w14:paraId="05707CE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(0.00773)</w:t>
            </w:r>
          </w:p>
        </w:tc>
        <w:tc>
          <w:tcPr>
            <w:tcW w:w="909" w:type="dxa"/>
            <w:shd w:val="clear" w:color="auto" w:fill="auto"/>
            <w:noWrap/>
            <w:vAlign w:val="center"/>
            <w:hideMark/>
          </w:tcPr>
          <w:p w14:paraId="47741D1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(0.01210)</w:t>
            </w:r>
          </w:p>
        </w:tc>
        <w:tc>
          <w:tcPr>
            <w:tcW w:w="822" w:type="dxa"/>
            <w:tcBorders>
              <w:right w:val="single" w:sz="4" w:space="0" w:color="auto"/>
            </w:tcBorders>
            <w:vAlign w:val="center"/>
          </w:tcPr>
          <w:p w14:paraId="4C8D6C53"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68818BF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(0.00238)</w:t>
            </w:r>
          </w:p>
        </w:tc>
        <w:tc>
          <w:tcPr>
            <w:tcW w:w="917" w:type="dxa"/>
            <w:shd w:val="clear" w:color="auto" w:fill="auto"/>
            <w:noWrap/>
            <w:vAlign w:val="center"/>
            <w:hideMark/>
          </w:tcPr>
          <w:p w14:paraId="4CE42899"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(0.01010)</w:t>
            </w:r>
          </w:p>
        </w:tc>
        <w:tc>
          <w:tcPr>
            <w:tcW w:w="1079" w:type="dxa"/>
            <w:gridSpan w:val="2"/>
            <w:shd w:val="clear" w:color="auto" w:fill="auto"/>
            <w:noWrap/>
            <w:vAlign w:val="center"/>
            <w:hideMark/>
          </w:tcPr>
          <w:p w14:paraId="67F65E8E"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(0.01240)</w:t>
            </w:r>
          </w:p>
        </w:tc>
        <w:tc>
          <w:tcPr>
            <w:tcW w:w="822" w:type="dxa"/>
            <w:vAlign w:val="center"/>
          </w:tcPr>
          <w:p w14:paraId="719659C8"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D13BC1" w14:paraId="2E18288E" w14:textId="77777777" w:rsidTr="000C41DE">
        <w:trPr>
          <w:trHeight w:val="225"/>
        </w:trPr>
        <w:tc>
          <w:tcPr>
            <w:tcW w:w="1985" w:type="dxa"/>
            <w:tcBorders>
              <w:right w:val="single" w:sz="4" w:space="0" w:color="auto"/>
            </w:tcBorders>
            <w:shd w:val="clear" w:color="auto" w:fill="auto"/>
            <w:noWrap/>
            <w:vAlign w:val="center"/>
            <w:hideMark/>
          </w:tcPr>
          <w:p w14:paraId="6C4471B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TV regular Men</w:t>
            </w:r>
          </w:p>
        </w:tc>
        <w:tc>
          <w:tcPr>
            <w:tcW w:w="992" w:type="dxa"/>
            <w:tcBorders>
              <w:left w:val="single" w:sz="4" w:space="0" w:color="auto"/>
            </w:tcBorders>
            <w:shd w:val="clear" w:color="auto" w:fill="auto"/>
            <w:noWrap/>
            <w:vAlign w:val="center"/>
            <w:hideMark/>
          </w:tcPr>
          <w:p w14:paraId="18CC6A4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7516012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683638E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right w:val="single" w:sz="4" w:space="0" w:color="auto"/>
            </w:tcBorders>
            <w:vAlign w:val="center"/>
          </w:tcPr>
          <w:p w14:paraId="03332309"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5BD3CD8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6781D71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7B26878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vAlign w:val="bottom"/>
          </w:tcPr>
          <w:p w14:paraId="1029C931"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6F29AFDE" w14:textId="77777777" w:rsidTr="000C41DE">
        <w:trPr>
          <w:trHeight w:val="225"/>
        </w:trPr>
        <w:tc>
          <w:tcPr>
            <w:tcW w:w="1985" w:type="dxa"/>
            <w:tcBorders>
              <w:right w:val="single" w:sz="4" w:space="0" w:color="auto"/>
            </w:tcBorders>
            <w:shd w:val="clear" w:color="auto" w:fill="auto"/>
            <w:vAlign w:val="center"/>
            <w:hideMark/>
          </w:tcPr>
          <w:p w14:paraId="6FD89B9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 xml:space="preserve">  Regularly</w:t>
            </w:r>
          </w:p>
        </w:tc>
        <w:tc>
          <w:tcPr>
            <w:tcW w:w="992" w:type="dxa"/>
            <w:tcBorders>
              <w:left w:val="single" w:sz="4" w:space="0" w:color="auto"/>
            </w:tcBorders>
            <w:shd w:val="clear" w:color="auto" w:fill="auto"/>
            <w:noWrap/>
            <w:vAlign w:val="center"/>
            <w:hideMark/>
          </w:tcPr>
          <w:p w14:paraId="63D4C43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0.00286</w:t>
            </w:r>
          </w:p>
        </w:tc>
        <w:tc>
          <w:tcPr>
            <w:tcW w:w="909" w:type="dxa"/>
            <w:shd w:val="clear" w:color="auto" w:fill="auto"/>
            <w:noWrap/>
            <w:vAlign w:val="center"/>
            <w:hideMark/>
          </w:tcPr>
          <w:p w14:paraId="747786C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0.00412</w:t>
            </w:r>
          </w:p>
        </w:tc>
        <w:tc>
          <w:tcPr>
            <w:tcW w:w="909" w:type="dxa"/>
            <w:shd w:val="clear" w:color="auto" w:fill="auto"/>
            <w:noWrap/>
            <w:vAlign w:val="center"/>
            <w:hideMark/>
          </w:tcPr>
          <w:p w14:paraId="28799D1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-0.00698</w:t>
            </w:r>
          </w:p>
        </w:tc>
        <w:tc>
          <w:tcPr>
            <w:tcW w:w="822" w:type="dxa"/>
            <w:tcBorders>
              <w:right w:val="single" w:sz="4" w:space="0" w:color="auto"/>
            </w:tcBorders>
            <w:vAlign w:val="center"/>
          </w:tcPr>
          <w:p w14:paraId="5C8C425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color w:val="000000"/>
                <w:sz w:val="16"/>
                <w:szCs w:val="16"/>
              </w:rPr>
              <w:t>-0.00984</w:t>
            </w:r>
          </w:p>
        </w:tc>
        <w:tc>
          <w:tcPr>
            <w:tcW w:w="992" w:type="dxa"/>
            <w:tcBorders>
              <w:left w:val="single" w:sz="4" w:space="0" w:color="auto"/>
            </w:tcBorders>
            <w:shd w:val="clear" w:color="auto" w:fill="auto"/>
            <w:noWrap/>
            <w:vAlign w:val="center"/>
            <w:hideMark/>
          </w:tcPr>
          <w:p w14:paraId="0BD8D16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0.000896</w:t>
            </w:r>
          </w:p>
        </w:tc>
        <w:tc>
          <w:tcPr>
            <w:tcW w:w="917" w:type="dxa"/>
            <w:shd w:val="clear" w:color="auto" w:fill="auto"/>
            <w:noWrap/>
            <w:vAlign w:val="center"/>
            <w:hideMark/>
          </w:tcPr>
          <w:p w14:paraId="17E71EB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0.00232</w:t>
            </w:r>
          </w:p>
        </w:tc>
        <w:tc>
          <w:tcPr>
            <w:tcW w:w="1079" w:type="dxa"/>
            <w:gridSpan w:val="2"/>
            <w:shd w:val="clear" w:color="auto" w:fill="auto"/>
            <w:noWrap/>
            <w:vAlign w:val="center"/>
            <w:hideMark/>
          </w:tcPr>
          <w:p w14:paraId="1891027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-0.00321</w:t>
            </w:r>
          </w:p>
        </w:tc>
        <w:tc>
          <w:tcPr>
            <w:tcW w:w="822" w:type="dxa"/>
            <w:vAlign w:val="center"/>
          </w:tcPr>
          <w:p w14:paraId="0E18F989"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color w:val="000000"/>
                <w:sz w:val="16"/>
                <w:szCs w:val="16"/>
              </w:rPr>
              <w:t>-0.0041</w:t>
            </w:r>
          </w:p>
        </w:tc>
      </w:tr>
      <w:tr w:rsidR="000C5578" w:rsidRPr="00D13BC1" w14:paraId="09CC8A99" w14:textId="77777777" w:rsidTr="000C41DE">
        <w:trPr>
          <w:trHeight w:val="225"/>
        </w:trPr>
        <w:tc>
          <w:tcPr>
            <w:tcW w:w="1985" w:type="dxa"/>
            <w:tcBorders>
              <w:right w:val="single" w:sz="4" w:space="0" w:color="auto"/>
            </w:tcBorders>
            <w:shd w:val="clear" w:color="auto" w:fill="auto"/>
            <w:vAlign w:val="bottom"/>
            <w:hideMark/>
          </w:tcPr>
          <w:p w14:paraId="2D4CD335"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774F5FF5"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(0.00418)</w:t>
            </w:r>
          </w:p>
        </w:tc>
        <w:tc>
          <w:tcPr>
            <w:tcW w:w="909" w:type="dxa"/>
            <w:shd w:val="clear" w:color="auto" w:fill="auto"/>
            <w:noWrap/>
            <w:vAlign w:val="center"/>
            <w:hideMark/>
          </w:tcPr>
          <w:p w14:paraId="3B2133B0"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(0.00597)</w:t>
            </w:r>
          </w:p>
        </w:tc>
        <w:tc>
          <w:tcPr>
            <w:tcW w:w="909" w:type="dxa"/>
            <w:shd w:val="clear" w:color="auto" w:fill="auto"/>
            <w:noWrap/>
            <w:vAlign w:val="center"/>
            <w:hideMark/>
          </w:tcPr>
          <w:p w14:paraId="03C8C02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(0.01020)</w:t>
            </w:r>
          </w:p>
        </w:tc>
        <w:tc>
          <w:tcPr>
            <w:tcW w:w="822" w:type="dxa"/>
            <w:tcBorders>
              <w:right w:val="single" w:sz="4" w:space="0" w:color="auto"/>
            </w:tcBorders>
            <w:vAlign w:val="center"/>
          </w:tcPr>
          <w:p w14:paraId="47816500"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4A0C84FF"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(0.00287)</w:t>
            </w:r>
          </w:p>
        </w:tc>
        <w:tc>
          <w:tcPr>
            <w:tcW w:w="917" w:type="dxa"/>
            <w:shd w:val="clear" w:color="auto" w:fill="auto"/>
            <w:noWrap/>
            <w:vAlign w:val="center"/>
            <w:hideMark/>
          </w:tcPr>
          <w:p w14:paraId="5D56F5D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(0.00740)</w:t>
            </w:r>
          </w:p>
        </w:tc>
        <w:tc>
          <w:tcPr>
            <w:tcW w:w="1079" w:type="dxa"/>
            <w:gridSpan w:val="2"/>
            <w:shd w:val="clear" w:color="auto" w:fill="auto"/>
            <w:noWrap/>
            <w:vAlign w:val="center"/>
            <w:hideMark/>
          </w:tcPr>
          <w:p w14:paraId="6C230735"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(0.01030)</w:t>
            </w:r>
          </w:p>
        </w:tc>
        <w:tc>
          <w:tcPr>
            <w:tcW w:w="822" w:type="dxa"/>
            <w:vAlign w:val="center"/>
          </w:tcPr>
          <w:p w14:paraId="16D879FD"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536B25CD" w14:textId="77777777" w:rsidTr="000C41DE">
        <w:trPr>
          <w:trHeight w:val="225"/>
        </w:trPr>
        <w:tc>
          <w:tcPr>
            <w:tcW w:w="1985" w:type="dxa"/>
            <w:tcBorders>
              <w:right w:val="single" w:sz="4" w:space="0" w:color="auto"/>
            </w:tcBorders>
            <w:shd w:val="clear" w:color="auto" w:fill="auto"/>
            <w:noWrap/>
            <w:vAlign w:val="center"/>
            <w:hideMark/>
          </w:tcPr>
          <w:p w14:paraId="06EDBF1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TV regular Women</w:t>
            </w:r>
          </w:p>
        </w:tc>
        <w:tc>
          <w:tcPr>
            <w:tcW w:w="992" w:type="dxa"/>
            <w:tcBorders>
              <w:left w:val="single" w:sz="4" w:space="0" w:color="auto"/>
            </w:tcBorders>
            <w:shd w:val="clear" w:color="auto" w:fill="auto"/>
            <w:noWrap/>
            <w:vAlign w:val="center"/>
            <w:hideMark/>
          </w:tcPr>
          <w:p w14:paraId="69C88EF9"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shd w:val="clear" w:color="auto" w:fill="auto"/>
            <w:noWrap/>
            <w:vAlign w:val="center"/>
            <w:hideMark/>
          </w:tcPr>
          <w:p w14:paraId="4E21DA72"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09" w:type="dxa"/>
            <w:shd w:val="clear" w:color="auto" w:fill="auto"/>
            <w:noWrap/>
            <w:vAlign w:val="center"/>
            <w:hideMark/>
          </w:tcPr>
          <w:p w14:paraId="03C6282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tcBorders>
              <w:right w:val="single" w:sz="4" w:space="0" w:color="auto"/>
            </w:tcBorders>
            <w:vAlign w:val="center"/>
          </w:tcPr>
          <w:p w14:paraId="63FF0063"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48BEB3DA"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917" w:type="dxa"/>
            <w:shd w:val="clear" w:color="auto" w:fill="auto"/>
            <w:noWrap/>
            <w:vAlign w:val="center"/>
            <w:hideMark/>
          </w:tcPr>
          <w:p w14:paraId="57067C86"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1079" w:type="dxa"/>
            <w:gridSpan w:val="2"/>
            <w:shd w:val="clear" w:color="auto" w:fill="auto"/>
            <w:noWrap/>
            <w:vAlign w:val="center"/>
            <w:hideMark/>
          </w:tcPr>
          <w:p w14:paraId="2EE401B7" w14:textId="77777777" w:rsidR="000C5578" w:rsidRPr="005C79F4" w:rsidRDefault="000C5578" w:rsidP="00D13BC1">
            <w:pPr>
              <w:adjustRightInd w:val="0"/>
              <w:snapToGrid w:val="0"/>
              <w:spacing w:after="0" w:line="240" w:lineRule="auto"/>
              <w:rPr>
                <w:rFonts w:ascii="Arial Narrow" w:eastAsia="Times New Roman" w:hAnsi="Arial Narrow" w:cs="Arial"/>
                <w:b/>
                <w:i/>
                <w:sz w:val="16"/>
                <w:szCs w:val="16"/>
              </w:rPr>
            </w:pPr>
          </w:p>
        </w:tc>
        <w:tc>
          <w:tcPr>
            <w:tcW w:w="822" w:type="dxa"/>
            <w:vAlign w:val="bottom"/>
          </w:tcPr>
          <w:p w14:paraId="7C228592"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0C5578" w:rsidRPr="00D13BC1" w14:paraId="33ABD5B9" w14:textId="77777777" w:rsidTr="000C41DE">
        <w:trPr>
          <w:trHeight w:val="225"/>
        </w:trPr>
        <w:tc>
          <w:tcPr>
            <w:tcW w:w="1985" w:type="dxa"/>
            <w:tcBorders>
              <w:right w:val="single" w:sz="4" w:space="0" w:color="auto"/>
            </w:tcBorders>
            <w:shd w:val="clear" w:color="auto" w:fill="auto"/>
            <w:vAlign w:val="center"/>
            <w:hideMark/>
          </w:tcPr>
          <w:p w14:paraId="50961BB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 xml:space="preserve">  Regularly</w:t>
            </w:r>
          </w:p>
        </w:tc>
        <w:tc>
          <w:tcPr>
            <w:tcW w:w="992" w:type="dxa"/>
            <w:tcBorders>
              <w:left w:val="single" w:sz="4" w:space="0" w:color="auto"/>
            </w:tcBorders>
            <w:shd w:val="clear" w:color="auto" w:fill="auto"/>
            <w:noWrap/>
            <w:vAlign w:val="center"/>
            <w:hideMark/>
          </w:tcPr>
          <w:p w14:paraId="29B2FB93"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-0.0160***</w:t>
            </w:r>
          </w:p>
        </w:tc>
        <w:tc>
          <w:tcPr>
            <w:tcW w:w="909" w:type="dxa"/>
            <w:shd w:val="clear" w:color="auto" w:fill="auto"/>
            <w:noWrap/>
            <w:vAlign w:val="center"/>
            <w:hideMark/>
          </w:tcPr>
          <w:p w14:paraId="526A0F0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-0.0238***</w:t>
            </w:r>
          </w:p>
        </w:tc>
        <w:tc>
          <w:tcPr>
            <w:tcW w:w="909" w:type="dxa"/>
            <w:shd w:val="clear" w:color="auto" w:fill="auto"/>
            <w:noWrap/>
            <w:vAlign w:val="center"/>
            <w:hideMark/>
          </w:tcPr>
          <w:p w14:paraId="49CFEE44"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0.0398***</w:t>
            </w:r>
          </w:p>
        </w:tc>
        <w:tc>
          <w:tcPr>
            <w:tcW w:w="822" w:type="dxa"/>
            <w:tcBorders>
              <w:right w:val="single" w:sz="4" w:space="0" w:color="auto"/>
            </w:tcBorders>
            <w:vAlign w:val="center"/>
          </w:tcPr>
          <w:p w14:paraId="48F4754D"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color w:val="000000"/>
                <w:sz w:val="16"/>
                <w:szCs w:val="16"/>
              </w:rPr>
              <w:t>0.0558</w:t>
            </w:r>
          </w:p>
        </w:tc>
        <w:tc>
          <w:tcPr>
            <w:tcW w:w="992" w:type="dxa"/>
            <w:tcBorders>
              <w:left w:val="single" w:sz="4" w:space="0" w:color="auto"/>
            </w:tcBorders>
            <w:shd w:val="clear" w:color="auto" w:fill="auto"/>
            <w:noWrap/>
            <w:vAlign w:val="center"/>
            <w:hideMark/>
          </w:tcPr>
          <w:p w14:paraId="6544F991"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-0.00760***</w:t>
            </w:r>
          </w:p>
        </w:tc>
        <w:tc>
          <w:tcPr>
            <w:tcW w:w="917" w:type="dxa"/>
            <w:shd w:val="clear" w:color="auto" w:fill="auto"/>
            <w:noWrap/>
            <w:vAlign w:val="center"/>
            <w:hideMark/>
          </w:tcPr>
          <w:p w14:paraId="22270D6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-0.0200***</w:t>
            </w:r>
          </w:p>
        </w:tc>
        <w:tc>
          <w:tcPr>
            <w:tcW w:w="1079" w:type="dxa"/>
            <w:gridSpan w:val="2"/>
            <w:shd w:val="clear" w:color="auto" w:fill="auto"/>
            <w:noWrap/>
            <w:vAlign w:val="center"/>
            <w:hideMark/>
          </w:tcPr>
          <w:p w14:paraId="4F3A57E6"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0.0276***</w:t>
            </w:r>
          </w:p>
        </w:tc>
        <w:tc>
          <w:tcPr>
            <w:tcW w:w="822" w:type="dxa"/>
            <w:vAlign w:val="center"/>
          </w:tcPr>
          <w:p w14:paraId="0C4AFBD5"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color w:val="000000"/>
                <w:sz w:val="16"/>
                <w:szCs w:val="16"/>
              </w:rPr>
              <w:t>0.0352</w:t>
            </w:r>
          </w:p>
        </w:tc>
      </w:tr>
      <w:tr w:rsidR="000C5578" w:rsidRPr="00D13BC1" w14:paraId="7D991C61" w14:textId="77777777" w:rsidTr="000C41DE">
        <w:trPr>
          <w:trHeight w:val="225"/>
        </w:trPr>
        <w:tc>
          <w:tcPr>
            <w:tcW w:w="1985" w:type="dxa"/>
            <w:tcBorders>
              <w:bottom w:val="single" w:sz="4" w:space="0" w:color="auto"/>
              <w:right w:val="single" w:sz="4" w:space="0" w:color="auto"/>
            </w:tcBorders>
            <w:shd w:val="clear" w:color="auto" w:fill="auto"/>
            <w:vAlign w:val="bottom"/>
            <w:hideMark/>
          </w:tcPr>
          <w:p w14:paraId="6232EEA6"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bottom w:val="single" w:sz="4" w:space="0" w:color="auto"/>
            </w:tcBorders>
            <w:shd w:val="clear" w:color="auto" w:fill="auto"/>
            <w:noWrap/>
            <w:vAlign w:val="center"/>
            <w:hideMark/>
          </w:tcPr>
          <w:p w14:paraId="56FA4B57"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(0.00401)</w:t>
            </w:r>
          </w:p>
        </w:tc>
        <w:tc>
          <w:tcPr>
            <w:tcW w:w="909" w:type="dxa"/>
            <w:tcBorders>
              <w:bottom w:val="single" w:sz="4" w:space="0" w:color="auto"/>
            </w:tcBorders>
            <w:shd w:val="clear" w:color="auto" w:fill="auto"/>
            <w:noWrap/>
            <w:vAlign w:val="center"/>
            <w:hideMark/>
          </w:tcPr>
          <w:p w14:paraId="5B293E2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(0.00609)</w:t>
            </w:r>
          </w:p>
        </w:tc>
        <w:tc>
          <w:tcPr>
            <w:tcW w:w="909" w:type="dxa"/>
            <w:tcBorders>
              <w:bottom w:val="single" w:sz="4" w:space="0" w:color="auto"/>
            </w:tcBorders>
            <w:shd w:val="clear" w:color="auto" w:fill="auto"/>
            <w:noWrap/>
            <w:vAlign w:val="center"/>
            <w:hideMark/>
          </w:tcPr>
          <w:p w14:paraId="5842D13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eastAsia="Times New Roman" w:hAnsi="Arial Narrow" w:cs="Arial"/>
                <w:i/>
                <w:sz w:val="16"/>
                <w:szCs w:val="16"/>
              </w:rPr>
              <w:t>(0.01010)</w:t>
            </w:r>
          </w:p>
        </w:tc>
        <w:tc>
          <w:tcPr>
            <w:tcW w:w="822" w:type="dxa"/>
            <w:tcBorders>
              <w:bottom w:val="single" w:sz="4" w:space="0" w:color="auto"/>
              <w:right w:val="single" w:sz="4" w:space="0" w:color="auto"/>
            </w:tcBorders>
            <w:vAlign w:val="center"/>
          </w:tcPr>
          <w:p w14:paraId="1661CDEE" w14:textId="77777777" w:rsidR="000C5578" w:rsidRPr="005C79F4" w:rsidRDefault="000C5578" w:rsidP="00D13BC1">
            <w:pPr>
              <w:adjustRightInd w:val="0"/>
              <w:snapToGrid w:val="0"/>
              <w:spacing w:after="0" w:line="240" w:lineRule="auto"/>
              <w:rPr>
                <w:rFonts w:ascii="Arial Narrow" w:hAnsi="Arial Narrow" w:cs="Arial"/>
                <w:i/>
                <w:sz w:val="16"/>
                <w:szCs w:val="16"/>
              </w:rPr>
            </w:pPr>
          </w:p>
        </w:tc>
        <w:tc>
          <w:tcPr>
            <w:tcW w:w="992" w:type="dxa"/>
            <w:tcBorders>
              <w:left w:val="single" w:sz="4" w:space="0" w:color="auto"/>
              <w:bottom w:val="single" w:sz="4" w:space="0" w:color="auto"/>
            </w:tcBorders>
            <w:shd w:val="clear" w:color="auto" w:fill="auto"/>
            <w:noWrap/>
            <w:vAlign w:val="center"/>
            <w:hideMark/>
          </w:tcPr>
          <w:p w14:paraId="4125E2DA"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(0.00279)</w:t>
            </w:r>
          </w:p>
        </w:tc>
        <w:tc>
          <w:tcPr>
            <w:tcW w:w="917" w:type="dxa"/>
            <w:tcBorders>
              <w:bottom w:val="single" w:sz="4" w:space="0" w:color="auto"/>
            </w:tcBorders>
            <w:shd w:val="clear" w:color="auto" w:fill="auto"/>
            <w:noWrap/>
            <w:vAlign w:val="center"/>
            <w:hideMark/>
          </w:tcPr>
          <w:p w14:paraId="657C924B"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(0.00745)</w:t>
            </w:r>
          </w:p>
        </w:tc>
        <w:tc>
          <w:tcPr>
            <w:tcW w:w="1079" w:type="dxa"/>
            <w:gridSpan w:val="2"/>
            <w:tcBorders>
              <w:bottom w:val="single" w:sz="4" w:space="0" w:color="auto"/>
            </w:tcBorders>
            <w:shd w:val="clear" w:color="auto" w:fill="auto"/>
            <w:noWrap/>
            <w:vAlign w:val="center"/>
            <w:hideMark/>
          </w:tcPr>
          <w:p w14:paraId="770543EC" w14:textId="77777777" w:rsidR="000C5578" w:rsidRPr="005C79F4" w:rsidRDefault="000C5578" w:rsidP="00D13BC1">
            <w:pPr>
              <w:adjustRightInd w:val="0"/>
              <w:snapToGrid w:val="0"/>
              <w:spacing w:after="0" w:line="240" w:lineRule="auto"/>
              <w:rPr>
                <w:rFonts w:ascii="Arial Narrow" w:eastAsia="Times New Roman" w:hAnsi="Arial Narrow" w:cs="Arial"/>
                <w:i/>
                <w:sz w:val="16"/>
                <w:szCs w:val="16"/>
              </w:rPr>
            </w:pPr>
            <w:r w:rsidRPr="005C79F4">
              <w:rPr>
                <w:rFonts w:ascii="Arial Narrow" w:hAnsi="Arial Narrow" w:cs="Arial"/>
                <w:i/>
                <w:sz w:val="16"/>
                <w:szCs w:val="16"/>
              </w:rPr>
              <w:t>(0.01020)</w:t>
            </w:r>
          </w:p>
        </w:tc>
        <w:tc>
          <w:tcPr>
            <w:tcW w:w="822" w:type="dxa"/>
            <w:tcBorders>
              <w:bottom w:val="single" w:sz="4" w:space="0" w:color="auto"/>
            </w:tcBorders>
            <w:vAlign w:val="center"/>
          </w:tcPr>
          <w:p w14:paraId="200BBE88" w14:textId="77777777" w:rsidR="000C5578" w:rsidRPr="005C79F4" w:rsidRDefault="000C5578" w:rsidP="00D13BC1">
            <w:pPr>
              <w:adjustRightInd w:val="0"/>
              <w:snapToGrid w:val="0"/>
              <w:spacing w:after="0" w:line="240" w:lineRule="auto"/>
              <w:rPr>
                <w:rFonts w:ascii="Arial Narrow" w:hAnsi="Arial Narrow" w:cs="Arial"/>
                <w:i/>
                <w:sz w:val="16"/>
                <w:szCs w:val="16"/>
              </w:rPr>
            </w:pPr>
          </w:p>
        </w:tc>
      </w:tr>
      <w:tr w:rsidR="009B592E" w:rsidRPr="00682B9C" w14:paraId="13354A59" w14:textId="77777777" w:rsidTr="000C41DE">
        <w:trPr>
          <w:trHeight w:val="225"/>
        </w:trPr>
        <w:tc>
          <w:tcPr>
            <w:tcW w:w="5617" w:type="dxa"/>
            <w:gridSpan w:val="5"/>
            <w:tcBorders>
              <w:top w:val="single" w:sz="4" w:space="0" w:color="auto"/>
              <w:bottom w:val="single" w:sz="4" w:space="0" w:color="auto"/>
              <w:right w:val="single" w:sz="4" w:space="0" w:color="auto"/>
            </w:tcBorders>
            <w:shd w:val="clear" w:color="auto" w:fill="auto"/>
            <w:noWrap/>
            <w:vAlign w:val="center"/>
          </w:tcPr>
          <w:p w14:paraId="75E29F2F" w14:textId="77777777" w:rsidR="009B592E" w:rsidRPr="00682B9C" w:rsidRDefault="00682B9C" w:rsidP="000C41DE">
            <w:pPr>
              <w:pStyle w:val="ListParagraph"/>
              <w:numPr>
                <w:ilvl w:val="0"/>
                <w:numId w:val="13"/>
              </w:numPr>
              <w:adjustRightInd w:val="0"/>
              <w:snapToGrid w:val="0"/>
              <w:spacing w:after="0" w:line="240" w:lineRule="auto"/>
              <w:rPr>
                <w:rFonts w:ascii="Arial Narrow" w:hAnsi="Arial Narrow" w:cs="Arial"/>
                <w:b/>
                <w:i/>
                <w:sz w:val="16"/>
                <w:szCs w:val="16"/>
              </w:rPr>
            </w:pPr>
            <w:r>
              <w:rPr>
                <w:rFonts w:ascii="Arial Narrow" w:hAnsi="Arial Narrow" w:cs="Arial"/>
                <w:b/>
                <w:i/>
                <w:sz w:val="16"/>
                <w:szCs w:val="16"/>
              </w:rPr>
              <w:t>Other Variables (2005)</w:t>
            </w:r>
          </w:p>
        </w:tc>
        <w:tc>
          <w:tcPr>
            <w:tcW w:w="992" w:type="dxa"/>
            <w:tcBorders>
              <w:top w:val="single" w:sz="4" w:space="0" w:color="auto"/>
              <w:left w:val="single" w:sz="4" w:space="0" w:color="auto"/>
              <w:bottom w:val="single" w:sz="4" w:space="0" w:color="auto"/>
            </w:tcBorders>
            <w:shd w:val="clear" w:color="auto" w:fill="auto"/>
            <w:noWrap/>
            <w:vAlign w:val="center"/>
          </w:tcPr>
          <w:p w14:paraId="1201C849" w14:textId="77777777" w:rsidR="009B592E" w:rsidRPr="00682B9C" w:rsidRDefault="009B592E" w:rsidP="00D13BC1">
            <w:pPr>
              <w:adjustRightInd w:val="0"/>
              <w:snapToGrid w:val="0"/>
              <w:spacing w:after="0" w:line="240" w:lineRule="auto"/>
              <w:rPr>
                <w:rFonts w:ascii="Arial Narrow" w:eastAsia="Times New Roman" w:hAnsi="Arial Narrow" w:cs="Arial"/>
                <w:b/>
                <w:i/>
                <w:sz w:val="16"/>
                <w:szCs w:val="16"/>
              </w:rPr>
            </w:pPr>
          </w:p>
        </w:tc>
        <w:tc>
          <w:tcPr>
            <w:tcW w:w="917" w:type="dxa"/>
            <w:tcBorders>
              <w:top w:val="single" w:sz="4" w:space="0" w:color="auto"/>
              <w:bottom w:val="single" w:sz="4" w:space="0" w:color="auto"/>
            </w:tcBorders>
            <w:shd w:val="clear" w:color="auto" w:fill="auto"/>
            <w:noWrap/>
            <w:vAlign w:val="center"/>
          </w:tcPr>
          <w:p w14:paraId="696D55E2" w14:textId="77777777" w:rsidR="009B592E" w:rsidRPr="00682B9C" w:rsidRDefault="009B592E" w:rsidP="00D13BC1">
            <w:pPr>
              <w:adjustRightInd w:val="0"/>
              <w:snapToGrid w:val="0"/>
              <w:spacing w:after="0" w:line="240" w:lineRule="auto"/>
              <w:rPr>
                <w:rFonts w:ascii="Arial Narrow" w:eastAsia="Times New Roman" w:hAnsi="Arial Narrow" w:cs="Arial"/>
                <w:b/>
                <w:i/>
                <w:sz w:val="16"/>
                <w:szCs w:val="16"/>
              </w:rPr>
            </w:pPr>
          </w:p>
        </w:tc>
        <w:tc>
          <w:tcPr>
            <w:tcW w:w="1079" w:type="dxa"/>
            <w:gridSpan w:val="2"/>
            <w:tcBorders>
              <w:top w:val="single" w:sz="4" w:space="0" w:color="auto"/>
              <w:bottom w:val="single" w:sz="4" w:space="0" w:color="auto"/>
            </w:tcBorders>
            <w:shd w:val="clear" w:color="auto" w:fill="auto"/>
            <w:noWrap/>
            <w:vAlign w:val="center"/>
          </w:tcPr>
          <w:p w14:paraId="2284B63D" w14:textId="77777777" w:rsidR="009B592E" w:rsidRPr="00682B9C" w:rsidRDefault="009B592E" w:rsidP="00D13BC1">
            <w:pPr>
              <w:adjustRightInd w:val="0"/>
              <w:snapToGrid w:val="0"/>
              <w:spacing w:after="0" w:line="240" w:lineRule="auto"/>
              <w:rPr>
                <w:rFonts w:ascii="Arial Narrow" w:eastAsia="Times New Roman" w:hAnsi="Arial Narrow" w:cs="Arial"/>
                <w:b/>
                <w:i/>
                <w:sz w:val="16"/>
                <w:szCs w:val="16"/>
              </w:rPr>
            </w:pPr>
          </w:p>
        </w:tc>
        <w:tc>
          <w:tcPr>
            <w:tcW w:w="822" w:type="dxa"/>
            <w:tcBorders>
              <w:top w:val="single" w:sz="4" w:space="0" w:color="auto"/>
              <w:bottom w:val="single" w:sz="4" w:space="0" w:color="auto"/>
            </w:tcBorders>
            <w:vAlign w:val="bottom"/>
          </w:tcPr>
          <w:p w14:paraId="585014A8" w14:textId="77777777" w:rsidR="009B592E" w:rsidRPr="00682B9C" w:rsidRDefault="009B592E" w:rsidP="00D13BC1">
            <w:pPr>
              <w:adjustRightInd w:val="0"/>
              <w:snapToGrid w:val="0"/>
              <w:spacing w:after="0" w:line="240" w:lineRule="auto"/>
              <w:rPr>
                <w:rFonts w:ascii="Arial Narrow" w:hAnsi="Arial Narrow" w:cs="Arial"/>
                <w:b/>
                <w:i/>
                <w:sz w:val="16"/>
                <w:szCs w:val="16"/>
              </w:rPr>
            </w:pPr>
          </w:p>
        </w:tc>
      </w:tr>
      <w:tr w:rsidR="000C5578" w:rsidRPr="00D13BC1" w14:paraId="782B9B3D" w14:textId="77777777" w:rsidTr="000C41DE">
        <w:trPr>
          <w:trHeight w:val="225"/>
        </w:trPr>
        <w:tc>
          <w:tcPr>
            <w:tcW w:w="1985" w:type="dxa"/>
            <w:tcBorders>
              <w:top w:val="single" w:sz="4" w:space="0" w:color="auto"/>
              <w:right w:val="single" w:sz="4" w:space="0" w:color="auto"/>
            </w:tcBorders>
            <w:shd w:val="clear" w:color="auto" w:fill="auto"/>
            <w:noWrap/>
            <w:vAlign w:val="center"/>
            <w:hideMark/>
          </w:tcPr>
          <w:p w14:paraId="7E71FF9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Social Networks</w:t>
            </w:r>
          </w:p>
        </w:tc>
        <w:tc>
          <w:tcPr>
            <w:tcW w:w="992" w:type="dxa"/>
            <w:tcBorders>
              <w:top w:val="single" w:sz="4" w:space="0" w:color="auto"/>
              <w:left w:val="single" w:sz="4" w:space="0" w:color="auto"/>
            </w:tcBorders>
            <w:shd w:val="clear" w:color="auto" w:fill="auto"/>
            <w:noWrap/>
            <w:vAlign w:val="center"/>
            <w:hideMark/>
          </w:tcPr>
          <w:p w14:paraId="766713B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tcBorders>
              <w:top w:val="single" w:sz="4" w:space="0" w:color="auto"/>
            </w:tcBorders>
            <w:shd w:val="clear" w:color="auto" w:fill="auto"/>
            <w:noWrap/>
            <w:vAlign w:val="center"/>
            <w:hideMark/>
          </w:tcPr>
          <w:p w14:paraId="6B6CB8A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tcBorders>
              <w:top w:val="single" w:sz="4" w:space="0" w:color="auto"/>
            </w:tcBorders>
            <w:shd w:val="clear" w:color="auto" w:fill="auto"/>
            <w:noWrap/>
            <w:vAlign w:val="center"/>
            <w:hideMark/>
          </w:tcPr>
          <w:p w14:paraId="44F603F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top w:val="single" w:sz="4" w:space="0" w:color="auto"/>
              <w:right w:val="single" w:sz="4" w:space="0" w:color="auto"/>
            </w:tcBorders>
            <w:vAlign w:val="center"/>
          </w:tcPr>
          <w:p w14:paraId="2D03E8D6"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top w:val="single" w:sz="4" w:space="0" w:color="auto"/>
              <w:left w:val="single" w:sz="4" w:space="0" w:color="auto"/>
            </w:tcBorders>
            <w:shd w:val="clear" w:color="auto" w:fill="auto"/>
            <w:noWrap/>
            <w:vAlign w:val="center"/>
            <w:hideMark/>
          </w:tcPr>
          <w:p w14:paraId="0A08311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tcBorders>
              <w:top w:val="single" w:sz="4" w:space="0" w:color="auto"/>
            </w:tcBorders>
            <w:shd w:val="clear" w:color="auto" w:fill="auto"/>
            <w:noWrap/>
            <w:vAlign w:val="center"/>
            <w:hideMark/>
          </w:tcPr>
          <w:p w14:paraId="7750D11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tcBorders>
              <w:top w:val="single" w:sz="4" w:space="0" w:color="auto"/>
            </w:tcBorders>
            <w:shd w:val="clear" w:color="auto" w:fill="auto"/>
            <w:noWrap/>
            <w:vAlign w:val="center"/>
            <w:hideMark/>
          </w:tcPr>
          <w:p w14:paraId="7271677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top w:val="single" w:sz="4" w:space="0" w:color="auto"/>
            </w:tcBorders>
            <w:vAlign w:val="bottom"/>
          </w:tcPr>
          <w:p w14:paraId="039B4ED3"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5BF491E9" w14:textId="77777777" w:rsidTr="000C41DE">
        <w:trPr>
          <w:trHeight w:val="225"/>
        </w:trPr>
        <w:tc>
          <w:tcPr>
            <w:tcW w:w="1985" w:type="dxa"/>
            <w:tcBorders>
              <w:right w:val="single" w:sz="4" w:space="0" w:color="auto"/>
            </w:tcBorders>
            <w:shd w:val="clear" w:color="auto" w:fill="auto"/>
            <w:vAlign w:val="center"/>
            <w:hideMark/>
          </w:tcPr>
          <w:p w14:paraId="3BEF61E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 xml:space="preserve">  1</w:t>
            </w:r>
          </w:p>
        </w:tc>
        <w:tc>
          <w:tcPr>
            <w:tcW w:w="992" w:type="dxa"/>
            <w:tcBorders>
              <w:left w:val="single" w:sz="4" w:space="0" w:color="auto"/>
            </w:tcBorders>
            <w:shd w:val="clear" w:color="auto" w:fill="auto"/>
            <w:noWrap/>
            <w:vAlign w:val="center"/>
            <w:hideMark/>
          </w:tcPr>
          <w:p w14:paraId="698BC6B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-0.00294</w:t>
            </w:r>
          </w:p>
        </w:tc>
        <w:tc>
          <w:tcPr>
            <w:tcW w:w="909" w:type="dxa"/>
            <w:shd w:val="clear" w:color="auto" w:fill="auto"/>
            <w:noWrap/>
            <w:vAlign w:val="center"/>
            <w:hideMark/>
          </w:tcPr>
          <w:p w14:paraId="3254291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-0.00446</w:t>
            </w:r>
          </w:p>
        </w:tc>
        <w:tc>
          <w:tcPr>
            <w:tcW w:w="909" w:type="dxa"/>
            <w:shd w:val="clear" w:color="auto" w:fill="auto"/>
            <w:noWrap/>
            <w:vAlign w:val="center"/>
            <w:hideMark/>
          </w:tcPr>
          <w:p w14:paraId="61B9F8F4"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0.0074</w:t>
            </w:r>
          </w:p>
        </w:tc>
        <w:tc>
          <w:tcPr>
            <w:tcW w:w="822" w:type="dxa"/>
            <w:tcBorders>
              <w:right w:val="single" w:sz="4" w:space="0" w:color="auto"/>
            </w:tcBorders>
            <w:vAlign w:val="center"/>
          </w:tcPr>
          <w:p w14:paraId="3690840E"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color w:val="000000"/>
                <w:sz w:val="16"/>
                <w:szCs w:val="16"/>
              </w:rPr>
              <w:t>0.01034</w:t>
            </w:r>
          </w:p>
        </w:tc>
        <w:tc>
          <w:tcPr>
            <w:tcW w:w="992" w:type="dxa"/>
            <w:tcBorders>
              <w:left w:val="single" w:sz="4" w:space="0" w:color="auto"/>
            </w:tcBorders>
            <w:shd w:val="clear" w:color="auto" w:fill="auto"/>
            <w:noWrap/>
            <w:vAlign w:val="center"/>
            <w:hideMark/>
          </w:tcPr>
          <w:p w14:paraId="6126D7A3"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0.00375*</w:t>
            </w:r>
          </w:p>
        </w:tc>
        <w:tc>
          <w:tcPr>
            <w:tcW w:w="917" w:type="dxa"/>
            <w:shd w:val="clear" w:color="auto" w:fill="auto"/>
            <w:noWrap/>
            <w:vAlign w:val="center"/>
            <w:hideMark/>
          </w:tcPr>
          <w:p w14:paraId="2A2B7E2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0.00948*</w:t>
            </w:r>
          </w:p>
        </w:tc>
        <w:tc>
          <w:tcPr>
            <w:tcW w:w="1079" w:type="dxa"/>
            <w:gridSpan w:val="2"/>
            <w:shd w:val="clear" w:color="auto" w:fill="auto"/>
            <w:noWrap/>
            <w:vAlign w:val="center"/>
            <w:hideMark/>
          </w:tcPr>
          <w:p w14:paraId="61937442"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-0.0132*</w:t>
            </w:r>
          </w:p>
        </w:tc>
        <w:tc>
          <w:tcPr>
            <w:tcW w:w="822" w:type="dxa"/>
            <w:vAlign w:val="center"/>
          </w:tcPr>
          <w:p w14:paraId="70DFFCDD"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color w:val="000000"/>
                <w:sz w:val="16"/>
                <w:szCs w:val="16"/>
              </w:rPr>
              <w:t>-0.01692</w:t>
            </w:r>
          </w:p>
        </w:tc>
      </w:tr>
      <w:tr w:rsidR="000C5578" w:rsidRPr="00D13BC1" w14:paraId="57BF58CE" w14:textId="77777777" w:rsidTr="000C41DE">
        <w:trPr>
          <w:trHeight w:val="225"/>
        </w:trPr>
        <w:tc>
          <w:tcPr>
            <w:tcW w:w="1985" w:type="dxa"/>
            <w:tcBorders>
              <w:right w:val="single" w:sz="4" w:space="0" w:color="auto"/>
            </w:tcBorders>
            <w:shd w:val="clear" w:color="auto" w:fill="auto"/>
            <w:vAlign w:val="bottom"/>
            <w:hideMark/>
          </w:tcPr>
          <w:p w14:paraId="508E7993"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04DAE5C1"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(0.00281)</w:t>
            </w:r>
          </w:p>
        </w:tc>
        <w:tc>
          <w:tcPr>
            <w:tcW w:w="909" w:type="dxa"/>
            <w:shd w:val="clear" w:color="auto" w:fill="auto"/>
            <w:noWrap/>
            <w:vAlign w:val="center"/>
            <w:hideMark/>
          </w:tcPr>
          <w:p w14:paraId="5CACDF6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(0.00431)</w:t>
            </w:r>
          </w:p>
        </w:tc>
        <w:tc>
          <w:tcPr>
            <w:tcW w:w="909" w:type="dxa"/>
            <w:shd w:val="clear" w:color="auto" w:fill="auto"/>
            <w:noWrap/>
            <w:vAlign w:val="center"/>
            <w:hideMark/>
          </w:tcPr>
          <w:p w14:paraId="6F0428E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(0.00712)</w:t>
            </w:r>
          </w:p>
        </w:tc>
        <w:tc>
          <w:tcPr>
            <w:tcW w:w="822" w:type="dxa"/>
            <w:tcBorders>
              <w:right w:val="single" w:sz="4" w:space="0" w:color="auto"/>
            </w:tcBorders>
            <w:vAlign w:val="center"/>
          </w:tcPr>
          <w:p w14:paraId="0DA2B4CA" w14:textId="77777777" w:rsidR="000C5578" w:rsidRPr="001356C3"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35FE4EC6"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(0.00206)</w:t>
            </w:r>
          </w:p>
        </w:tc>
        <w:tc>
          <w:tcPr>
            <w:tcW w:w="917" w:type="dxa"/>
            <w:shd w:val="clear" w:color="auto" w:fill="auto"/>
            <w:noWrap/>
            <w:vAlign w:val="center"/>
            <w:hideMark/>
          </w:tcPr>
          <w:p w14:paraId="7820CDE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(0.00507)</w:t>
            </w:r>
          </w:p>
        </w:tc>
        <w:tc>
          <w:tcPr>
            <w:tcW w:w="1079" w:type="dxa"/>
            <w:gridSpan w:val="2"/>
            <w:shd w:val="clear" w:color="auto" w:fill="auto"/>
            <w:noWrap/>
            <w:vAlign w:val="center"/>
            <w:hideMark/>
          </w:tcPr>
          <w:p w14:paraId="1D881E2A"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(0.00713)</w:t>
            </w:r>
          </w:p>
        </w:tc>
        <w:tc>
          <w:tcPr>
            <w:tcW w:w="822" w:type="dxa"/>
            <w:vAlign w:val="center"/>
          </w:tcPr>
          <w:p w14:paraId="09FA05DB" w14:textId="77777777" w:rsidR="000C5578" w:rsidRPr="001356C3" w:rsidRDefault="000C5578" w:rsidP="00D13BC1">
            <w:pPr>
              <w:adjustRightInd w:val="0"/>
              <w:snapToGrid w:val="0"/>
              <w:spacing w:after="0" w:line="240" w:lineRule="auto"/>
              <w:rPr>
                <w:rFonts w:ascii="Arial Narrow" w:hAnsi="Arial Narrow" w:cs="Arial"/>
                <w:sz w:val="16"/>
                <w:szCs w:val="16"/>
              </w:rPr>
            </w:pPr>
          </w:p>
        </w:tc>
      </w:tr>
      <w:tr w:rsidR="000C5578" w:rsidRPr="00D13BC1" w14:paraId="278BFCC2" w14:textId="77777777" w:rsidTr="000C41DE">
        <w:trPr>
          <w:trHeight w:val="225"/>
        </w:trPr>
        <w:tc>
          <w:tcPr>
            <w:tcW w:w="1985" w:type="dxa"/>
            <w:tcBorders>
              <w:right w:val="single" w:sz="4" w:space="0" w:color="auto"/>
            </w:tcBorders>
            <w:shd w:val="clear" w:color="auto" w:fill="auto"/>
            <w:noWrap/>
            <w:vAlign w:val="center"/>
            <w:hideMark/>
          </w:tcPr>
          <w:p w14:paraId="62BEC428"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2</w:t>
            </w:r>
          </w:p>
        </w:tc>
        <w:tc>
          <w:tcPr>
            <w:tcW w:w="992" w:type="dxa"/>
            <w:tcBorders>
              <w:left w:val="single" w:sz="4" w:space="0" w:color="auto"/>
            </w:tcBorders>
            <w:shd w:val="clear" w:color="auto" w:fill="auto"/>
            <w:noWrap/>
            <w:vAlign w:val="center"/>
            <w:hideMark/>
          </w:tcPr>
          <w:p w14:paraId="4B780CE5"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0.0146***</w:t>
            </w:r>
          </w:p>
        </w:tc>
        <w:tc>
          <w:tcPr>
            <w:tcW w:w="909" w:type="dxa"/>
            <w:shd w:val="clear" w:color="auto" w:fill="auto"/>
            <w:noWrap/>
            <w:vAlign w:val="center"/>
            <w:hideMark/>
          </w:tcPr>
          <w:p w14:paraId="5793894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0.0190***</w:t>
            </w:r>
          </w:p>
        </w:tc>
        <w:tc>
          <w:tcPr>
            <w:tcW w:w="909" w:type="dxa"/>
            <w:shd w:val="clear" w:color="auto" w:fill="auto"/>
            <w:noWrap/>
            <w:vAlign w:val="center"/>
            <w:hideMark/>
          </w:tcPr>
          <w:p w14:paraId="52064BB3"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-0.0336***</w:t>
            </w:r>
          </w:p>
        </w:tc>
        <w:tc>
          <w:tcPr>
            <w:tcW w:w="822" w:type="dxa"/>
            <w:tcBorders>
              <w:right w:val="single" w:sz="4" w:space="0" w:color="auto"/>
            </w:tcBorders>
            <w:vAlign w:val="center"/>
          </w:tcPr>
          <w:p w14:paraId="5692E2E0"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-0.0482</w:t>
            </w:r>
          </w:p>
        </w:tc>
        <w:tc>
          <w:tcPr>
            <w:tcW w:w="992" w:type="dxa"/>
            <w:tcBorders>
              <w:left w:val="single" w:sz="4" w:space="0" w:color="auto"/>
            </w:tcBorders>
            <w:shd w:val="clear" w:color="auto" w:fill="auto"/>
            <w:noWrap/>
            <w:vAlign w:val="center"/>
            <w:hideMark/>
          </w:tcPr>
          <w:p w14:paraId="5C1684D7"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0.00236</w:t>
            </w:r>
          </w:p>
        </w:tc>
        <w:tc>
          <w:tcPr>
            <w:tcW w:w="917" w:type="dxa"/>
            <w:shd w:val="clear" w:color="auto" w:fill="auto"/>
            <w:noWrap/>
            <w:vAlign w:val="center"/>
            <w:hideMark/>
          </w:tcPr>
          <w:p w14:paraId="66F3014C"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0.00608</w:t>
            </w:r>
          </w:p>
        </w:tc>
        <w:tc>
          <w:tcPr>
            <w:tcW w:w="1079" w:type="dxa"/>
            <w:gridSpan w:val="2"/>
            <w:shd w:val="clear" w:color="auto" w:fill="auto"/>
            <w:noWrap/>
            <w:vAlign w:val="center"/>
            <w:hideMark/>
          </w:tcPr>
          <w:p w14:paraId="1385AE9B" w14:textId="77777777" w:rsidR="000C5578" w:rsidRPr="001356C3"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-0.00844</w:t>
            </w:r>
          </w:p>
        </w:tc>
        <w:tc>
          <w:tcPr>
            <w:tcW w:w="822" w:type="dxa"/>
            <w:vAlign w:val="center"/>
          </w:tcPr>
          <w:p w14:paraId="0A883CAA" w14:textId="77777777" w:rsidR="000C5578" w:rsidRPr="001356C3" w:rsidRDefault="000C5578" w:rsidP="00D13BC1">
            <w:pPr>
              <w:adjustRightInd w:val="0"/>
              <w:snapToGrid w:val="0"/>
              <w:spacing w:after="0" w:line="240" w:lineRule="auto"/>
              <w:rPr>
                <w:rFonts w:ascii="Arial Narrow" w:hAnsi="Arial Narrow" w:cs="Arial"/>
                <w:sz w:val="16"/>
                <w:szCs w:val="16"/>
              </w:rPr>
            </w:pPr>
            <w:r w:rsidRPr="001356C3">
              <w:rPr>
                <w:rFonts w:ascii="Arial Narrow" w:hAnsi="Arial Narrow" w:cs="Arial"/>
                <w:b/>
                <w:color w:val="000000"/>
                <w:sz w:val="16"/>
                <w:szCs w:val="16"/>
              </w:rPr>
              <w:t>-0.0108</w:t>
            </w:r>
          </w:p>
        </w:tc>
      </w:tr>
      <w:tr w:rsidR="000C5578" w:rsidRPr="00D13BC1" w14:paraId="04ADCFBD" w14:textId="77777777" w:rsidTr="000C41DE">
        <w:trPr>
          <w:trHeight w:val="225"/>
        </w:trPr>
        <w:tc>
          <w:tcPr>
            <w:tcW w:w="1985" w:type="dxa"/>
            <w:tcBorders>
              <w:right w:val="single" w:sz="4" w:space="0" w:color="auto"/>
            </w:tcBorders>
            <w:shd w:val="clear" w:color="auto" w:fill="auto"/>
            <w:vAlign w:val="bottom"/>
            <w:hideMark/>
          </w:tcPr>
          <w:p w14:paraId="406C5E6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186DF9D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(0.00400)</w:t>
            </w:r>
          </w:p>
        </w:tc>
        <w:tc>
          <w:tcPr>
            <w:tcW w:w="909" w:type="dxa"/>
            <w:shd w:val="clear" w:color="auto" w:fill="auto"/>
            <w:noWrap/>
            <w:vAlign w:val="center"/>
            <w:hideMark/>
          </w:tcPr>
          <w:p w14:paraId="4E16B34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(0.00475)</w:t>
            </w:r>
          </w:p>
        </w:tc>
        <w:tc>
          <w:tcPr>
            <w:tcW w:w="909" w:type="dxa"/>
            <w:shd w:val="clear" w:color="auto" w:fill="auto"/>
            <w:noWrap/>
            <w:vAlign w:val="center"/>
            <w:hideMark/>
          </w:tcPr>
          <w:p w14:paraId="57E9770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(0.00874)</w:t>
            </w:r>
          </w:p>
        </w:tc>
        <w:tc>
          <w:tcPr>
            <w:tcW w:w="822" w:type="dxa"/>
            <w:tcBorders>
              <w:right w:val="single" w:sz="4" w:space="0" w:color="auto"/>
            </w:tcBorders>
            <w:vAlign w:val="center"/>
          </w:tcPr>
          <w:p w14:paraId="32880A2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27FA665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(0.00257)</w:t>
            </w:r>
          </w:p>
        </w:tc>
        <w:tc>
          <w:tcPr>
            <w:tcW w:w="917" w:type="dxa"/>
            <w:shd w:val="clear" w:color="auto" w:fill="auto"/>
            <w:noWrap/>
            <w:vAlign w:val="center"/>
            <w:hideMark/>
          </w:tcPr>
          <w:p w14:paraId="4C35E2B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(0.00646)</w:t>
            </w:r>
          </w:p>
        </w:tc>
        <w:tc>
          <w:tcPr>
            <w:tcW w:w="1079" w:type="dxa"/>
            <w:gridSpan w:val="2"/>
            <w:shd w:val="clear" w:color="auto" w:fill="auto"/>
            <w:noWrap/>
            <w:vAlign w:val="center"/>
            <w:hideMark/>
          </w:tcPr>
          <w:p w14:paraId="4A4753A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(0.00903)</w:t>
            </w:r>
          </w:p>
        </w:tc>
        <w:tc>
          <w:tcPr>
            <w:tcW w:w="822" w:type="dxa"/>
            <w:vAlign w:val="center"/>
          </w:tcPr>
          <w:p w14:paraId="2D61315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r>
      <w:tr w:rsidR="000C5578" w:rsidRPr="00D13BC1" w14:paraId="1C02EE55" w14:textId="77777777" w:rsidTr="000C41DE">
        <w:trPr>
          <w:trHeight w:val="225"/>
        </w:trPr>
        <w:tc>
          <w:tcPr>
            <w:tcW w:w="1985" w:type="dxa"/>
            <w:tcBorders>
              <w:right w:val="single" w:sz="4" w:space="0" w:color="auto"/>
            </w:tcBorders>
            <w:shd w:val="clear" w:color="auto" w:fill="auto"/>
            <w:vAlign w:val="center"/>
            <w:hideMark/>
          </w:tcPr>
          <w:p w14:paraId="1B073AF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&gt;2</w:t>
            </w:r>
          </w:p>
        </w:tc>
        <w:tc>
          <w:tcPr>
            <w:tcW w:w="992" w:type="dxa"/>
            <w:tcBorders>
              <w:left w:val="single" w:sz="4" w:space="0" w:color="auto"/>
            </w:tcBorders>
            <w:shd w:val="clear" w:color="auto" w:fill="auto"/>
            <w:noWrap/>
            <w:vAlign w:val="center"/>
            <w:hideMark/>
          </w:tcPr>
          <w:p w14:paraId="7F6CC24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-0.000267</w:t>
            </w:r>
          </w:p>
        </w:tc>
        <w:tc>
          <w:tcPr>
            <w:tcW w:w="909" w:type="dxa"/>
            <w:shd w:val="clear" w:color="auto" w:fill="auto"/>
            <w:noWrap/>
            <w:vAlign w:val="center"/>
            <w:hideMark/>
          </w:tcPr>
          <w:p w14:paraId="0A662DB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-0.000394</w:t>
            </w:r>
          </w:p>
        </w:tc>
        <w:tc>
          <w:tcPr>
            <w:tcW w:w="909" w:type="dxa"/>
            <w:shd w:val="clear" w:color="auto" w:fill="auto"/>
            <w:noWrap/>
            <w:vAlign w:val="center"/>
            <w:hideMark/>
          </w:tcPr>
          <w:p w14:paraId="0CF5363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0.000661</w:t>
            </w:r>
          </w:p>
        </w:tc>
        <w:tc>
          <w:tcPr>
            <w:tcW w:w="822" w:type="dxa"/>
            <w:tcBorders>
              <w:right w:val="single" w:sz="4" w:space="0" w:color="auto"/>
            </w:tcBorders>
            <w:vAlign w:val="center"/>
          </w:tcPr>
          <w:p w14:paraId="362E1A00"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D13BC1">
              <w:rPr>
                <w:rFonts w:ascii="Arial Narrow" w:hAnsi="Arial Narrow" w:cs="Arial"/>
                <w:color w:val="000000"/>
                <w:sz w:val="16"/>
                <w:szCs w:val="16"/>
              </w:rPr>
              <w:t>0.000928</w:t>
            </w:r>
          </w:p>
        </w:tc>
        <w:tc>
          <w:tcPr>
            <w:tcW w:w="992" w:type="dxa"/>
            <w:tcBorders>
              <w:left w:val="single" w:sz="4" w:space="0" w:color="auto"/>
            </w:tcBorders>
            <w:shd w:val="clear" w:color="auto" w:fill="auto"/>
            <w:noWrap/>
            <w:vAlign w:val="center"/>
            <w:hideMark/>
          </w:tcPr>
          <w:p w14:paraId="21A83E0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-0.000733</w:t>
            </w:r>
          </w:p>
        </w:tc>
        <w:tc>
          <w:tcPr>
            <w:tcW w:w="917" w:type="dxa"/>
            <w:shd w:val="clear" w:color="auto" w:fill="auto"/>
            <w:noWrap/>
            <w:vAlign w:val="center"/>
            <w:hideMark/>
          </w:tcPr>
          <w:p w14:paraId="4E61609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-0.00197</w:t>
            </w:r>
          </w:p>
        </w:tc>
        <w:tc>
          <w:tcPr>
            <w:tcW w:w="1079" w:type="dxa"/>
            <w:gridSpan w:val="2"/>
            <w:shd w:val="clear" w:color="auto" w:fill="auto"/>
            <w:noWrap/>
            <w:vAlign w:val="center"/>
            <w:hideMark/>
          </w:tcPr>
          <w:p w14:paraId="08C2B7C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0.0027</w:t>
            </w:r>
          </w:p>
        </w:tc>
        <w:tc>
          <w:tcPr>
            <w:tcW w:w="822" w:type="dxa"/>
            <w:vAlign w:val="center"/>
          </w:tcPr>
          <w:p w14:paraId="3112097E"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D13BC1">
              <w:rPr>
                <w:rFonts w:ascii="Arial Narrow" w:hAnsi="Arial Narrow" w:cs="Arial"/>
                <w:color w:val="000000"/>
                <w:sz w:val="16"/>
                <w:szCs w:val="16"/>
              </w:rPr>
              <w:t>0.00343</w:t>
            </w:r>
          </w:p>
        </w:tc>
      </w:tr>
      <w:tr w:rsidR="000C5578" w:rsidRPr="00D13BC1" w14:paraId="1A4EAACB" w14:textId="77777777" w:rsidTr="000C41DE">
        <w:trPr>
          <w:trHeight w:val="225"/>
        </w:trPr>
        <w:tc>
          <w:tcPr>
            <w:tcW w:w="1985" w:type="dxa"/>
            <w:tcBorders>
              <w:right w:val="single" w:sz="4" w:space="0" w:color="auto"/>
            </w:tcBorders>
            <w:shd w:val="clear" w:color="auto" w:fill="auto"/>
            <w:noWrap/>
            <w:vAlign w:val="bottom"/>
            <w:hideMark/>
          </w:tcPr>
          <w:p w14:paraId="377DF84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76AA03D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(0.00436)</w:t>
            </w:r>
          </w:p>
        </w:tc>
        <w:tc>
          <w:tcPr>
            <w:tcW w:w="909" w:type="dxa"/>
            <w:shd w:val="clear" w:color="auto" w:fill="auto"/>
            <w:noWrap/>
            <w:vAlign w:val="center"/>
            <w:hideMark/>
          </w:tcPr>
          <w:p w14:paraId="7361753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(0.00646)</w:t>
            </w:r>
          </w:p>
        </w:tc>
        <w:tc>
          <w:tcPr>
            <w:tcW w:w="909" w:type="dxa"/>
            <w:shd w:val="clear" w:color="auto" w:fill="auto"/>
            <w:noWrap/>
            <w:vAlign w:val="center"/>
            <w:hideMark/>
          </w:tcPr>
          <w:p w14:paraId="7CD9B3D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(0.01080)</w:t>
            </w:r>
          </w:p>
        </w:tc>
        <w:tc>
          <w:tcPr>
            <w:tcW w:w="822" w:type="dxa"/>
            <w:tcBorders>
              <w:right w:val="single" w:sz="4" w:space="0" w:color="auto"/>
            </w:tcBorders>
            <w:vAlign w:val="center"/>
          </w:tcPr>
          <w:p w14:paraId="46D50D41"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766A61D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(0.00298)</w:t>
            </w:r>
          </w:p>
        </w:tc>
        <w:tc>
          <w:tcPr>
            <w:tcW w:w="917" w:type="dxa"/>
            <w:shd w:val="clear" w:color="auto" w:fill="auto"/>
            <w:noWrap/>
            <w:vAlign w:val="center"/>
            <w:hideMark/>
          </w:tcPr>
          <w:p w14:paraId="6A3825C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(0.00806)</w:t>
            </w:r>
          </w:p>
        </w:tc>
        <w:tc>
          <w:tcPr>
            <w:tcW w:w="1079" w:type="dxa"/>
            <w:gridSpan w:val="2"/>
            <w:shd w:val="clear" w:color="auto" w:fill="auto"/>
            <w:noWrap/>
            <w:vAlign w:val="center"/>
            <w:hideMark/>
          </w:tcPr>
          <w:p w14:paraId="070F52B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(0.01100)</w:t>
            </w:r>
          </w:p>
        </w:tc>
        <w:tc>
          <w:tcPr>
            <w:tcW w:w="822" w:type="dxa"/>
            <w:vAlign w:val="center"/>
          </w:tcPr>
          <w:p w14:paraId="71E5DCA5"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04F589E6" w14:textId="77777777" w:rsidTr="000C41DE">
        <w:trPr>
          <w:trHeight w:val="225"/>
        </w:trPr>
        <w:tc>
          <w:tcPr>
            <w:tcW w:w="1985" w:type="dxa"/>
            <w:tcBorders>
              <w:right w:val="single" w:sz="4" w:space="0" w:color="auto"/>
            </w:tcBorders>
            <w:shd w:val="clear" w:color="auto" w:fill="auto"/>
            <w:vAlign w:val="center"/>
            <w:hideMark/>
          </w:tcPr>
          <w:p w14:paraId="56FAE32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Theft</w:t>
            </w:r>
          </w:p>
        </w:tc>
        <w:tc>
          <w:tcPr>
            <w:tcW w:w="992" w:type="dxa"/>
            <w:tcBorders>
              <w:left w:val="single" w:sz="4" w:space="0" w:color="auto"/>
            </w:tcBorders>
            <w:shd w:val="clear" w:color="auto" w:fill="auto"/>
            <w:noWrap/>
            <w:vAlign w:val="center"/>
            <w:hideMark/>
          </w:tcPr>
          <w:p w14:paraId="71E9D60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32C438C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center"/>
            <w:hideMark/>
          </w:tcPr>
          <w:p w14:paraId="2CC34F1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tcBorders>
              <w:right w:val="single" w:sz="4" w:space="0" w:color="auto"/>
            </w:tcBorders>
            <w:vAlign w:val="center"/>
          </w:tcPr>
          <w:p w14:paraId="5BBCDCB2"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776B883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73562B0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4BBDA57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822" w:type="dxa"/>
            <w:vAlign w:val="bottom"/>
          </w:tcPr>
          <w:p w14:paraId="45811AFF"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4016F782" w14:textId="77777777" w:rsidTr="000C41DE">
        <w:trPr>
          <w:trHeight w:val="225"/>
        </w:trPr>
        <w:tc>
          <w:tcPr>
            <w:tcW w:w="1985" w:type="dxa"/>
            <w:tcBorders>
              <w:right w:val="single" w:sz="4" w:space="0" w:color="auto"/>
            </w:tcBorders>
            <w:shd w:val="clear" w:color="auto" w:fill="auto"/>
            <w:noWrap/>
            <w:vAlign w:val="center"/>
            <w:hideMark/>
          </w:tcPr>
          <w:p w14:paraId="5AB7E73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Yes</w:t>
            </w:r>
          </w:p>
        </w:tc>
        <w:tc>
          <w:tcPr>
            <w:tcW w:w="992" w:type="dxa"/>
            <w:tcBorders>
              <w:left w:val="single" w:sz="4" w:space="0" w:color="auto"/>
            </w:tcBorders>
            <w:shd w:val="clear" w:color="auto" w:fill="auto"/>
            <w:noWrap/>
            <w:vAlign w:val="center"/>
            <w:hideMark/>
          </w:tcPr>
          <w:p w14:paraId="5C2D03D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0.00797</w:t>
            </w:r>
          </w:p>
        </w:tc>
        <w:tc>
          <w:tcPr>
            <w:tcW w:w="909" w:type="dxa"/>
            <w:shd w:val="clear" w:color="auto" w:fill="auto"/>
            <w:noWrap/>
            <w:vAlign w:val="center"/>
            <w:hideMark/>
          </w:tcPr>
          <w:p w14:paraId="45F91C0F"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0.0109</w:t>
            </w:r>
          </w:p>
        </w:tc>
        <w:tc>
          <w:tcPr>
            <w:tcW w:w="909" w:type="dxa"/>
            <w:shd w:val="clear" w:color="auto" w:fill="auto"/>
            <w:noWrap/>
            <w:vAlign w:val="center"/>
            <w:hideMark/>
          </w:tcPr>
          <w:p w14:paraId="00B633D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-0.0188</w:t>
            </w:r>
          </w:p>
        </w:tc>
        <w:tc>
          <w:tcPr>
            <w:tcW w:w="822" w:type="dxa"/>
            <w:tcBorders>
              <w:right w:val="single" w:sz="4" w:space="0" w:color="auto"/>
            </w:tcBorders>
            <w:vAlign w:val="center"/>
          </w:tcPr>
          <w:p w14:paraId="68EF37AF"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-0.0267</w:t>
            </w:r>
          </w:p>
        </w:tc>
        <w:tc>
          <w:tcPr>
            <w:tcW w:w="992" w:type="dxa"/>
            <w:tcBorders>
              <w:left w:val="single" w:sz="4" w:space="0" w:color="auto"/>
            </w:tcBorders>
            <w:shd w:val="clear" w:color="auto" w:fill="auto"/>
            <w:noWrap/>
            <w:vAlign w:val="center"/>
            <w:hideMark/>
          </w:tcPr>
          <w:p w14:paraId="3C38357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0.0163***</w:t>
            </w:r>
          </w:p>
        </w:tc>
        <w:tc>
          <w:tcPr>
            <w:tcW w:w="917" w:type="dxa"/>
            <w:shd w:val="clear" w:color="auto" w:fill="auto"/>
            <w:noWrap/>
            <w:vAlign w:val="center"/>
            <w:hideMark/>
          </w:tcPr>
          <w:p w14:paraId="5367724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0.0353***</w:t>
            </w:r>
          </w:p>
        </w:tc>
        <w:tc>
          <w:tcPr>
            <w:tcW w:w="1079" w:type="dxa"/>
            <w:gridSpan w:val="2"/>
            <w:shd w:val="clear" w:color="auto" w:fill="auto"/>
            <w:noWrap/>
            <w:vAlign w:val="center"/>
            <w:hideMark/>
          </w:tcPr>
          <w:p w14:paraId="42976D5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sz w:val="16"/>
                <w:szCs w:val="16"/>
              </w:rPr>
              <w:t>-0.0516***</w:t>
            </w:r>
          </w:p>
        </w:tc>
        <w:tc>
          <w:tcPr>
            <w:tcW w:w="822" w:type="dxa"/>
            <w:vAlign w:val="center"/>
          </w:tcPr>
          <w:p w14:paraId="464AD695"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color w:val="000000"/>
                <w:sz w:val="16"/>
                <w:szCs w:val="16"/>
              </w:rPr>
              <w:t>-0.0679</w:t>
            </w:r>
          </w:p>
        </w:tc>
      </w:tr>
      <w:tr w:rsidR="000C5578" w:rsidRPr="00D13BC1" w14:paraId="637656B4" w14:textId="77777777" w:rsidTr="000C41DE">
        <w:trPr>
          <w:trHeight w:val="225"/>
        </w:trPr>
        <w:tc>
          <w:tcPr>
            <w:tcW w:w="1985" w:type="dxa"/>
            <w:tcBorders>
              <w:right w:val="single" w:sz="4" w:space="0" w:color="auto"/>
            </w:tcBorders>
            <w:shd w:val="clear" w:color="auto" w:fill="auto"/>
            <w:vAlign w:val="bottom"/>
            <w:hideMark/>
          </w:tcPr>
          <w:p w14:paraId="4C2206D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506D9DC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(0.00544)</w:t>
            </w:r>
          </w:p>
        </w:tc>
        <w:tc>
          <w:tcPr>
            <w:tcW w:w="909" w:type="dxa"/>
            <w:shd w:val="clear" w:color="auto" w:fill="auto"/>
            <w:noWrap/>
            <w:vAlign w:val="center"/>
            <w:hideMark/>
          </w:tcPr>
          <w:p w14:paraId="1849D6A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(0.00695)</w:t>
            </w:r>
          </w:p>
        </w:tc>
        <w:tc>
          <w:tcPr>
            <w:tcW w:w="909" w:type="dxa"/>
            <w:shd w:val="clear" w:color="auto" w:fill="auto"/>
            <w:noWrap/>
            <w:vAlign w:val="center"/>
            <w:hideMark/>
          </w:tcPr>
          <w:p w14:paraId="63BD4AFD"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(0.01240)</w:t>
            </w:r>
          </w:p>
        </w:tc>
        <w:tc>
          <w:tcPr>
            <w:tcW w:w="822" w:type="dxa"/>
            <w:tcBorders>
              <w:right w:val="single" w:sz="4" w:space="0" w:color="auto"/>
            </w:tcBorders>
            <w:vAlign w:val="center"/>
          </w:tcPr>
          <w:p w14:paraId="6FF2C930"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501D2B4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(0.00433)</w:t>
            </w:r>
          </w:p>
        </w:tc>
        <w:tc>
          <w:tcPr>
            <w:tcW w:w="917" w:type="dxa"/>
            <w:shd w:val="clear" w:color="auto" w:fill="auto"/>
            <w:noWrap/>
            <w:vAlign w:val="center"/>
            <w:hideMark/>
          </w:tcPr>
          <w:p w14:paraId="0A1116F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(0.00774)</w:t>
            </w:r>
          </w:p>
        </w:tc>
        <w:tc>
          <w:tcPr>
            <w:tcW w:w="1079" w:type="dxa"/>
            <w:gridSpan w:val="2"/>
            <w:shd w:val="clear" w:color="auto" w:fill="auto"/>
            <w:noWrap/>
            <w:vAlign w:val="center"/>
            <w:hideMark/>
          </w:tcPr>
          <w:p w14:paraId="4CAB882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sz w:val="16"/>
                <w:szCs w:val="16"/>
              </w:rPr>
              <w:t>(0.01200)</w:t>
            </w:r>
          </w:p>
        </w:tc>
        <w:tc>
          <w:tcPr>
            <w:tcW w:w="822" w:type="dxa"/>
            <w:vAlign w:val="center"/>
          </w:tcPr>
          <w:p w14:paraId="6B9237DF"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78DA4B79" w14:textId="77777777" w:rsidTr="000C41DE">
        <w:trPr>
          <w:trHeight w:val="225"/>
        </w:trPr>
        <w:tc>
          <w:tcPr>
            <w:tcW w:w="1985" w:type="dxa"/>
            <w:tcBorders>
              <w:right w:val="single" w:sz="4" w:space="0" w:color="auto"/>
            </w:tcBorders>
            <w:shd w:val="clear" w:color="auto" w:fill="auto"/>
            <w:noWrap/>
            <w:vAlign w:val="center"/>
            <w:hideMark/>
          </w:tcPr>
          <w:p w14:paraId="4DE9186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Conflict in village</w:t>
            </w:r>
          </w:p>
        </w:tc>
        <w:tc>
          <w:tcPr>
            <w:tcW w:w="992" w:type="dxa"/>
            <w:tcBorders>
              <w:left w:val="single" w:sz="4" w:space="0" w:color="auto"/>
            </w:tcBorders>
            <w:shd w:val="clear" w:color="auto" w:fill="auto"/>
            <w:noWrap/>
            <w:vAlign w:val="center"/>
            <w:hideMark/>
          </w:tcPr>
          <w:p w14:paraId="025AC9B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6FF858B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center"/>
            <w:hideMark/>
          </w:tcPr>
          <w:p w14:paraId="256FBD39"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tcBorders>
              <w:right w:val="single" w:sz="4" w:space="0" w:color="auto"/>
            </w:tcBorders>
            <w:vAlign w:val="center"/>
          </w:tcPr>
          <w:p w14:paraId="4ABAF75E"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01B0ABD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71BC1C2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5891235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822" w:type="dxa"/>
            <w:vAlign w:val="bottom"/>
          </w:tcPr>
          <w:p w14:paraId="5304C3D9"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5578" w:rsidRPr="00D13BC1" w14:paraId="0C3CF52D" w14:textId="77777777" w:rsidTr="000C41DE">
        <w:trPr>
          <w:trHeight w:val="225"/>
        </w:trPr>
        <w:tc>
          <w:tcPr>
            <w:tcW w:w="1985" w:type="dxa"/>
            <w:tcBorders>
              <w:right w:val="single" w:sz="4" w:space="0" w:color="auto"/>
            </w:tcBorders>
            <w:shd w:val="clear" w:color="auto" w:fill="auto"/>
            <w:vAlign w:val="center"/>
            <w:hideMark/>
          </w:tcPr>
          <w:p w14:paraId="698E5385"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 xml:space="preserve">  Yes</w:t>
            </w:r>
          </w:p>
        </w:tc>
        <w:tc>
          <w:tcPr>
            <w:tcW w:w="992" w:type="dxa"/>
            <w:tcBorders>
              <w:left w:val="single" w:sz="4" w:space="0" w:color="auto"/>
            </w:tcBorders>
            <w:shd w:val="clear" w:color="auto" w:fill="auto"/>
            <w:noWrap/>
            <w:vAlign w:val="center"/>
            <w:hideMark/>
          </w:tcPr>
          <w:p w14:paraId="14270B2E"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-0.00490**</w:t>
            </w:r>
          </w:p>
        </w:tc>
        <w:tc>
          <w:tcPr>
            <w:tcW w:w="909" w:type="dxa"/>
            <w:shd w:val="clear" w:color="auto" w:fill="auto"/>
            <w:noWrap/>
            <w:vAlign w:val="center"/>
            <w:hideMark/>
          </w:tcPr>
          <w:p w14:paraId="38E4B2D6"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-0.00713**</w:t>
            </w:r>
          </w:p>
        </w:tc>
        <w:tc>
          <w:tcPr>
            <w:tcW w:w="909" w:type="dxa"/>
            <w:shd w:val="clear" w:color="auto" w:fill="auto"/>
            <w:noWrap/>
            <w:vAlign w:val="center"/>
            <w:hideMark/>
          </w:tcPr>
          <w:p w14:paraId="38AD8E6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0.0120**</w:t>
            </w:r>
          </w:p>
        </w:tc>
        <w:tc>
          <w:tcPr>
            <w:tcW w:w="822" w:type="dxa"/>
            <w:tcBorders>
              <w:right w:val="single" w:sz="4" w:space="0" w:color="auto"/>
            </w:tcBorders>
            <w:vAlign w:val="center"/>
          </w:tcPr>
          <w:p w14:paraId="753C5337"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0.01687</w:t>
            </w:r>
          </w:p>
        </w:tc>
        <w:tc>
          <w:tcPr>
            <w:tcW w:w="992" w:type="dxa"/>
            <w:tcBorders>
              <w:left w:val="single" w:sz="4" w:space="0" w:color="auto"/>
            </w:tcBorders>
            <w:shd w:val="clear" w:color="auto" w:fill="auto"/>
            <w:noWrap/>
            <w:vAlign w:val="center"/>
            <w:hideMark/>
          </w:tcPr>
          <w:p w14:paraId="26514A5C"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0.00877***</w:t>
            </w:r>
          </w:p>
        </w:tc>
        <w:tc>
          <w:tcPr>
            <w:tcW w:w="917" w:type="dxa"/>
            <w:shd w:val="clear" w:color="auto" w:fill="auto"/>
            <w:noWrap/>
            <w:vAlign w:val="center"/>
            <w:hideMark/>
          </w:tcPr>
          <w:p w14:paraId="179E7C1F"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0.0226***</w:t>
            </w:r>
          </w:p>
        </w:tc>
        <w:tc>
          <w:tcPr>
            <w:tcW w:w="1079" w:type="dxa"/>
            <w:gridSpan w:val="2"/>
            <w:shd w:val="clear" w:color="auto" w:fill="auto"/>
            <w:noWrap/>
            <w:vAlign w:val="center"/>
            <w:hideMark/>
          </w:tcPr>
          <w:p w14:paraId="360C7CCA"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-0.0314***</w:t>
            </w:r>
          </w:p>
        </w:tc>
        <w:tc>
          <w:tcPr>
            <w:tcW w:w="822" w:type="dxa"/>
            <w:vAlign w:val="center"/>
          </w:tcPr>
          <w:p w14:paraId="181C2ED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color w:val="000000"/>
                <w:sz w:val="16"/>
                <w:szCs w:val="16"/>
              </w:rPr>
              <w:t>-0.0402</w:t>
            </w:r>
          </w:p>
        </w:tc>
      </w:tr>
      <w:tr w:rsidR="000C5578" w:rsidRPr="00D13BC1" w14:paraId="7D3BFCD0" w14:textId="77777777" w:rsidTr="000C41DE">
        <w:trPr>
          <w:trHeight w:val="225"/>
        </w:trPr>
        <w:tc>
          <w:tcPr>
            <w:tcW w:w="1985" w:type="dxa"/>
            <w:tcBorders>
              <w:bottom w:val="single" w:sz="4" w:space="0" w:color="auto"/>
              <w:right w:val="single" w:sz="4" w:space="0" w:color="auto"/>
            </w:tcBorders>
            <w:shd w:val="clear" w:color="auto" w:fill="auto"/>
            <w:vAlign w:val="bottom"/>
            <w:hideMark/>
          </w:tcPr>
          <w:p w14:paraId="19966C6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bottom w:val="single" w:sz="4" w:space="0" w:color="auto"/>
            </w:tcBorders>
            <w:shd w:val="clear" w:color="auto" w:fill="auto"/>
            <w:noWrap/>
            <w:vAlign w:val="center"/>
            <w:hideMark/>
          </w:tcPr>
          <w:p w14:paraId="3AC8A57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(0.00221)</w:t>
            </w:r>
          </w:p>
        </w:tc>
        <w:tc>
          <w:tcPr>
            <w:tcW w:w="909" w:type="dxa"/>
            <w:tcBorders>
              <w:bottom w:val="single" w:sz="4" w:space="0" w:color="auto"/>
            </w:tcBorders>
            <w:shd w:val="clear" w:color="auto" w:fill="auto"/>
            <w:noWrap/>
            <w:vAlign w:val="center"/>
            <w:hideMark/>
          </w:tcPr>
          <w:p w14:paraId="3E7FE8F2"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(0.00324)</w:t>
            </w:r>
          </w:p>
        </w:tc>
        <w:tc>
          <w:tcPr>
            <w:tcW w:w="909" w:type="dxa"/>
            <w:tcBorders>
              <w:bottom w:val="single" w:sz="4" w:space="0" w:color="auto"/>
            </w:tcBorders>
            <w:shd w:val="clear" w:color="auto" w:fill="auto"/>
            <w:noWrap/>
            <w:vAlign w:val="center"/>
            <w:hideMark/>
          </w:tcPr>
          <w:p w14:paraId="4C18604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(0.00545)</w:t>
            </w:r>
          </w:p>
        </w:tc>
        <w:tc>
          <w:tcPr>
            <w:tcW w:w="822" w:type="dxa"/>
            <w:tcBorders>
              <w:bottom w:val="single" w:sz="4" w:space="0" w:color="auto"/>
              <w:right w:val="single" w:sz="4" w:space="0" w:color="auto"/>
            </w:tcBorders>
            <w:vAlign w:val="center"/>
          </w:tcPr>
          <w:p w14:paraId="5E329839" w14:textId="77777777" w:rsidR="000C5578" w:rsidRPr="00D13BC1" w:rsidRDefault="000C5578" w:rsidP="00D13BC1">
            <w:pPr>
              <w:adjustRightInd w:val="0"/>
              <w:snapToGrid w:val="0"/>
              <w:spacing w:after="0" w:line="240" w:lineRule="auto"/>
              <w:rPr>
                <w:rFonts w:ascii="Arial Narrow" w:hAnsi="Arial Narrow" w:cs="Arial"/>
                <w:sz w:val="16"/>
                <w:szCs w:val="16"/>
              </w:rPr>
            </w:pPr>
          </w:p>
        </w:tc>
        <w:tc>
          <w:tcPr>
            <w:tcW w:w="992" w:type="dxa"/>
            <w:tcBorders>
              <w:left w:val="single" w:sz="4" w:space="0" w:color="auto"/>
              <w:bottom w:val="single" w:sz="4" w:space="0" w:color="auto"/>
            </w:tcBorders>
            <w:shd w:val="clear" w:color="auto" w:fill="auto"/>
            <w:noWrap/>
            <w:vAlign w:val="center"/>
            <w:hideMark/>
          </w:tcPr>
          <w:p w14:paraId="5606BC6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(0.00157)</w:t>
            </w:r>
          </w:p>
        </w:tc>
        <w:tc>
          <w:tcPr>
            <w:tcW w:w="917" w:type="dxa"/>
            <w:tcBorders>
              <w:bottom w:val="single" w:sz="4" w:space="0" w:color="auto"/>
            </w:tcBorders>
            <w:shd w:val="clear" w:color="auto" w:fill="auto"/>
            <w:noWrap/>
            <w:vAlign w:val="center"/>
            <w:hideMark/>
          </w:tcPr>
          <w:p w14:paraId="5B76219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(0.00397)</w:t>
            </w:r>
          </w:p>
        </w:tc>
        <w:tc>
          <w:tcPr>
            <w:tcW w:w="1079" w:type="dxa"/>
            <w:gridSpan w:val="2"/>
            <w:tcBorders>
              <w:bottom w:val="single" w:sz="4" w:space="0" w:color="auto"/>
            </w:tcBorders>
            <w:shd w:val="clear" w:color="auto" w:fill="auto"/>
            <w:noWrap/>
            <w:vAlign w:val="center"/>
            <w:hideMark/>
          </w:tcPr>
          <w:p w14:paraId="5DF29E53"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1356C3">
              <w:rPr>
                <w:rFonts w:ascii="Arial Narrow" w:hAnsi="Arial Narrow" w:cs="Arial"/>
                <w:b/>
                <w:sz w:val="16"/>
                <w:szCs w:val="16"/>
              </w:rPr>
              <w:t>(0.00552)</w:t>
            </w:r>
          </w:p>
        </w:tc>
        <w:tc>
          <w:tcPr>
            <w:tcW w:w="822" w:type="dxa"/>
            <w:tcBorders>
              <w:bottom w:val="single" w:sz="4" w:space="0" w:color="auto"/>
            </w:tcBorders>
            <w:vAlign w:val="center"/>
          </w:tcPr>
          <w:p w14:paraId="3FB0D083" w14:textId="77777777" w:rsidR="000C5578" w:rsidRPr="00D13BC1" w:rsidRDefault="000C5578" w:rsidP="00D13BC1">
            <w:pPr>
              <w:adjustRightInd w:val="0"/>
              <w:snapToGrid w:val="0"/>
              <w:spacing w:after="0" w:line="240" w:lineRule="auto"/>
              <w:rPr>
                <w:rFonts w:ascii="Arial Narrow" w:hAnsi="Arial Narrow" w:cs="Arial"/>
                <w:sz w:val="16"/>
                <w:szCs w:val="16"/>
              </w:rPr>
            </w:pPr>
          </w:p>
        </w:tc>
      </w:tr>
      <w:tr w:rsidR="000C41DE" w:rsidRPr="00682B9C" w14:paraId="2BD913A3" w14:textId="77777777" w:rsidTr="000C41DE">
        <w:trPr>
          <w:trHeight w:val="225"/>
        </w:trPr>
        <w:tc>
          <w:tcPr>
            <w:tcW w:w="9427" w:type="dxa"/>
            <w:gridSpan w:val="10"/>
            <w:tcBorders>
              <w:top w:val="single" w:sz="4" w:space="0" w:color="auto"/>
            </w:tcBorders>
            <w:shd w:val="clear" w:color="auto" w:fill="auto"/>
            <w:noWrap/>
            <w:vAlign w:val="center"/>
          </w:tcPr>
          <w:p w14:paraId="015EC5DB" w14:textId="77777777" w:rsidR="000C41DE" w:rsidRPr="000C41DE" w:rsidRDefault="000C41DE" w:rsidP="000C41DE">
            <w:pPr>
              <w:pStyle w:val="ListParagraph"/>
              <w:numPr>
                <w:ilvl w:val="0"/>
                <w:numId w:val="13"/>
              </w:numPr>
              <w:adjustRightInd w:val="0"/>
              <w:snapToGrid w:val="0"/>
              <w:spacing w:after="0" w:line="240" w:lineRule="auto"/>
              <w:rPr>
                <w:rFonts w:ascii="Arial Narrow" w:hAnsi="Arial Narrow" w:cs="Arial"/>
                <w:b/>
                <w:i/>
                <w:color w:val="000000"/>
                <w:sz w:val="16"/>
                <w:szCs w:val="16"/>
              </w:rPr>
            </w:pPr>
            <w:r w:rsidRPr="000C41DE">
              <w:rPr>
                <w:rFonts w:ascii="Arial Narrow" w:hAnsi="Arial Narrow" w:cs="Arial"/>
                <w:b/>
                <w:i/>
                <w:sz w:val="16"/>
                <w:szCs w:val="16"/>
              </w:rPr>
              <w:t>Initial Economic Conditions (2005)</w:t>
            </w:r>
          </w:p>
        </w:tc>
      </w:tr>
      <w:tr w:rsidR="000C5578" w:rsidRPr="00D13BC1" w14:paraId="5026A2AA" w14:textId="77777777" w:rsidTr="000C41DE">
        <w:trPr>
          <w:trHeight w:val="225"/>
        </w:trPr>
        <w:tc>
          <w:tcPr>
            <w:tcW w:w="1985" w:type="dxa"/>
            <w:tcBorders>
              <w:top w:val="single" w:sz="4" w:space="0" w:color="auto"/>
              <w:right w:val="single" w:sz="4" w:space="0" w:color="auto"/>
            </w:tcBorders>
            <w:shd w:val="clear" w:color="auto" w:fill="auto"/>
            <w:noWrap/>
            <w:vAlign w:val="center"/>
            <w:hideMark/>
          </w:tcPr>
          <w:p w14:paraId="41D32D15" w14:textId="77777777" w:rsidR="000C5578" w:rsidRPr="00D13BC1" w:rsidRDefault="00682B9C" w:rsidP="00682B9C">
            <w:pPr>
              <w:adjustRightInd w:val="0"/>
              <w:snapToGrid w:val="0"/>
              <w:spacing w:after="0" w:line="240" w:lineRule="auto"/>
              <w:rPr>
                <w:rFonts w:ascii="Arial Narrow" w:eastAsia="Times New Roman" w:hAnsi="Arial Narrow" w:cs="Arial"/>
                <w:sz w:val="16"/>
                <w:szCs w:val="16"/>
              </w:rPr>
            </w:pPr>
            <w:r>
              <w:rPr>
                <w:rFonts w:ascii="Arial Narrow" w:eastAsia="Times New Roman" w:hAnsi="Arial Narrow" w:cs="Arial"/>
                <w:b/>
                <w:sz w:val="16"/>
                <w:szCs w:val="16"/>
              </w:rPr>
              <w:t xml:space="preserve">Monthly Per capita expenditure </w:t>
            </w:r>
          </w:p>
        </w:tc>
        <w:tc>
          <w:tcPr>
            <w:tcW w:w="992" w:type="dxa"/>
            <w:tcBorders>
              <w:top w:val="single" w:sz="4" w:space="0" w:color="auto"/>
              <w:left w:val="single" w:sz="4" w:space="0" w:color="auto"/>
            </w:tcBorders>
            <w:shd w:val="clear" w:color="auto" w:fill="auto"/>
            <w:noWrap/>
            <w:vAlign w:val="center"/>
            <w:hideMark/>
          </w:tcPr>
          <w:p w14:paraId="5D754DF0"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b/>
                <w:sz w:val="16"/>
                <w:szCs w:val="16"/>
              </w:rPr>
              <w:t>-0.00126***</w:t>
            </w:r>
          </w:p>
        </w:tc>
        <w:tc>
          <w:tcPr>
            <w:tcW w:w="909" w:type="dxa"/>
            <w:tcBorders>
              <w:top w:val="single" w:sz="4" w:space="0" w:color="auto"/>
            </w:tcBorders>
            <w:shd w:val="clear" w:color="auto" w:fill="auto"/>
            <w:noWrap/>
            <w:vAlign w:val="center"/>
            <w:hideMark/>
          </w:tcPr>
          <w:p w14:paraId="783BE778"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b/>
                <w:sz w:val="16"/>
                <w:szCs w:val="16"/>
              </w:rPr>
              <w:t>-0.00183***</w:t>
            </w:r>
          </w:p>
        </w:tc>
        <w:tc>
          <w:tcPr>
            <w:tcW w:w="909" w:type="dxa"/>
            <w:tcBorders>
              <w:top w:val="single" w:sz="4" w:space="0" w:color="auto"/>
            </w:tcBorders>
            <w:shd w:val="clear" w:color="auto" w:fill="auto"/>
            <w:noWrap/>
            <w:vAlign w:val="center"/>
            <w:hideMark/>
          </w:tcPr>
          <w:p w14:paraId="2D2BED64"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b/>
                <w:sz w:val="16"/>
                <w:szCs w:val="16"/>
              </w:rPr>
              <w:t>0.00309***</w:t>
            </w:r>
          </w:p>
        </w:tc>
        <w:tc>
          <w:tcPr>
            <w:tcW w:w="822" w:type="dxa"/>
            <w:tcBorders>
              <w:top w:val="single" w:sz="4" w:space="0" w:color="auto"/>
              <w:right w:val="single" w:sz="4" w:space="0" w:color="auto"/>
            </w:tcBorders>
            <w:vAlign w:val="center"/>
          </w:tcPr>
          <w:p w14:paraId="093EE67B"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D13BC1">
              <w:rPr>
                <w:rFonts w:ascii="Arial Narrow" w:hAnsi="Arial Narrow" w:cs="Arial"/>
                <w:b/>
                <w:color w:val="000000"/>
                <w:sz w:val="16"/>
                <w:szCs w:val="16"/>
              </w:rPr>
              <w:t>0.00435</w:t>
            </w:r>
          </w:p>
        </w:tc>
        <w:tc>
          <w:tcPr>
            <w:tcW w:w="992" w:type="dxa"/>
            <w:tcBorders>
              <w:top w:val="single" w:sz="4" w:space="0" w:color="auto"/>
              <w:left w:val="single" w:sz="4" w:space="0" w:color="auto"/>
            </w:tcBorders>
            <w:shd w:val="clear" w:color="auto" w:fill="auto"/>
            <w:noWrap/>
            <w:vAlign w:val="center"/>
            <w:hideMark/>
          </w:tcPr>
          <w:p w14:paraId="4D1CA54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b/>
                <w:sz w:val="16"/>
                <w:szCs w:val="16"/>
              </w:rPr>
              <w:t>0.0103***</w:t>
            </w:r>
          </w:p>
        </w:tc>
        <w:tc>
          <w:tcPr>
            <w:tcW w:w="917" w:type="dxa"/>
            <w:tcBorders>
              <w:top w:val="single" w:sz="4" w:space="0" w:color="auto"/>
            </w:tcBorders>
            <w:shd w:val="clear" w:color="auto" w:fill="auto"/>
            <w:noWrap/>
            <w:vAlign w:val="center"/>
            <w:hideMark/>
          </w:tcPr>
          <w:p w14:paraId="5EFE1951"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b/>
                <w:sz w:val="16"/>
                <w:szCs w:val="16"/>
              </w:rPr>
              <w:t>0.0267***</w:t>
            </w:r>
          </w:p>
        </w:tc>
        <w:tc>
          <w:tcPr>
            <w:tcW w:w="1079" w:type="dxa"/>
            <w:gridSpan w:val="2"/>
            <w:tcBorders>
              <w:top w:val="single" w:sz="4" w:space="0" w:color="auto"/>
            </w:tcBorders>
            <w:shd w:val="clear" w:color="auto" w:fill="auto"/>
            <w:noWrap/>
            <w:vAlign w:val="center"/>
            <w:hideMark/>
          </w:tcPr>
          <w:p w14:paraId="551E27EB" w14:textId="77777777" w:rsidR="000C5578" w:rsidRPr="00D13BC1" w:rsidRDefault="000C5578" w:rsidP="00D13BC1">
            <w:pPr>
              <w:adjustRightInd w:val="0"/>
              <w:snapToGrid w:val="0"/>
              <w:spacing w:after="0" w:line="240" w:lineRule="auto"/>
              <w:rPr>
                <w:rFonts w:ascii="Arial Narrow" w:eastAsia="Times New Roman" w:hAnsi="Arial Narrow" w:cs="Arial"/>
                <w:sz w:val="16"/>
                <w:szCs w:val="16"/>
              </w:rPr>
            </w:pPr>
            <w:r w:rsidRPr="00D13BC1">
              <w:rPr>
                <w:rFonts w:ascii="Arial Narrow" w:hAnsi="Arial Narrow" w:cs="Arial"/>
                <w:b/>
                <w:sz w:val="16"/>
                <w:szCs w:val="16"/>
              </w:rPr>
              <w:t>-0.0370***</w:t>
            </w:r>
          </w:p>
        </w:tc>
        <w:tc>
          <w:tcPr>
            <w:tcW w:w="822" w:type="dxa"/>
            <w:tcBorders>
              <w:top w:val="single" w:sz="4" w:space="0" w:color="auto"/>
            </w:tcBorders>
            <w:vAlign w:val="center"/>
          </w:tcPr>
          <w:p w14:paraId="00EE4701" w14:textId="77777777" w:rsidR="000C5578" w:rsidRPr="00D13BC1" w:rsidRDefault="000C5578" w:rsidP="00D13BC1">
            <w:pPr>
              <w:adjustRightInd w:val="0"/>
              <w:snapToGrid w:val="0"/>
              <w:spacing w:after="0" w:line="240" w:lineRule="auto"/>
              <w:rPr>
                <w:rFonts w:ascii="Arial Narrow" w:hAnsi="Arial Narrow" w:cs="Arial"/>
                <w:sz w:val="16"/>
                <w:szCs w:val="16"/>
              </w:rPr>
            </w:pPr>
            <w:r w:rsidRPr="00D13BC1">
              <w:rPr>
                <w:rFonts w:ascii="Arial Narrow" w:hAnsi="Arial Narrow" w:cs="Arial"/>
                <w:b/>
                <w:color w:val="000000"/>
                <w:sz w:val="16"/>
                <w:szCs w:val="16"/>
              </w:rPr>
              <w:t>-0.0473</w:t>
            </w:r>
          </w:p>
        </w:tc>
      </w:tr>
      <w:tr w:rsidR="000C5578" w:rsidRPr="00D13BC1" w14:paraId="6075C1FD" w14:textId="77777777" w:rsidTr="000C41DE">
        <w:trPr>
          <w:trHeight w:val="225"/>
        </w:trPr>
        <w:tc>
          <w:tcPr>
            <w:tcW w:w="1985" w:type="dxa"/>
            <w:tcBorders>
              <w:right w:val="single" w:sz="4" w:space="0" w:color="auto"/>
            </w:tcBorders>
            <w:shd w:val="clear" w:color="auto" w:fill="auto"/>
            <w:vAlign w:val="center"/>
            <w:hideMark/>
          </w:tcPr>
          <w:p w14:paraId="753B4187"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7D4DC15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(0.00023)</w:t>
            </w:r>
          </w:p>
        </w:tc>
        <w:tc>
          <w:tcPr>
            <w:tcW w:w="909" w:type="dxa"/>
            <w:shd w:val="clear" w:color="auto" w:fill="auto"/>
            <w:noWrap/>
            <w:vAlign w:val="center"/>
            <w:hideMark/>
          </w:tcPr>
          <w:p w14:paraId="2AFE223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(0.00034)</w:t>
            </w:r>
          </w:p>
        </w:tc>
        <w:tc>
          <w:tcPr>
            <w:tcW w:w="909" w:type="dxa"/>
            <w:shd w:val="clear" w:color="auto" w:fill="auto"/>
            <w:noWrap/>
            <w:vAlign w:val="center"/>
            <w:hideMark/>
          </w:tcPr>
          <w:p w14:paraId="727326BD"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(0.00056)</w:t>
            </w:r>
          </w:p>
        </w:tc>
        <w:tc>
          <w:tcPr>
            <w:tcW w:w="822" w:type="dxa"/>
            <w:tcBorders>
              <w:right w:val="single" w:sz="4" w:space="0" w:color="auto"/>
            </w:tcBorders>
            <w:vAlign w:val="center"/>
          </w:tcPr>
          <w:p w14:paraId="46A2188C"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53947E5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(0.00027)</w:t>
            </w:r>
          </w:p>
        </w:tc>
        <w:tc>
          <w:tcPr>
            <w:tcW w:w="917" w:type="dxa"/>
            <w:shd w:val="clear" w:color="auto" w:fill="auto"/>
            <w:noWrap/>
            <w:vAlign w:val="center"/>
            <w:hideMark/>
          </w:tcPr>
          <w:p w14:paraId="02BE9989"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(0.00056)</w:t>
            </w:r>
          </w:p>
        </w:tc>
        <w:tc>
          <w:tcPr>
            <w:tcW w:w="1079" w:type="dxa"/>
            <w:gridSpan w:val="2"/>
            <w:shd w:val="clear" w:color="auto" w:fill="auto"/>
            <w:noWrap/>
            <w:vAlign w:val="center"/>
            <w:hideMark/>
          </w:tcPr>
          <w:p w14:paraId="6514C168"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(0.00064)</w:t>
            </w:r>
          </w:p>
        </w:tc>
        <w:tc>
          <w:tcPr>
            <w:tcW w:w="822" w:type="dxa"/>
            <w:vAlign w:val="bottom"/>
          </w:tcPr>
          <w:p w14:paraId="684CAC2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r>
      <w:tr w:rsidR="000C5578" w:rsidRPr="00D13BC1" w14:paraId="53B2BAC9" w14:textId="77777777" w:rsidTr="000C41DE">
        <w:trPr>
          <w:trHeight w:val="225"/>
        </w:trPr>
        <w:tc>
          <w:tcPr>
            <w:tcW w:w="1985" w:type="dxa"/>
            <w:tcBorders>
              <w:right w:val="single" w:sz="4" w:space="0" w:color="auto"/>
            </w:tcBorders>
            <w:shd w:val="clear" w:color="auto" w:fill="auto"/>
            <w:vAlign w:val="center"/>
            <w:hideMark/>
          </w:tcPr>
          <w:p w14:paraId="209FF4F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Household per capita expenditure as fraction of highest in PSU</w:t>
            </w:r>
          </w:p>
        </w:tc>
        <w:tc>
          <w:tcPr>
            <w:tcW w:w="992" w:type="dxa"/>
            <w:tcBorders>
              <w:left w:val="single" w:sz="4" w:space="0" w:color="auto"/>
            </w:tcBorders>
            <w:shd w:val="clear" w:color="auto" w:fill="auto"/>
            <w:noWrap/>
            <w:vAlign w:val="center"/>
            <w:hideMark/>
          </w:tcPr>
          <w:p w14:paraId="33861481"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-0.0203***</w:t>
            </w:r>
          </w:p>
        </w:tc>
        <w:tc>
          <w:tcPr>
            <w:tcW w:w="909" w:type="dxa"/>
            <w:shd w:val="clear" w:color="auto" w:fill="auto"/>
            <w:noWrap/>
            <w:vAlign w:val="center"/>
            <w:hideMark/>
          </w:tcPr>
          <w:p w14:paraId="39CD721B"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-0.0294***</w:t>
            </w:r>
          </w:p>
        </w:tc>
        <w:tc>
          <w:tcPr>
            <w:tcW w:w="909" w:type="dxa"/>
            <w:shd w:val="clear" w:color="auto" w:fill="auto"/>
            <w:noWrap/>
            <w:vAlign w:val="center"/>
            <w:hideMark/>
          </w:tcPr>
          <w:p w14:paraId="199F361A"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0.0497***</w:t>
            </w:r>
          </w:p>
        </w:tc>
        <w:tc>
          <w:tcPr>
            <w:tcW w:w="822" w:type="dxa"/>
            <w:tcBorders>
              <w:right w:val="single" w:sz="4" w:space="0" w:color="auto"/>
            </w:tcBorders>
            <w:vAlign w:val="center"/>
          </w:tcPr>
          <w:p w14:paraId="0BEB3115"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b/>
                <w:color w:val="000000"/>
                <w:sz w:val="16"/>
                <w:szCs w:val="16"/>
              </w:rPr>
              <w:t>0.07</w:t>
            </w:r>
            <w:r>
              <w:rPr>
                <w:rFonts w:ascii="Arial Narrow" w:hAnsi="Arial Narrow" w:cs="Arial"/>
                <w:b/>
                <w:color w:val="000000"/>
                <w:sz w:val="16"/>
                <w:szCs w:val="16"/>
              </w:rPr>
              <w:t>00</w:t>
            </w:r>
          </w:p>
        </w:tc>
        <w:tc>
          <w:tcPr>
            <w:tcW w:w="992" w:type="dxa"/>
            <w:tcBorders>
              <w:left w:val="single" w:sz="4" w:space="0" w:color="auto"/>
            </w:tcBorders>
            <w:shd w:val="clear" w:color="auto" w:fill="auto"/>
            <w:noWrap/>
            <w:vAlign w:val="center"/>
            <w:hideMark/>
          </w:tcPr>
          <w:p w14:paraId="58C6977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0.0509***</w:t>
            </w:r>
          </w:p>
        </w:tc>
        <w:tc>
          <w:tcPr>
            <w:tcW w:w="917" w:type="dxa"/>
            <w:shd w:val="clear" w:color="auto" w:fill="auto"/>
            <w:noWrap/>
            <w:vAlign w:val="center"/>
            <w:hideMark/>
          </w:tcPr>
          <w:p w14:paraId="55AEA4B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0.132***</w:t>
            </w:r>
          </w:p>
        </w:tc>
        <w:tc>
          <w:tcPr>
            <w:tcW w:w="1079" w:type="dxa"/>
            <w:gridSpan w:val="2"/>
            <w:shd w:val="clear" w:color="auto" w:fill="auto"/>
            <w:noWrap/>
            <w:vAlign w:val="center"/>
            <w:hideMark/>
          </w:tcPr>
          <w:p w14:paraId="27F13E65"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-0.183***</w:t>
            </w:r>
          </w:p>
        </w:tc>
        <w:tc>
          <w:tcPr>
            <w:tcW w:w="822" w:type="dxa"/>
            <w:vAlign w:val="center"/>
          </w:tcPr>
          <w:p w14:paraId="6CF37A96" w14:textId="77777777" w:rsidR="000C5578" w:rsidRPr="001356C3" w:rsidRDefault="000C5578" w:rsidP="00D13BC1">
            <w:pPr>
              <w:adjustRightInd w:val="0"/>
              <w:snapToGrid w:val="0"/>
              <w:spacing w:after="0" w:line="240" w:lineRule="auto"/>
              <w:rPr>
                <w:rFonts w:ascii="Arial Narrow" w:hAnsi="Arial Narrow" w:cs="Arial"/>
                <w:b/>
                <w:sz w:val="16"/>
                <w:szCs w:val="16"/>
              </w:rPr>
            </w:pPr>
            <w:r w:rsidRPr="00D13BC1">
              <w:rPr>
                <w:rFonts w:ascii="Arial Narrow" w:hAnsi="Arial Narrow" w:cs="Arial"/>
                <w:b/>
                <w:color w:val="000000"/>
                <w:sz w:val="16"/>
                <w:szCs w:val="16"/>
              </w:rPr>
              <w:t>-0.234</w:t>
            </w:r>
            <w:r>
              <w:rPr>
                <w:rFonts w:ascii="Arial Narrow" w:hAnsi="Arial Narrow" w:cs="Arial"/>
                <w:b/>
                <w:color w:val="000000"/>
                <w:sz w:val="16"/>
                <w:szCs w:val="16"/>
              </w:rPr>
              <w:t>0</w:t>
            </w:r>
          </w:p>
        </w:tc>
      </w:tr>
      <w:tr w:rsidR="000C5578" w:rsidRPr="00D13BC1" w14:paraId="18061D61" w14:textId="77777777" w:rsidTr="000C41DE">
        <w:trPr>
          <w:trHeight w:val="225"/>
        </w:trPr>
        <w:tc>
          <w:tcPr>
            <w:tcW w:w="1985" w:type="dxa"/>
            <w:tcBorders>
              <w:right w:val="single" w:sz="4" w:space="0" w:color="auto"/>
            </w:tcBorders>
            <w:shd w:val="clear" w:color="auto" w:fill="auto"/>
            <w:noWrap/>
            <w:vAlign w:val="bottom"/>
            <w:hideMark/>
          </w:tcPr>
          <w:p w14:paraId="0AB4994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4D67D2C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(0.00481)</w:t>
            </w:r>
          </w:p>
        </w:tc>
        <w:tc>
          <w:tcPr>
            <w:tcW w:w="909" w:type="dxa"/>
            <w:shd w:val="clear" w:color="auto" w:fill="auto"/>
            <w:noWrap/>
            <w:vAlign w:val="center"/>
            <w:hideMark/>
          </w:tcPr>
          <w:p w14:paraId="230D6A9E"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(0.00700)</w:t>
            </w:r>
          </w:p>
        </w:tc>
        <w:tc>
          <w:tcPr>
            <w:tcW w:w="909" w:type="dxa"/>
            <w:shd w:val="clear" w:color="auto" w:fill="auto"/>
            <w:noWrap/>
            <w:vAlign w:val="center"/>
            <w:hideMark/>
          </w:tcPr>
          <w:p w14:paraId="54BFF8D4"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b/>
                <w:sz w:val="16"/>
                <w:szCs w:val="16"/>
              </w:rPr>
              <w:t>(0.01180)</w:t>
            </w:r>
          </w:p>
        </w:tc>
        <w:tc>
          <w:tcPr>
            <w:tcW w:w="822" w:type="dxa"/>
            <w:tcBorders>
              <w:right w:val="single" w:sz="4" w:space="0" w:color="auto"/>
            </w:tcBorders>
            <w:vAlign w:val="center"/>
          </w:tcPr>
          <w:p w14:paraId="63B9B727" w14:textId="77777777" w:rsidR="000C5578" w:rsidRPr="001356C3" w:rsidRDefault="000C5578" w:rsidP="00D13BC1">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66B440B6"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(0.00345)</w:t>
            </w:r>
          </w:p>
        </w:tc>
        <w:tc>
          <w:tcPr>
            <w:tcW w:w="917" w:type="dxa"/>
            <w:shd w:val="clear" w:color="auto" w:fill="auto"/>
            <w:noWrap/>
            <w:vAlign w:val="center"/>
            <w:hideMark/>
          </w:tcPr>
          <w:p w14:paraId="2C237563"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(0.00881)</w:t>
            </w:r>
          </w:p>
        </w:tc>
        <w:tc>
          <w:tcPr>
            <w:tcW w:w="1079" w:type="dxa"/>
            <w:gridSpan w:val="2"/>
            <w:shd w:val="clear" w:color="auto" w:fill="auto"/>
            <w:noWrap/>
            <w:vAlign w:val="center"/>
            <w:hideMark/>
          </w:tcPr>
          <w:p w14:paraId="675B26B0" w14:textId="77777777" w:rsidR="000C5578" w:rsidRPr="001356C3" w:rsidRDefault="000C5578" w:rsidP="00D13BC1">
            <w:pPr>
              <w:adjustRightInd w:val="0"/>
              <w:snapToGrid w:val="0"/>
              <w:spacing w:after="0" w:line="240" w:lineRule="auto"/>
              <w:rPr>
                <w:rFonts w:ascii="Arial Narrow" w:eastAsia="Times New Roman" w:hAnsi="Arial Narrow" w:cs="Arial"/>
                <w:b/>
                <w:sz w:val="16"/>
                <w:szCs w:val="16"/>
              </w:rPr>
            </w:pPr>
            <w:r w:rsidRPr="00D13BC1">
              <w:rPr>
                <w:rFonts w:ascii="Arial Narrow" w:hAnsi="Arial Narrow" w:cs="Arial"/>
                <w:b/>
                <w:sz w:val="16"/>
                <w:szCs w:val="16"/>
              </w:rPr>
              <w:t>(0.01200)</w:t>
            </w:r>
          </w:p>
        </w:tc>
        <w:tc>
          <w:tcPr>
            <w:tcW w:w="822" w:type="dxa"/>
            <w:vAlign w:val="center"/>
          </w:tcPr>
          <w:p w14:paraId="2EE811F8" w14:textId="77777777" w:rsidR="000C5578" w:rsidRPr="001356C3" w:rsidRDefault="000C5578" w:rsidP="00D13BC1">
            <w:pPr>
              <w:adjustRightInd w:val="0"/>
              <w:snapToGrid w:val="0"/>
              <w:spacing w:after="0" w:line="240" w:lineRule="auto"/>
              <w:rPr>
                <w:rFonts w:ascii="Arial Narrow" w:hAnsi="Arial Narrow" w:cs="Arial"/>
                <w:b/>
                <w:sz w:val="16"/>
                <w:szCs w:val="16"/>
              </w:rPr>
            </w:pPr>
          </w:p>
        </w:tc>
      </w:tr>
      <w:tr w:rsidR="000C5578" w:rsidRPr="00D13BC1" w14:paraId="0DD23281" w14:textId="77777777" w:rsidTr="000C41DE">
        <w:trPr>
          <w:trHeight w:val="225"/>
        </w:trPr>
        <w:tc>
          <w:tcPr>
            <w:tcW w:w="1985" w:type="dxa"/>
            <w:tcBorders>
              <w:right w:val="single" w:sz="4" w:space="0" w:color="auto"/>
            </w:tcBorders>
            <w:shd w:val="clear" w:color="auto" w:fill="auto"/>
            <w:vAlign w:val="center"/>
          </w:tcPr>
          <w:p w14:paraId="3DA1D440"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Ratio of share top 1% to bottom 50%</w:t>
            </w:r>
          </w:p>
        </w:tc>
        <w:tc>
          <w:tcPr>
            <w:tcW w:w="992" w:type="dxa"/>
            <w:tcBorders>
              <w:left w:val="single" w:sz="4" w:space="0" w:color="auto"/>
            </w:tcBorders>
            <w:shd w:val="clear" w:color="auto" w:fill="auto"/>
            <w:noWrap/>
            <w:vAlign w:val="center"/>
          </w:tcPr>
          <w:p w14:paraId="04587611"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-0.0790***</w:t>
            </w:r>
          </w:p>
        </w:tc>
        <w:tc>
          <w:tcPr>
            <w:tcW w:w="909" w:type="dxa"/>
            <w:shd w:val="clear" w:color="auto" w:fill="auto"/>
            <w:noWrap/>
            <w:vAlign w:val="center"/>
          </w:tcPr>
          <w:p w14:paraId="50B62358"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-0.115***</w:t>
            </w:r>
          </w:p>
        </w:tc>
        <w:tc>
          <w:tcPr>
            <w:tcW w:w="909" w:type="dxa"/>
            <w:shd w:val="clear" w:color="auto" w:fill="auto"/>
            <w:noWrap/>
            <w:vAlign w:val="center"/>
          </w:tcPr>
          <w:p w14:paraId="7676D782"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0.194***</w:t>
            </w:r>
          </w:p>
        </w:tc>
        <w:tc>
          <w:tcPr>
            <w:tcW w:w="822" w:type="dxa"/>
            <w:tcBorders>
              <w:right w:val="single" w:sz="4" w:space="0" w:color="auto"/>
            </w:tcBorders>
            <w:vAlign w:val="center"/>
          </w:tcPr>
          <w:p w14:paraId="48368FAF" w14:textId="77777777" w:rsidR="000C5578" w:rsidRPr="001356C3" w:rsidRDefault="000C5578" w:rsidP="000C5578">
            <w:pPr>
              <w:adjustRightInd w:val="0"/>
              <w:snapToGrid w:val="0"/>
              <w:spacing w:after="0" w:line="240" w:lineRule="auto"/>
              <w:rPr>
                <w:rFonts w:ascii="Arial Narrow" w:hAnsi="Arial Narrow" w:cs="Arial"/>
                <w:b/>
                <w:color w:val="000000"/>
                <w:sz w:val="16"/>
                <w:szCs w:val="16"/>
              </w:rPr>
            </w:pPr>
            <w:r w:rsidRPr="001356C3">
              <w:rPr>
                <w:rFonts w:ascii="Arial Narrow" w:hAnsi="Arial Narrow" w:cs="Arial"/>
                <w:b/>
                <w:color w:val="000000"/>
                <w:sz w:val="16"/>
                <w:szCs w:val="16"/>
              </w:rPr>
              <w:t>0.273</w:t>
            </w:r>
          </w:p>
        </w:tc>
        <w:tc>
          <w:tcPr>
            <w:tcW w:w="992" w:type="dxa"/>
            <w:tcBorders>
              <w:left w:val="single" w:sz="4" w:space="0" w:color="auto"/>
            </w:tcBorders>
            <w:shd w:val="clear" w:color="auto" w:fill="auto"/>
            <w:noWrap/>
            <w:vAlign w:val="center"/>
          </w:tcPr>
          <w:p w14:paraId="70331758" w14:textId="77777777" w:rsidR="000C5578" w:rsidRPr="001356C3" w:rsidRDefault="000C5578" w:rsidP="000C5578">
            <w:pPr>
              <w:adjustRightInd w:val="0"/>
              <w:snapToGrid w:val="0"/>
              <w:spacing w:after="0" w:line="240" w:lineRule="auto"/>
              <w:rPr>
                <w:rFonts w:ascii="Arial Narrow" w:hAnsi="Arial Narrow" w:cs="Arial"/>
                <w:b/>
                <w:sz w:val="16"/>
                <w:szCs w:val="16"/>
              </w:rPr>
            </w:pPr>
            <w:r w:rsidRPr="001356C3">
              <w:rPr>
                <w:rFonts w:ascii="Arial Narrow" w:hAnsi="Arial Narrow" w:cs="Arial"/>
                <w:b/>
                <w:sz w:val="16"/>
                <w:szCs w:val="16"/>
              </w:rPr>
              <w:t>0.0146**</w:t>
            </w:r>
          </w:p>
        </w:tc>
        <w:tc>
          <w:tcPr>
            <w:tcW w:w="917" w:type="dxa"/>
            <w:shd w:val="clear" w:color="auto" w:fill="auto"/>
            <w:noWrap/>
            <w:vAlign w:val="center"/>
          </w:tcPr>
          <w:p w14:paraId="731384F3" w14:textId="77777777" w:rsidR="000C5578" w:rsidRPr="001356C3" w:rsidRDefault="000C5578" w:rsidP="000C5578">
            <w:pPr>
              <w:adjustRightInd w:val="0"/>
              <w:snapToGrid w:val="0"/>
              <w:spacing w:after="0" w:line="240" w:lineRule="auto"/>
              <w:rPr>
                <w:rFonts w:ascii="Arial Narrow" w:hAnsi="Arial Narrow" w:cs="Arial"/>
                <w:b/>
                <w:sz w:val="16"/>
                <w:szCs w:val="16"/>
              </w:rPr>
            </w:pPr>
            <w:r w:rsidRPr="001356C3">
              <w:rPr>
                <w:rFonts w:ascii="Arial Narrow" w:hAnsi="Arial Narrow" w:cs="Arial"/>
                <w:b/>
                <w:sz w:val="16"/>
                <w:szCs w:val="16"/>
              </w:rPr>
              <w:t>0.0379**</w:t>
            </w:r>
          </w:p>
        </w:tc>
        <w:tc>
          <w:tcPr>
            <w:tcW w:w="1079" w:type="dxa"/>
            <w:gridSpan w:val="2"/>
            <w:shd w:val="clear" w:color="auto" w:fill="auto"/>
            <w:noWrap/>
            <w:vAlign w:val="center"/>
          </w:tcPr>
          <w:p w14:paraId="4EE05364" w14:textId="77777777" w:rsidR="000C5578" w:rsidRPr="001356C3" w:rsidRDefault="000C5578" w:rsidP="000C5578">
            <w:pPr>
              <w:adjustRightInd w:val="0"/>
              <w:snapToGrid w:val="0"/>
              <w:spacing w:after="0" w:line="240" w:lineRule="auto"/>
              <w:rPr>
                <w:rFonts w:ascii="Arial Narrow" w:hAnsi="Arial Narrow" w:cs="Arial"/>
                <w:b/>
                <w:sz w:val="16"/>
                <w:szCs w:val="16"/>
              </w:rPr>
            </w:pPr>
            <w:r w:rsidRPr="001356C3">
              <w:rPr>
                <w:rFonts w:ascii="Arial Narrow" w:hAnsi="Arial Narrow" w:cs="Arial"/>
                <w:b/>
                <w:sz w:val="16"/>
                <w:szCs w:val="16"/>
              </w:rPr>
              <w:t>-0.0524**</w:t>
            </w:r>
          </w:p>
        </w:tc>
        <w:tc>
          <w:tcPr>
            <w:tcW w:w="822" w:type="dxa"/>
            <w:vAlign w:val="center"/>
          </w:tcPr>
          <w:p w14:paraId="0EEBF993" w14:textId="77777777" w:rsidR="000C5578" w:rsidRPr="001356C3" w:rsidRDefault="000C5578" w:rsidP="000C5578">
            <w:pPr>
              <w:adjustRightInd w:val="0"/>
              <w:snapToGrid w:val="0"/>
              <w:spacing w:after="0" w:line="240" w:lineRule="auto"/>
              <w:rPr>
                <w:rFonts w:ascii="Arial Narrow" w:hAnsi="Arial Narrow" w:cs="Arial"/>
                <w:b/>
                <w:color w:val="000000"/>
                <w:sz w:val="16"/>
                <w:szCs w:val="16"/>
              </w:rPr>
            </w:pPr>
            <w:r w:rsidRPr="001356C3">
              <w:rPr>
                <w:rFonts w:ascii="Arial Narrow" w:hAnsi="Arial Narrow" w:cs="Arial"/>
                <w:b/>
                <w:color w:val="000000"/>
                <w:sz w:val="16"/>
                <w:szCs w:val="16"/>
              </w:rPr>
              <w:t>-0.0669</w:t>
            </w:r>
          </w:p>
        </w:tc>
      </w:tr>
      <w:tr w:rsidR="000C5578" w:rsidRPr="00D13BC1" w14:paraId="2BE8AC57" w14:textId="77777777" w:rsidTr="000C41DE">
        <w:trPr>
          <w:trHeight w:val="225"/>
        </w:trPr>
        <w:tc>
          <w:tcPr>
            <w:tcW w:w="1985" w:type="dxa"/>
            <w:tcBorders>
              <w:right w:val="single" w:sz="4" w:space="0" w:color="auto"/>
            </w:tcBorders>
            <w:shd w:val="clear" w:color="auto" w:fill="auto"/>
            <w:vAlign w:val="bottom"/>
          </w:tcPr>
          <w:p w14:paraId="53E837E2"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tcPr>
          <w:p w14:paraId="0EB4BBB6"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(0.00983)</w:t>
            </w:r>
          </w:p>
        </w:tc>
        <w:tc>
          <w:tcPr>
            <w:tcW w:w="909" w:type="dxa"/>
            <w:shd w:val="clear" w:color="auto" w:fill="auto"/>
            <w:noWrap/>
            <w:vAlign w:val="center"/>
          </w:tcPr>
          <w:p w14:paraId="4691EA17"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(0.01400)</w:t>
            </w:r>
          </w:p>
        </w:tc>
        <w:tc>
          <w:tcPr>
            <w:tcW w:w="909" w:type="dxa"/>
            <w:shd w:val="clear" w:color="auto" w:fill="auto"/>
            <w:noWrap/>
            <w:vAlign w:val="center"/>
          </w:tcPr>
          <w:p w14:paraId="66CE5E4D" w14:textId="77777777" w:rsidR="000C5578" w:rsidRPr="001356C3" w:rsidRDefault="000C5578" w:rsidP="000C5578">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b/>
                <w:sz w:val="16"/>
                <w:szCs w:val="16"/>
              </w:rPr>
              <w:t>(0.02370)</w:t>
            </w:r>
          </w:p>
        </w:tc>
        <w:tc>
          <w:tcPr>
            <w:tcW w:w="822" w:type="dxa"/>
            <w:tcBorders>
              <w:right w:val="single" w:sz="4" w:space="0" w:color="auto"/>
            </w:tcBorders>
            <w:vAlign w:val="center"/>
          </w:tcPr>
          <w:p w14:paraId="1604AA09" w14:textId="77777777" w:rsidR="000C5578" w:rsidRPr="001356C3" w:rsidRDefault="000C5578" w:rsidP="000C5578">
            <w:pPr>
              <w:adjustRightInd w:val="0"/>
              <w:snapToGrid w:val="0"/>
              <w:spacing w:after="0" w:line="240" w:lineRule="auto"/>
              <w:rPr>
                <w:rFonts w:ascii="Arial Narrow" w:hAnsi="Arial Narrow" w:cs="Arial"/>
                <w:b/>
                <w:color w:val="000000"/>
                <w:sz w:val="16"/>
                <w:szCs w:val="16"/>
              </w:rPr>
            </w:pPr>
          </w:p>
        </w:tc>
        <w:tc>
          <w:tcPr>
            <w:tcW w:w="992" w:type="dxa"/>
            <w:tcBorders>
              <w:left w:val="single" w:sz="4" w:space="0" w:color="auto"/>
            </w:tcBorders>
            <w:shd w:val="clear" w:color="auto" w:fill="auto"/>
            <w:noWrap/>
            <w:vAlign w:val="center"/>
          </w:tcPr>
          <w:p w14:paraId="4BFBCAA0" w14:textId="77777777" w:rsidR="000C5578" w:rsidRPr="001356C3" w:rsidRDefault="000C5578" w:rsidP="000C5578">
            <w:pPr>
              <w:adjustRightInd w:val="0"/>
              <w:snapToGrid w:val="0"/>
              <w:spacing w:after="0" w:line="240" w:lineRule="auto"/>
              <w:rPr>
                <w:rFonts w:ascii="Arial Narrow" w:hAnsi="Arial Narrow" w:cs="Arial"/>
                <w:b/>
                <w:sz w:val="16"/>
                <w:szCs w:val="16"/>
              </w:rPr>
            </w:pPr>
            <w:r w:rsidRPr="001356C3">
              <w:rPr>
                <w:rFonts w:ascii="Arial Narrow" w:hAnsi="Arial Narrow" w:cs="Arial"/>
                <w:b/>
                <w:sz w:val="16"/>
                <w:szCs w:val="16"/>
              </w:rPr>
              <w:t>(0.00661)</w:t>
            </w:r>
          </w:p>
        </w:tc>
        <w:tc>
          <w:tcPr>
            <w:tcW w:w="917" w:type="dxa"/>
            <w:shd w:val="clear" w:color="auto" w:fill="auto"/>
            <w:noWrap/>
            <w:vAlign w:val="center"/>
          </w:tcPr>
          <w:p w14:paraId="15992E2D" w14:textId="77777777" w:rsidR="000C5578" w:rsidRPr="001356C3" w:rsidRDefault="000C5578" w:rsidP="000C5578">
            <w:pPr>
              <w:adjustRightInd w:val="0"/>
              <w:snapToGrid w:val="0"/>
              <w:spacing w:after="0" w:line="240" w:lineRule="auto"/>
              <w:rPr>
                <w:rFonts w:ascii="Arial Narrow" w:hAnsi="Arial Narrow" w:cs="Arial"/>
                <w:b/>
                <w:sz w:val="16"/>
                <w:szCs w:val="16"/>
              </w:rPr>
            </w:pPr>
            <w:r w:rsidRPr="001356C3">
              <w:rPr>
                <w:rFonts w:ascii="Arial Narrow" w:hAnsi="Arial Narrow" w:cs="Arial"/>
                <w:b/>
                <w:sz w:val="16"/>
                <w:szCs w:val="16"/>
              </w:rPr>
              <w:t>(0.01730)</w:t>
            </w:r>
          </w:p>
        </w:tc>
        <w:tc>
          <w:tcPr>
            <w:tcW w:w="1079" w:type="dxa"/>
            <w:gridSpan w:val="2"/>
            <w:shd w:val="clear" w:color="auto" w:fill="auto"/>
            <w:noWrap/>
            <w:vAlign w:val="center"/>
          </w:tcPr>
          <w:p w14:paraId="308D23DA" w14:textId="77777777" w:rsidR="000C5578" w:rsidRPr="001356C3" w:rsidRDefault="000C5578" w:rsidP="000C5578">
            <w:pPr>
              <w:adjustRightInd w:val="0"/>
              <w:snapToGrid w:val="0"/>
              <w:spacing w:after="0" w:line="240" w:lineRule="auto"/>
              <w:rPr>
                <w:rFonts w:ascii="Arial Narrow" w:hAnsi="Arial Narrow" w:cs="Arial"/>
                <w:b/>
                <w:sz w:val="16"/>
                <w:szCs w:val="16"/>
              </w:rPr>
            </w:pPr>
            <w:r w:rsidRPr="001356C3">
              <w:rPr>
                <w:rFonts w:ascii="Arial Narrow" w:hAnsi="Arial Narrow" w:cs="Arial"/>
                <w:b/>
                <w:sz w:val="16"/>
                <w:szCs w:val="16"/>
              </w:rPr>
              <w:t>(0.02390)</w:t>
            </w:r>
          </w:p>
        </w:tc>
        <w:tc>
          <w:tcPr>
            <w:tcW w:w="822" w:type="dxa"/>
            <w:vAlign w:val="center"/>
          </w:tcPr>
          <w:p w14:paraId="31A5422E" w14:textId="77777777" w:rsidR="000C5578" w:rsidRPr="001356C3" w:rsidRDefault="000C5578" w:rsidP="000C5578">
            <w:pPr>
              <w:adjustRightInd w:val="0"/>
              <w:snapToGrid w:val="0"/>
              <w:spacing w:after="0" w:line="240" w:lineRule="auto"/>
              <w:rPr>
                <w:rFonts w:ascii="Arial Narrow" w:hAnsi="Arial Narrow" w:cs="Arial"/>
                <w:b/>
                <w:color w:val="000000"/>
                <w:sz w:val="16"/>
                <w:szCs w:val="16"/>
              </w:rPr>
            </w:pPr>
          </w:p>
        </w:tc>
      </w:tr>
      <w:tr w:rsidR="000C5578" w:rsidRPr="00D13BC1" w14:paraId="35EBFF0A" w14:textId="77777777" w:rsidTr="000C41DE">
        <w:trPr>
          <w:trHeight w:val="225"/>
        </w:trPr>
        <w:tc>
          <w:tcPr>
            <w:tcW w:w="1985" w:type="dxa"/>
            <w:tcBorders>
              <w:right w:val="single" w:sz="4" w:space="0" w:color="auto"/>
            </w:tcBorders>
            <w:shd w:val="clear" w:color="auto" w:fill="auto"/>
            <w:vAlign w:val="center"/>
          </w:tcPr>
          <w:p w14:paraId="18283FFA"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 xml:space="preserve">Net State domestic Product </w:t>
            </w:r>
            <w:r w:rsidRPr="005C79F4">
              <w:rPr>
                <w:rFonts w:ascii="Arial Narrow" w:eastAsia="Times New Roman" w:hAnsi="Arial Narrow" w:cs="Arial"/>
                <w:i/>
                <w:sz w:val="16"/>
                <w:szCs w:val="16"/>
              </w:rPr>
              <w:lastRenderedPageBreak/>
              <w:t>(in ‘000)</w:t>
            </w:r>
          </w:p>
        </w:tc>
        <w:tc>
          <w:tcPr>
            <w:tcW w:w="992" w:type="dxa"/>
            <w:tcBorders>
              <w:left w:val="single" w:sz="4" w:space="0" w:color="auto"/>
            </w:tcBorders>
            <w:shd w:val="clear" w:color="auto" w:fill="auto"/>
            <w:noWrap/>
            <w:vAlign w:val="center"/>
          </w:tcPr>
          <w:p w14:paraId="5B2B2067"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lastRenderedPageBreak/>
              <w:t>-0.00107***</w:t>
            </w:r>
          </w:p>
        </w:tc>
        <w:tc>
          <w:tcPr>
            <w:tcW w:w="909" w:type="dxa"/>
            <w:shd w:val="clear" w:color="auto" w:fill="auto"/>
            <w:noWrap/>
            <w:vAlign w:val="center"/>
          </w:tcPr>
          <w:p w14:paraId="2086ED4E"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-0.00155***</w:t>
            </w:r>
          </w:p>
        </w:tc>
        <w:tc>
          <w:tcPr>
            <w:tcW w:w="909" w:type="dxa"/>
            <w:shd w:val="clear" w:color="auto" w:fill="auto"/>
            <w:noWrap/>
            <w:vAlign w:val="center"/>
          </w:tcPr>
          <w:p w14:paraId="734A93A9"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0.00262***</w:t>
            </w:r>
          </w:p>
        </w:tc>
        <w:tc>
          <w:tcPr>
            <w:tcW w:w="822" w:type="dxa"/>
            <w:tcBorders>
              <w:right w:val="single" w:sz="4" w:space="0" w:color="auto"/>
            </w:tcBorders>
            <w:vAlign w:val="center"/>
          </w:tcPr>
          <w:p w14:paraId="0F0FC1CB" w14:textId="77777777" w:rsidR="000C5578" w:rsidRPr="005C79F4" w:rsidRDefault="000C5578" w:rsidP="000C5578">
            <w:pPr>
              <w:adjustRightInd w:val="0"/>
              <w:snapToGrid w:val="0"/>
              <w:spacing w:after="0" w:line="240" w:lineRule="auto"/>
              <w:rPr>
                <w:rFonts w:ascii="Arial Narrow" w:hAnsi="Arial Narrow" w:cs="Arial"/>
                <w:b/>
                <w:i/>
                <w:color w:val="000000"/>
                <w:sz w:val="16"/>
                <w:szCs w:val="16"/>
              </w:rPr>
            </w:pPr>
            <w:r w:rsidRPr="005C79F4">
              <w:rPr>
                <w:rFonts w:ascii="Arial Narrow" w:hAnsi="Arial Narrow" w:cs="Arial"/>
                <w:i/>
                <w:color w:val="000000"/>
                <w:sz w:val="16"/>
                <w:szCs w:val="16"/>
              </w:rPr>
              <w:t>0.00369</w:t>
            </w:r>
          </w:p>
        </w:tc>
        <w:tc>
          <w:tcPr>
            <w:tcW w:w="992" w:type="dxa"/>
            <w:tcBorders>
              <w:left w:val="single" w:sz="4" w:space="0" w:color="auto"/>
            </w:tcBorders>
            <w:shd w:val="clear" w:color="auto" w:fill="auto"/>
            <w:noWrap/>
            <w:vAlign w:val="center"/>
          </w:tcPr>
          <w:p w14:paraId="6A8A44E9" w14:textId="77777777" w:rsidR="000C5578" w:rsidRPr="005C79F4" w:rsidRDefault="000C5578" w:rsidP="000C5578">
            <w:pPr>
              <w:adjustRightInd w:val="0"/>
              <w:snapToGrid w:val="0"/>
              <w:spacing w:after="0" w:line="240" w:lineRule="auto"/>
              <w:rPr>
                <w:rFonts w:ascii="Arial Narrow" w:hAnsi="Arial Narrow" w:cs="Arial"/>
                <w:b/>
                <w:i/>
                <w:sz w:val="16"/>
                <w:szCs w:val="16"/>
              </w:rPr>
            </w:pPr>
            <w:r w:rsidRPr="005C79F4">
              <w:rPr>
                <w:rFonts w:ascii="Arial Narrow" w:hAnsi="Arial Narrow" w:cs="Arial"/>
                <w:i/>
                <w:sz w:val="16"/>
                <w:szCs w:val="16"/>
              </w:rPr>
              <w:t>-0.00132***</w:t>
            </w:r>
          </w:p>
        </w:tc>
        <w:tc>
          <w:tcPr>
            <w:tcW w:w="917" w:type="dxa"/>
            <w:shd w:val="clear" w:color="auto" w:fill="auto"/>
            <w:noWrap/>
            <w:vAlign w:val="center"/>
          </w:tcPr>
          <w:p w14:paraId="55829960" w14:textId="77777777" w:rsidR="000C5578" w:rsidRPr="005C79F4" w:rsidRDefault="000C5578" w:rsidP="000C5578">
            <w:pPr>
              <w:adjustRightInd w:val="0"/>
              <w:snapToGrid w:val="0"/>
              <w:spacing w:after="0" w:line="240" w:lineRule="auto"/>
              <w:rPr>
                <w:rFonts w:ascii="Arial Narrow" w:hAnsi="Arial Narrow" w:cs="Arial"/>
                <w:b/>
                <w:i/>
                <w:sz w:val="16"/>
                <w:szCs w:val="16"/>
              </w:rPr>
            </w:pPr>
            <w:r w:rsidRPr="005C79F4">
              <w:rPr>
                <w:rFonts w:ascii="Arial Narrow" w:hAnsi="Arial Narrow" w:cs="Arial"/>
                <w:i/>
                <w:sz w:val="16"/>
                <w:szCs w:val="16"/>
              </w:rPr>
              <w:t>-0.00343***</w:t>
            </w:r>
          </w:p>
        </w:tc>
        <w:tc>
          <w:tcPr>
            <w:tcW w:w="1079" w:type="dxa"/>
            <w:gridSpan w:val="2"/>
            <w:shd w:val="clear" w:color="auto" w:fill="auto"/>
            <w:noWrap/>
            <w:vAlign w:val="center"/>
          </w:tcPr>
          <w:p w14:paraId="0E42E5F3" w14:textId="77777777" w:rsidR="000C5578" w:rsidRPr="005C79F4" w:rsidRDefault="000C5578" w:rsidP="000C5578">
            <w:pPr>
              <w:adjustRightInd w:val="0"/>
              <w:snapToGrid w:val="0"/>
              <w:spacing w:after="0" w:line="240" w:lineRule="auto"/>
              <w:rPr>
                <w:rFonts w:ascii="Arial Narrow" w:hAnsi="Arial Narrow" w:cs="Arial"/>
                <w:b/>
                <w:i/>
                <w:sz w:val="16"/>
                <w:szCs w:val="16"/>
              </w:rPr>
            </w:pPr>
            <w:r w:rsidRPr="005C79F4">
              <w:rPr>
                <w:rFonts w:ascii="Arial Narrow" w:hAnsi="Arial Narrow" w:cs="Arial"/>
                <w:i/>
                <w:sz w:val="16"/>
                <w:szCs w:val="16"/>
              </w:rPr>
              <w:t>0.00475***</w:t>
            </w:r>
          </w:p>
        </w:tc>
        <w:tc>
          <w:tcPr>
            <w:tcW w:w="822" w:type="dxa"/>
            <w:vAlign w:val="center"/>
          </w:tcPr>
          <w:p w14:paraId="377C483C" w14:textId="77777777" w:rsidR="000C5578" w:rsidRPr="005C79F4" w:rsidRDefault="000C5578" w:rsidP="000C5578">
            <w:pPr>
              <w:adjustRightInd w:val="0"/>
              <w:snapToGrid w:val="0"/>
              <w:spacing w:after="0" w:line="240" w:lineRule="auto"/>
              <w:rPr>
                <w:rFonts w:ascii="Arial Narrow" w:hAnsi="Arial Narrow" w:cs="Arial"/>
                <w:b/>
                <w:i/>
                <w:color w:val="000000"/>
                <w:sz w:val="16"/>
                <w:szCs w:val="16"/>
              </w:rPr>
            </w:pPr>
            <w:r w:rsidRPr="005C79F4">
              <w:rPr>
                <w:rFonts w:ascii="Arial Narrow" w:hAnsi="Arial Narrow" w:cs="Arial"/>
                <w:i/>
                <w:color w:val="000000"/>
                <w:sz w:val="16"/>
                <w:szCs w:val="16"/>
              </w:rPr>
              <w:t>0.00607</w:t>
            </w:r>
          </w:p>
        </w:tc>
      </w:tr>
      <w:tr w:rsidR="000C5578" w:rsidRPr="00D13BC1" w14:paraId="1251F4AD" w14:textId="77777777" w:rsidTr="000C41DE">
        <w:trPr>
          <w:trHeight w:val="225"/>
        </w:trPr>
        <w:tc>
          <w:tcPr>
            <w:tcW w:w="1985" w:type="dxa"/>
            <w:tcBorders>
              <w:bottom w:val="single" w:sz="4" w:space="0" w:color="auto"/>
              <w:right w:val="single" w:sz="4" w:space="0" w:color="auto"/>
            </w:tcBorders>
            <w:shd w:val="clear" w:color="auto" w:fill="auto"/>
            <w:vAlign w:val="bottom"/>
          </w:tcPr>
          <w:p w14:paraId="39A3E2EC"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lastRenderedPageBreak/>
              <w:t> </w:t>
            </w:r>
          </w:p>
        </w:tc>
        <w:tc>
          <w:tcPr>
            <w:tcW w:w="992" w:type="dxa"/>
            <w:tcBorders>
              <w:left w:val="single" w:sz="4" w:space="0" w:color="auto"/>
              <w:bottom w:val="single" w:sz="4" w:space="0" w:color="auto"/>
            </w:tcBorders>
            <w:shd w:val="clear" w:color="auto" w:fill="auto"/>
            <w:noWrap/>
            <w:vAlign w:val="center"/>
          </w:tcPr>
          <w:p w14:paraId="5F454BBA"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(0.00014)</w:t>
            </w:r>
          </w:p>
        </w:tc>
        <w:tc>
          <w:tcPr>
            <w:tcW w:w="909" w:type="dxa"/>
            <w:tcBorders>
              <w:bottom w:val="single" w:sz="4" w:space="0" w:color="auto"/>
            </w:tcBorders>
            <w:shd w:val="clear" w:color="auto" w:fill="auto"/>
            <w:noWrap/>
            <w:vAlign w:val="center"/>
          </w:tcPr>
          <w:p w14:paraId="0077102A"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(0.00021)</w:t>
            </w:r>
          </w:p>
        </w:tc>
        <w:tc>
          <w:tcPr>
            <w:tcW w:w="909" w:type="dxa"/>
            <w:tcBorders>
              <w:bottom w:val="single" w:sz="4" w:space="0" w:color="auto"/>
            </w:tcBorders>
            <w:shd w:val="clear" w:color="auto" w:fill="auto"/>
            <w:noWrap/>
            <w:vAlign w:val="center"/>
          </w:tcPr>
          <w:p w14:paraId="72B3DCD1" w14:textId="77777777" w:rsidR="000C5578" w:rsidRPr="005C79F4" w:rsidRDefault="000C5578" w:rsidP="000C5578">
            <w:pPr>
              <w:adjustRightInd w:val="0"/>
              <w:snapToGrid w:val="0"/>
              <w:spacing w:after="0" w:line="240" w:lineRule="auto"/>
              <w:rPr>
                <w:rFonts w:ascii="Arial Narrow" w:eastAsia="Times New Roman" w:hAnsi="Arial Narrow" w:cs="Arial"/>
                <w:b/>
                <w:i/>
                <w:sz w:val="16"/>
                <w:szCs w:val="16"/>
              </w:rPr>
            </w:pPr>
            <w:r w:rsidRPr="005C79F4">
              <w:rPr>
                <w:rFonts w:ascii="Arial Narrow" w:eastAsia="Times New Roman" w:hAnsi="Arial Narrow" w:cs="Arial"/>
                <w:i/>
                <w:sz w:val="16"/>
                <w:szCs w:val="16"/>
              </w:rPr>
              <w:t>(0.00035)</w:t>
            </w:r>
          </w:p>
        </w:tc>
        <w:tc>
          <w:tcPr>
            <w:tcW w:w="822" w:type="dxa"/>
            <w:tcBorders>
              <w:bottom w:val="single" w:sz="4" w:space="0" w:color="auto"/>
              <w:right w:val="single" w:sz="4" w:space="0" w:color="auto"/>
            </w:tcBorders>
            <w:vAlign w:val="center"/>
          </w:tcPr>
          <w:p w14:paraId="792B3BA7" w14:textId="77777777" w:rsidR="000C5578" w:rsidRPr="005C79F4" w:rsidRDefault="000C5578" w:rsidP="000C5578">
            <w:pPr>
              <w:adjustRightInd w:val="0"/>
              <w:snapToGrid w:val="0"/>
              <w:spacing w:after="0" w:line="240" w:lineRule="auto"/>
              <w:rPr>
                <w:rFonts w:ascii="Arial Narrow" w:hAnsi="Arial Narrow" w:cs="Arial"/>
                <w:b/>
                <w:i/>
                <w:color w:val="000000"/>
                <w:sz w:val="16"/>
                <w:szCs w:val="16"/>
              </w:rPr>
            </w:pPr>
          </w:p>
        </w:tc>
        <w:tc>
          <w:tcPr>
            <w:tcW w:w="992" w:type="dxa"/>
            <w:tcBorders>
              <w:left w:val="single" w:sz="4" w:space="0" w:color="auto"/>
              <w:bottom w:val="single" w:sz="4" w:space="0" w:color="auto"/>
            </w:tcBorders>
            <w:shd w:val="clear" w:color="auto" w:fill="auto"/>
            <w:noWrap/>
            <w:vAlign w:val="center"/>
          </w:tcPr>
          <w:p w14:paraId="0A9C7978" w14:textId="77777777" w:rsidR="000C5578" w:rsidRPr="005C79F4" w:rsidRDefault="000C5578" w:rsidP="000C5578">
            <w:pPr>
              <w:adjustRightInd w:val="0"/>
              <w:snapToGrid w:val="0"/>
              <w:spacing w:after="0" w:line="240" w:lineRule="auto"/>
              <w:rPr>
                <w:rFonts w:ascii="Arial Narrow" w:hAnsi="Arial Narrow" w:cs="Arial"/>
                <w:b/>
                <w:i/>
                <w:sz w:val="16"/>
                <w:szCs w:val="16"/>
              </w:rPr>
            </w:pPr>
            <w:r w:rsidRPr="005C79F4">
              <w:rPr>
                <w:rFonts w:ascii="Arial Narrow" w:hAnsi="Arial Narrow" w:cs="Arial"/>
                <w:i/>
                <w:sz w:val="16"/>
                <w:szCs w:val="16"/>
              </w:rPr>
              <w:t>(0.00010)</w:t>
            </w:r>
          </w:p>
        </w:tc>
        <w:tc>
          <w:tcPr>
            <w:tcW w:w="917" w:type="dxa"/>
            <w:tcBorders>
              <w:bottom w:val="single" w:sz="4" w:space="0" w:color="auto"/>
            </w:tcBorders>
            <w:shd w:val="clear" w:color="auto" w:fill="auto"/>
            <w:noWrap/>
            <w:vAlign w:val="center"/>
          </w:tcPr>
          <w:p w14:paraId="2FECB78D" w14:textId="77777777" w:rsidR="000C5578" w:rsidRPr="005C79F4" w:rsidRDefault="000C5578" w:rsidP="000C5578">
            <w:pPr>
              <w:adjustRightInd w:val="0"/>
              <w:snapToGrid w:val="0"/>
              <w:spacing w:after="0" w:line="240" w:lineRule="auto"/>
              <w:rPr>
                <w:rFonts w:ascii="Arial Narrow" w:hAnsi="Arial Narrow" w:cs="Arial"/>
                <w:b/>
                <w:i/>
                <w:sz w:val="16"/>
                <w:szCs w:val="16"/>
              </w:rPr>
            </w:pPr>
            <w:r w:rsidRPr="005C79F4">
              <w:rPr>
                <w:rFonts w:ascii="Arial Narrow" w:hAnsi="Arial Narrow" w:cs="Arial"/>
                <w:i/>
                <w:sz w:val="16"/>
                <w:szCs w:val="16"/>
              </w:rPr>
              <w:t>(0.00026)</w:t>
            </w:r>
          </w:p>
        </w:tc>
        <w:tc>
          <w:tcPr>
            <w:tcW w:w="1079" w:type="dxa"/>
            <w:gridSpan w:val="2"/>
            <w:tcBorders>
              <w:bottom w:val="single" w:sz="4" w:space="0" w:color="auto"/>
            </w:tcBorders>
            <w:shd w:val="clear" w:color="auto" w:fill="auto"/>
            <w:noWrap/>
            <w:vAlign w:val="center"/>
          </w:tcPr>
          <w:p w14:paraId="274A7697" w14:textId="77777777" w:rsidR="000C5578" w:rsidRPr="005C79F4" w:rsidRDefault="000C5578" w:rsidP="000C5578">
            <w:pPr>
              <w:adjustRightInd w:val="0"/>
              <w:snapToGrid w:val="0"/>
              <w:spacing w:after="0" w:line="240" w:lineRule="auto"/>
              <w:rPr>
                <w:rFonts w:ascii="Arial Narrow" w:hAnsi="Arial Narrow" w:cs="Arial"/>
                <w:b/>
                <w:i/>
                <w:sz w:val="16"/>
                <w:szCs w:val="16"/>
              </w:rPr>
            </w:pPr>
            <w:r w:rsidRPr="005C79F4">
              <w:rPr>
                <w:rFonts w:ascii="Arial Narrow" w:hAnsi="Arial Narrow" w:cs="Arial"/>
                <w:i/>
                <w:sz w:val="16"/>
                <w:szCs w:val="16"/>
              </w:rPr>
              <w:t>(0.00036)</w:t>
            </w:r>
          </w:p>
        </w:tc>
        <w:tc>
          <w:tcPr>
            <w:tcW w:w="822" w:type="dxa"/>
            <w:tcBorders>
              <w:bottom w:val="single" w:sz="4" w:space="0" w:color="auto"/>
            </w:tcBorders>
            <w:vAlign w:val="center"/>
          </w:tcPr>
          <w:p w14:paraId="6EB43494" w14:textId="77777777" w:rsidR="000C5578" w:rsidRPr="005C79F4" w:rsidRDefault="000C5578" w:rsidP="000C5578">
            <w:pPr>
              <w:adjustRightInd w:val="0"/>
              <w:snapToGrid w:val="0"/>
              <w:spacing w:after="0" w:line="240" w:lineRule="auto"/>
              <w:rPr>
                <w:rFonts w:ascii="Arial Narrow" w:hAnsi="Arial Narrow" w:cs="Arial"/>
                <w:b/>
                <w:i/>
                <w:color w:val="000000"/>
                <w:sz w:val="16"/>
                <w:szCs w:val="16"/>
              </w:rPr>
            </w:pPr>
          </w:p>
        </w:tc>
      </w:tr>
    </w:tbl>
    <w:p w14:paraId="6D243B54" w14:textId="77777777" w:rsidR="005C79F4" w:rsidRDefault="00ED532F" w:rsidP="005C79F4">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Notes: 1. </w:t>
      </w:r>
      <w:r w:rsidRPr="009219BF">
        <w:rPr>
          <w:rFonts w:ascii="Arial" w:hAnsi="Arial" w:cs="Arial"/>
          <w:sz w:val="16"/>
          <w:szCs w:val="16"/>
        </w:rPr>
        <w:t>Standard errors in parentheses</w:t>
      </w:r>
      <w:r>
        <w:rPr>
          <w:rFonts w:ascii="Arial" w:hAnsi="Arial" w:cs="Arial"/>
          <w:sz w:val="16"/>
          <w:szCs w:val="16"/>
        </w:rPr>
        <w:t xml:space="preserve">. </w:t>
      </w:r>
      <w:proofErr w:type="gramStart"/>
      <w:r w:rsidRPr="009219BF">
        <w:rPr>
          <w:rFonts w:ascii="Arial" w:hAnsi="Arial" w:cs="Arial"/>
          <w:sz w:val="16"/>
          <w:szCs w:val="16"/>
        </w:rPr>
        <w:t>*** p&lt;0.01, ** p&lt;0.05, * p&lt;0.1</w:t>
      </w:r>
      <w:r w:rsidR="001356C3">
        <w:rPr>
          <w:rFonts w:ascii="Arial" w:hAnsi="Arial" w:cs="Arial"/>
          <w:sz w:val="16"/>
          <w:szCs w:val="16"/>
        </w:rPr>
        <w:t>.</w:t>
      </w:r>
      <w:proofErr w:type="gramEnd"/>
      <w:r w:rsidR="001356C3">
        <w:rPr>
          <w:rFonts w:ascii="Arial" w:hAnsi="Arial" w:cs="Arial"/>
          <w:sz w:val="16"/>
          <w:szCs w:val="16"/>
        </w:rPr>
        <w:t xml:space="preserve"> 2.;    </w:t>
      </w:r>
    </w:p>
    <w:p w14:paraId="22050558" w14:textId="77777777" w:rsidR="005C79F4" w:rsidRDefault="005C79F4" w:rsidP="00FD4ACB">
      <w:pPr>
        <w:widowControl w:val="0"/>
        <w:autoSpaceDE w:val="0"/>
        <w:autoSpaceDN w:val="0"/>
        <w:adjustRightInd w:val="0"/>
        <w:spacing w:after="0" w:line="240" w:lineRule="auto"/>
        <w:jc w:val="both"/>
        <w:rPr>
          <w:rFonts w:ascii="Arial" w:hAnsi="Arial" w:cs="Arial"/>
          <w:sz w:val="16"/>
          <w:szCs w:val="16"/>
        </w:rPr>
      </w:pPr>
      <w:r>
        <w:rPr>
          <w:rFonts w:ascii="Arial" w:hAnsi="Arial" w:cs="Arial"/>
          <w:sz w:val="16"/>
          <w:szCs w:val="16"/>
        </w:rPr>
        <w:t xml:space="preserve">2. The results where the coefficient estimates are statistically significant for ∆SWB and ∆OWB with an opposite </w:t>
      </w:r>
      <w:proofErr w:type="gramStart"/>
      <w:r>
        <w:rPr>
          <w:rFonts w:ascii="Arial" w:hAnsi="Arial" w:cs="Arial"/>
          <w:sz w:val="16"/>
          <w:szCs w:val="16"/>
        </w:rPr>
        <w:t>sign,</w:t>
      </w:r>
      <w:proofErr w:type="gramEnd"/>
      <w:r>
        <w:rPr>
          <w:rFonts w:ascii="Arial" w:hAnsi="Arial" w:cs="Arial"/>
          <w:sz w:val="16"/>
          <w:szCs w:val="16"/>
        </w:rPr>
        <w:t xml:space="preserve"> or only significant for ∆SWB are highlighted in bold. Significance judged by a subset of three marginal effects</w:t>
      </w:r>
      <w:r w:rsidR="0066390E">
        <w:rPr>
          <w:rFonts w:ascii="Arial" w:hAnsi="Arial" w:cs="Arial"/>
          <w:sz w:val="16"/>
          <w:szCs w:val="16"/>
        </w:rPr>
        <w:t>/associations</w:t>
      </w:r>
      <w:r>
        <w:rPr>
          <w:rFonts w:ascii="Arial" w:hAnsi="Arial" w:cs="Arial"/>
          <w:sz w:val="16"/>
          <w:szCs w:val="16"/>
        </w:rPr>
        <w:t xml:space="preserve"> at </w:t>
      </w:r>
      <w:r w:rsidR="00400A09">
        <w:rPr>
          <w:rFonts w:ascii="Arial" w:hAnsi="Arial" w:cs="Arial"/>
          <w:sz w:val="16"/>
          <w:szCs w:val="16"/>
        </w:rPr>
        <w:t xml:space="preserve">the </w:t>
      </w:r>
      <w:r>
        <w:rPr>
          <w:rFonts w:ascii="Arial" w:hAnsi="Arial" w:cs="Arial"/>
          <w:sz w:val="16"/>
          <w:szCs w:val="16"/>
        </w:rPr>
        <w:t xml:space="preserve">10% level;  </w:t>
      </w:r>
    </w:p>
    <w:p w14:paraId="35AAD650" w14:textId="77777777" w:rsidR="005C79F4" w:rsidRPr="009219BF" w:rsidRDefault="005C79F4" w:rsidP="00FD4ACB">
      <w:pPr>
        <w:widowControl w:val="0"/>
        <w:autoSpaceDE w:val="0"/>
        <w:autoSpaceDN w:val="0"/>
        <w:adjustRightInd w:val="0"/>
        <w:spacing w:after="0" w:line="240" w:lineRule="auto"/>
        <w:jc w:val="both"/>
        <w:rPr>
          <w:rFonts w:ascii="Arial" w:hAnsi="Arial" w:cs="Arial"/>
          <w:sz w:val="16"/>
          <w:szCs w:val="16"/>
        </w:rPr>
      </w:pPr>
      <w:r>
        <w:rPr>
          <w:rFonts w:ascii="Arial" w:hAnsi="Arial" w:cs="Arial"/>
          <w:sz w:val="16"/>
          <w:szCs w:val="16"/>
        </w:rPr>
        <w:t xml:space="preserve">3. The results where the coefficient estimates are statistically significant for ∆SWB and ∆OWB with </w:t>
      </w:r>
      <w:r w:rsidR="00400A09">
        <w:rPr>
          <w:rFonts w:ascii="Arial" w:hAnsi="Arial" w:cs="Arial"/>
          <w:sz w:val="16"/>
          <w:szCs w:val="16"/>
        </w:rPr>
        <w:t>the</w:t>
      </w:r>
      <w:r>
        <w:rPr>
          <w:rFonts w:ascii="Arial" w:hAnsi="Arial" w:cs="Arial"/>
          <w:sz w:val="16"/>
          <w:szCs w:val="16"/>
        </w:rPr>
        <w:t xml:space="preserve"> same sign are highlighted in </w:t>
      </w:r>
      <w:r w:rsidR="00400A09">
        <w:rPr>
          <w:rFonts w:ascii="Arial" w:hAnsi="Arial" w:cs="Arial"/>
          <w:sz w:val="16"/>
          <w:szCs w:val="16"/>
        </w:rPr>
        <w:t>i</w:t>
      </w:r>
      <w:r>
        <w:rPr>
          <w:rFonts w:ascii="Arial" w:hAnsi="Arial" w:cs="Arial"/>
          <w:sz w:val="16"/>
          <w:szCs w:val="16"/>
        </w:rPr>
        <w:t>talics. Significance judged by a subset of three marginal effects</w:t>
      </w:r>
      <w:r w:rsidR="0066390E">
        <w:rPr>
          <w:rFonts w:ascii="Arial" w:hAnsi="Arial" w:cs="Arial"/>
          <w:sz w:val="16"/>
          <w:szCs w:val="16"/>
        </w:rPr>
        <w:t>/associations</w:t>
      </w:r>
      <w:r>
        <w:rPr>
          <w:rFonts w:ascii="Arial" w:hAnsi="Arial" w:cs="Arial"/>
          <w:sz w:val="16"/>
          <w:szCs w:val="16"/>
        </w:rPr>
        <w:t xml:space="preserve"> at </w:t>
      </w:r>
      <w:r w:rsidR="00400A09">
        <w:rPr>
          <w:rFonts w:ascii="Arial" w:hAnsi="Arial" w:cs="Arial"/>
          <w:sz w:val="16"/>
          <w:szCs w:val="16"/>
        </w:rPr>
        <w:t xml:space="preserve">the </w:t>
      </w:r>
      <w:r>
        <w:rPr>
          <w:rFonts w:ascii="Arial" w:hAnsi="Arial" w:cs="Arial"/>
          <w:sz w:val="16"/>
          <w:szCs w:val="16"/>
        </w:rPr>
        <w:t xml:space="preserve">10% level;  </w:t>
      </w:r>
    </w:p>
    <w:p w14:paraId="75EC90A1" w14:textId="77777777" w:rsidR="001356C3" w:rsidRDefault="005C79F4" w:rsidP="00FD4ACB">
      <w:pPr>
        <w:adjustRightInd w:val="0"/>
        <w:snapToGrid w:val="0"/>
        <w:spacing w:after="0" w:line="240" w:lineRule="auto"/>
        <w:jc w:val="both"/>
        <w:rPr>
          <w:rFonts w:ascii="Arial" w:hAnsi="Arial" w:cs="Arial"/>
          <w:sz w:val="16"/>
          <w:szCs w:val="16"/>
        </w:rPr>
      </w:pPr>
      <w:r>
        <w:rPr>
          <w:rFonts w:ascii="Arial" w:hAnsi="Arial" w:cs="Arial"/>
          <w:sz w:val="16"/>
          <w:szCs w:val="16"/>
        </w:rPr>
        <w:t>4</w:t>
      </w:r>
      <w:r w:rsidR="001356C3">
        <w:rPr>
          <w:rFonts w:ascii="Arial" w:hAnsi="Arial" w:cs="Arial"/>
          <w:sz w:val="16"/>
          <w:szCs w:val="16"/>
        </w:rPr>
        <w:t>. Average ME (marginal effects) show the additional probability that a household shifts to the category (0</w:t>
      </w:r>
      <w:proofErr w:type="gramStart"/>
      <w:r w:rsidR="001356C3">
        <w:rPr>
          <w:rFonts w:ascii="Arial" w:hAnsi="Arial" w:cs="Arial"/>
          <w:sz w:val="16"/>
          <w:szCs w:val="16"/>
        </w:rPr>
        <w:t>,1,2</w:t>
      </w:r>
      <w:proofErr w:type="gramEnd"/>
      <w:r w:rsidR="001356C3">
        <w:rPr>
          <w:rFonts w:ascii="Arial" w:hAnsi="Arial" w:cs="Arial"/>
          <w:sz w:val="16"/>
          <w:szCs w:val="16"/>
        </w:rPr>
        <w:t>) one above and this is equivalent to the OLS estimate in Table 2. T</w:t>
      </w:r>
      <w:r w:rsidR="000C5578">
        <w:rPr>
          <w:rFonts w:ascii="Arial" w:hAnsi="Arial" w:cs="Arial"/>
          <w:sz w:val="16"/>
          <w:szCs w:val="16"/>
        </w:rPr>
        <w:t xml:space="preserve">his is equal to ‘0*ME for “0” + 1*ME for “1” + 2*ME for “2”’. </w:t>
      </w:r>
    </w:p>
    <w:p w14:paraId="0F755AF7" w14:textId="77777777" w:rsidR="001356C3" w:rsidRDefault="001356C3" w:rsidP="00FD4ACB">
      <w:pPr>
        <w:adjustRightInd w:val="0"/>
        <w:snapToGrid w:val="0"/>
        <w:spacing w:after="0" w:line="240" w:lineRule="auto"/>
        <w:jc w:val="both"/>
        <w:rPr>
          <w:rFonts w:ascii="Times New Roman" w:eastAsiaTheme="minorEastAsia" w:hAnsi="Times New Roman" w:cs="Times New Roman"/>
        </w:rPr>
      </w:pPr>
    </w:p>
    <w:p w14:paraId="242F6D8E" w14:textId="77777777" w:rsidR="00F1527A" w:rsidRDefault="00F1527A" w:rsidP="001356C3">
      <w:pPr>
        <w:adjustRightInd w:val="0"/>
        <w:snapToGrid w:val="0"/>
        <w:spacing w:after="0" w:line="240" w:lineRule="auto"/>
        <w:jc w:val="both"/>
        <w:rPr>
          <w:rFonts w:ascii="Times New Roman" w:eastAsiaTheme="minorEastAsia" w:hAnsi="Times New Roman" w:cs="Times New Roman"/>
        </w:rPr>
      </w:pPr>
    </w:p>
    <w:p w14:paraId="4A8AA06D" w14:textId="77777777" w:rsidR="008A39D5" w:rsidRPr="008269E4" w:rsidRDefault="004349A8" w:rsidP="008A39D5">
      <w:pPr>
        <w:jc w:val="center"/>
        <w:rPr>
          <w:rFonts w:ascii="Times New Roman" w:hAnsi="Times New Roman" w:cs="Times New Roman"/>
          <w:b/>
          <w:sz w:val="24"/>
          <w:szCs w:val="24"/>
        </w:rPr>
      </w:pPr>
      <w:r>
        <w:rPr>
          <w:rFonts w:ascii="Times New Roman" w:hAnsi="Times New Roman" w:cs="Times New Roman"/>
          <w:b/>
          <w:sz w:val="24"/>
          <w:szCs w:val="24"/>
        </w:rPr>
        <w:t xml:space="preserve">(a) </w:t>
      </w:r>
      <w:r w:rsidR="008A39D5">
        <w:rPr>
          <w:rFonts w:ascii="Times New Roman" w:hAnsi="Times New Roman" w:cs="Times New Roman"/>
          <w:b/>
          <w:sz w:val="24"/>
          <w:szCs w:val="24"/>
        </w:rPr>
        <w:t xml:space="preserve">Common </w:t>
      </w:r>
      <w:r w:rsidR="00400A09">
        <w:rPr>
          <w:rFonts w:ascii="Times New Roman" w:hAnsi="Times New Roman" w:cs="Times New Roman"/>
          <w:b/>
          <w:sz w:val="24"/>
          <w:szCs w:val="24"/>
        </w:rPr>
        <w:t>Covariates</w:t>
      </w:r>
      <w:r w:rsidR="008A39D5">
        <w:rPr>
          <w:rFonts w:ascii="Times New Roman" w:hAnsi="Times New Roman" w:cs="Times New Roman"/>
          <w:b/>
          <w:sz w:val="24"/>
          <w:szCs w:val="24"/>
        </w:rPr>
        <w:t xml:space="preserve"> of ∆SWB and ∆OWB</w:t>
      </w:r>
    </w:p>
    <w:p w14:paraId="43394625" w14:textId="77777777" w:rsidR="00292E37" w:rsidRPr="00292E37" w:rsidRDefault="00292E37" w:rsidP="003C2698">
      <w:pPr>
        <w:jc w:val="both"/>
        <w:rPr>
          <w:rFonts w:ascii="Times New Roman" w:eastAsiaTheme="minorEastAsia" w:hAnsi="Times New Roman" w:cs="Times New Roman"/>
          <w:i/>
          <w:sz w:val="24"/>
          <w:szCs w:val="24"/>
        </w:rPr>
      </w:pPr>
      <w:r w:rsidRPr="00292E37">
        <w:rPr>
          <w:rFonts w:ascii="Times New Roman" w:eastAsiaTheme="minorEastAsia" w:hAnsi="Times New Roman" w:cs="Times New Roman"/>
          <w:i/>
          <w:sz w:val="24"/>
          <w:szCs w:val="24"/>
        </w:rPr>
        <w:t>Age</w:t>
      </w:r>
      <w:r w:rsidR="00B31FB0">
        <w:rPr>
          <w:rFonts w:ascii="Times New Roman" w:eastAsiaTheme="minorEastAsia" w:hAnsi="Times New Roman" w:cs="Times New Roman"/>
          <w:i/>
          <w:sz w:val="24"/>
          <w:szCs w:val="24"/>
        </w:rPr>
        <w:t xml:space="preserve"> with a Non-linear effect </w:t>
      </w:r>
    </w:p>
    <w:p w14:paraId="0744DD66" w14:textId="77777777" w:rsidR="00C21A3F" w:rsidRDefault="003C2698" w:rsidP="003C2698">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The coefficient of age is positive and significant while that of square of age is negative and significant</w:t>
      </w:r>
      <w:r w:rsidR="00292E37">
        <w:rPr>
          <w:rFonts w:ascii="Times New Roman" w:eastAsiaTheme="minorEastAsia" w:hAnsi="Times New Roman" w:cs="Times New Roman"/>
          <w:sz w:val="24"/>
          <w:szCs w:val="24"/>
        </w:rPr>
        <w:t xml:space="preserve"> for </w:t>
      </w:r>
      <w:r w:rsidR="009F0CBC">
        <w:rPr>
          <w:rFonts w:ascii="Times New Roman" w:eastAsiaTheme="minorEastAsia" w:hAnsi="Times New Roman" w:cs="Times New Roman"/>
          <w:sz w:val="24"/>
          <w:szCs w:val="24"/>
        </w:rPr>
        <w:t xml:space="preserve">both </w:t>
      </w:r>
      <w:r w:rsidR="00292E37" w:rsidRPr="00887DF5">
        <w:rPr>
          <w:rFonts w:ascii="Times New Roman" w:eastAsiaTheme="minorEastAsia" w:hAnsi="Times New Roman" w:cs="Times New Roman"/>
          <w:sz w:val="24"/>
          <w:szCs w:val="24"/>
        </w:rPr>
        <w:t>∆</w:t>
      </w:r>
      <w:r w:rsidR="009F0CBC">
        <w:rPr>
          <w:rFonts w:ascii="Times New Roman" w:eastAsiaTheme="minorEastAsia" w:hAnsi="Times New Roman" w:cs="Times New Roman"/>
          <w:sz w:val="24"/>
          <w:szCs w:val="24"/>
        </w:rPr>
        <w:t xml:space="preserve">SWB and ∆OWB </w:t>
      </w:r>
      <w:r w:rsidR="00292E37">
        <w:rPr>
          <w:rFonts w:ascii="Times New Roman" w:eastAsiaTheme="minorEastAsia" w:hAnsi="Times New Roman" w:cs="Times New Roman"/>
          <w:sz w:val="24"/>
          <w:szCs w:val="24"/>
        </w:rPr>
        <w:t xml:space="preserve">in OLS </w:t>
      </w:r>
      <w:r w:rsidR="00C21A3F">
        <w:rPr>
          <w:rFonts w:ascii="Times New Roman" w:eastAsiaTheme="minorEastAsia" w:hAnsi="Times New Roman" w:cs="Times New Roman"/>
          <w:sz w:val="24"/>
          <w:szCs w:val="24"/>
        </w:rPr>
        <w:t>(Table 2).</w:t>
      </w:r>
      <w:r w:rsidR="00A55FCF">
        <w:rPr>
          <w:rFonts w:ascii="Times New Roman" w:eastAsiaTheme="minorEastAsia" w:hAnsi="Times New Roman" w:cs="Times New Roman"/>
          <w:sz w:val="24"/>
          <w:szCs w:val="24"/>
        </w:rPr>
        <w:t xml:space="preserve">This is consistent with the ordered </w:t>
      </w:r>
      <w:proofErr w:type="spellStart"/>
      <w:r w:rsidR="00A55FCF">
        <w:rPr>
          <w:rFonts w:ascii="Times New Roman" w:eastAsiaTheme="minorEastAsia" w:hAnsi="Times New Roman" w:cs="Times New Roman"/>
          <w:sz w:val="24"/>
          <w:szCs w:val="24"/>
        </w:rPr>
        <w:t>probit</w:t>
      </w:r>
      <w:proofErr w:type="spellEnd"/>
      <w:r w:rsidR="00A55FCF">
        <w:rPr>
          <w:rFonts w:ascii="Times New Roman" w:eastAsiaTheme="minorEastAsia" w:hAnsi="Times New Roman" w:cs="Times New Roman"/>
          <w:sz w:val="24"/>
          <w:szCs w:val="24"/>
        </w:rPr>
        <w:t xml:space="preserve"> results where </w:t>
      </w:r>
      <w:r w:rsidR="00A55FCF" w:rsidRPr="008269E4">
        <w:rPr>
          <w:rFonts w:ascii="Times New Roman" w:eastAsiaTheme="minorEastAsia" w:hAnsi="Times New Roman" w:cs="Times New Roman"/>
          <w:sz w:val="24"/>
          <w:szCs w:val="24"/>
        </w:rPr>
        <w:t>age is negatively associated with being worse-off and just the same and positively with being better-off</w:t>
      </w:r>
      <w:r w:rsidR="00A55FCF">
        <w:rPr>
          <w:rFonts w:ascii="Times New Roman" w:eastAsiaTheme="minorEastAsia" w:hAnsi="Times New Roman" w:cs="Times New Roman"/>
          <w:sz w:val="24"/>
          <w:szCs w:val="24"/>
        </w:rPr>
        <w:t xml:space="preserve"> for </w:t>
      </w:r>
      <w:r w:rsidR="00A55FCF" w:rsidRPr="00887DF5">
        <w:rPr>
          <w:rFonts w:ascii="Times New Roman" w:eastAsiaTheme="minorEastAsia" w:hAnsi="Times New Roman" w:cs="Times New Roman"/>
          <w:sz w:val="24"/>
          <w:szCs w:val="24"/>
        </w:rPr>
        <w:t>∆</w:t>
      </w:r>
      <w:r w:rsidR="00A55FCF">
        <w:rPr>
          <w:rFonts w:ascii="Times New Roman" w:eastAsiaTheme="minorEastAsia" w:hAnsi="Times New Roman" w:cs="Times New Roman"/>
          <w:sz w:val="24"/>
          <w:szCs w:val="24"/>
        </w:rPr>
        <w:t xml:space="preserve">SWB </w:t>
      </w:r>
      <w:r w:rsidR="009F0CBC">
        <w:rPr>
          <w:rFonts w:ascii="Times New Roman" w:eastAsiaTheme="minorEastAsia" w:hAnsi="Times New Roman" w:cs="Times New Roman"/>
          <w:sz w:val="24"/>
          <w:szCs w:val="24"/>
        </w:rPr>
        <w:t xml:space="preserve">and </w:t>
      </w:r>
      <w:r w:rsidR="00A55FCF" w:rsidRPr="00887DF5">
        <w:rPr>
          <w:rFonts w:ascii="Times New Roman" w:eastAsiaTheme="minorEastAsia" w:hAnsi="Times New Roman" w:cs="Times New Roman"/>
          <w:sz w:val="24"/>
          <w:szCs w:val="24"/>
        </w:rPr>
        <w:t>∆</w:t>
      </w:r>
      <w:r w:rsidR="00A55FCF">
        <w:rPr>
          <w:rFonts w:ascii="Times New Roman" w:eastAsiaTheme="minorEastAsia" w:hAnsi="Times New Roman" w:cs="Times New Roman"/>
          <w:sz w:val="24"/>
          <w:szCs w:val="24"/>
        </w:rPr>
        <w:t xml:space="preserve">OWB (Table 3). </w:t>
      </w:r>
      <w:proofErr w:type="gramStart"/>
      <w:r w:rsidR="00A55FCF">
        <w:rPr>
          <w:rFonts w:ascii="Times New Roman" w:eastAsiaTheme="minorEastAsia" w:hAnsi="Times New Roman" w:cs="Times New Roman"/>
          <w:sz w:val="24"/>
          <w:szCs w:val="24"/>
        </w:rPr>
        <w:t xml:space="preserve">Households with an </w:t>
      </w:r>
      <w:r w:rsidR="00A55FCF" w:rsidRPr="00C65BDF">
        <w:rPr>
          <w:rFonts w:ascii="Times New Roman" w:eastAsiaTheme="minorEastAsia" w:hAnsi="Times New Roman" w:cs="Times New Roman"/>
          <w:sz w:val="24"/>
          <w:szCs w:val="24"/>
        </w:rPr>
        <w:t>old</w:t>
      </w:r>
      <w:r w:rsidR="00A55FCF">
        <w:rPr>
          <w:rFonts w:ascii="Times New Roman" w:eastAsiaTheme="minorEastAsia" w:hAnsi="Times New Roman" w:cs="Times New Roman"/>
          <w:sz w:val="24"/>
          <w:szCs w:val="24"/>
        </w:rPr>
        <w:t xml:space="preserve"> head tend</w:t>
      </w:r>
      <w:r w:rsidR="004D372C">
        <w:rPr>
          <w:rFonts w:ascii="Times New Roman" w:eastAsiaTheme="minorEastAsia" w:hAnsi="Times New Roman" w:cs="Times New Roman"/>
          <w:sz w:val="24"/>
          <w:szCs w:val="24"/>
        </w:rPr>
        <w:t xml:space="preserve"> </w:t>
      </w:r>
      <w:r w:rsidR="00A55FCF">
        <w:rPr>
          <w:rFonts w:ascii="Times New Roman" w:eastAsiaTheme="minorEastAsia" w:hAnsi="Times New Roman" w:cs="Times New Roman"/>
          <w:sz w:val="24"/>
          <w:szCs w:val="24"/>
        </w:rPr>
        <w:t xml:space="preserve">to feel their economic well-being </w:t>
      </w:r>
      <w:r w:rsidR="00400A09">
        <w:rPr>
          <w:rFonts w:ascii="Times New Roman" w:eastAsiaTheme="minorEastAsia" w:hAnsi="Times New Roman" w:cs="Times New Roman"/>
          <w:sz w:val="24"/>
          <w:szCs w:val="24"/>
        </w:rPr>
        <w:t xml:space="preserve">has </w:t>
      </w:r>
      <w:r w:rsidR="00A55FCF">
        <w:rPr>
          <w:rFonts w:ascii="Times New Roman" w:eastAsiaTheme="minorEastAsia" w:hAnsi="Times New Roman" w:cs="Times New Roman"/>
          <w:sz w:val="24"/>
          <w:szCs w:val="24"/>
        </w:rPr>
        <w:t xml:space="preserve">improved </w:t>
      </w:r>
      <w:r w:rsidR="009F0CBC">
        <w:rPr>
          <w:rFonts w:ascii="Times New Roman" w:eastAsiaTheme="minorEastAsia" w:hAnsi="Times New Roman" w:cs="Times New Roman"/>
          <w:sz w:val="24"/>
          <w:szCs w:val="24"/>
        </w:rPr>
        <w:t>both subjectively and objectively</w:t>
      </w:r>
      <w:r w:rsidR="00400A09">
        <w:rPr>
          <w:rFonts w:ascii="Times New Roman" w:eastAsiaTheme="minorEastAsia" w:hAnsi="Times New Roman" w:cs="Times New Roman"/>
          <w:sz w:val="24"/>
          <w:szCs w:val="24"/>
        </w:rPr>
        <w:t>,</w:t>
      </w:r>
      <w:r w:rsidR="004D372C">
        <w:rPr>
          <w:rFonts w:ascii="Times New Roman" w:eastAsiaTheme="minorEastAsia" w:hAnsi="Times New Roman" w:cs="Times New Roman"/>
          <w:sz w:val="24"/>
          <w:szCs w:val="24"/>
        </w:rPr>
        <w:t xml:space="preserve"> </w:t>
      </w:r>
      <w:r w:rsidR="00A55FCF">
        <w:rPr>
          <w:rFonts w:ascii="Times New Roman" w:eastAsiaTheme="minorEastAsia" w:hAnsi="Times New Roman" w:cs="Times New Roman"/>
          <w:sz w:val="24"/>
          <w:szCs w:val="24"/>
        </w:rPr>
        <w:t xml:space="preserve">with the </w:t>
      </w:r>
      <w:r w:rsidR="00400A09">
        <w:rPr>
          <w:rFonts w:ascii="Times New Roman" w:eastAsiaTheme="minorEastAsia" w:hAnsi="Times New Roman" w:cs="Times New Roman"/>
          <w:sz w:val="24"/>
          <w:szCs w:val="24"/>
        </w:rPr>
        <w:t>association a</w:t>
      </w:r>
      <w:r w:rsidR="00C65BDF">
        <w:rPr>
          <w:rFonts w:ascii="Times New Roman" w:eastAsiaTheme="minorEastAsia" w:hAnsi="Times New Roman" w:cs="Times New Roman"/>
          <w:sz w:val="24"/>
          <w:szCs w:val="24"/>
        </w:rPr>
        <w:t xml:space="preserve">ttenuating </w:t>
      </w:r>
      <w:r w:rsidR="009F0CBC">
        <w:rPr>
          <w:rFonts w:ascii="Times New Roman" w:eastAsiaTheme="minorEastAsia" w:hAnsi="Times New Roman" w:cs="Times New Roman"/>
          <w:sz w:val="24"/>
          <w:szCs w:val="24"/>
        </w:rPr>
        <w:t>as the head gets</w:t>
      </w:r>
      <w:proofErr w:type="gramEnd"/>
      <w:r w:rsidR="009F0CBC">
        <w:rPr>
          <w:rFonts w:ascii="Times New Roman" w:eastAsiaTheme="minorEastAsia" w:hAnsi="Times New Roman" w:cs="Times New Roman"/>
          <w:sz w:val="24"/>
          <w:szCs w:val="24"/>
        </w:rPr>
        <w:t xml:space="preserve"> older</w:t>
      </w:r>
      <w:r w:rsidR="00A55FCF">
        <w:rPr>
          <w:rFonts w:ascii="Times New Roman" w:eastAsiaTheme="minorEastAsia" w:hAnsi="Times New Roman" w:cs="Times New Roman"/>
          <w:sz w:val="24"/>
          <w:szCs w:val="24"/>
        </w:rPr>
        <w:t xml:space="preserve">. </w:t>
      </w:r>
      <w:r w:rsidR="00C21A3F">
        <w:rPr>
          <w:rFonts w:ascii="Times New Roman" w:eastAsiaTheme="minorEastAsia" w:hAnsi="Times New Roman" w:cs="Times New Roman"/>
          <w:sz w:val="24"/>
          <w:szCs w:val="24"/>
        </w:rPr>
        <w:t xml:space="preserve">If a head gets one year older, the household is more likely to move to one above category </w:t>
      </w:r>
      <w:r w:rsidR="00A55FCF">
        <w:rPr>
          <w:rFonts w:ascii="Times New Roman" w:eastAsiaTheme="minorEastAsia" w:hAnsi="Times New Roman" w:cs="Times New Roman"/>
          <w:sz w:val="24"/>
          <w:szCs w:val="24"/>
        </w:rPr>
        <w:t>of ∆SWB (</w:t>
      </w:r>
      <w:r w:rsidR="00432920">
        <w:rPr>
          <w:rFonts w:ascii="Times New Roman" w:eastAsiaTheme="minorEastAsia" w:hAnsi="Times New Roman" w:cs="Times New Roman"/>
          <w:sz w:val="24"/>
          <w:szCs w:val="24"/>
        </w:rPr>
        <w:t xml:space="preserve">or </w:t>
      </w:r>
      <w:r w:rsidR="00A55FCF">
        <w:rPr>
          <w:rFonts w:ascii="Times New Roman" w:eastAsiaTheme="minorEastAsia" w:hAnsi="Times New Roman" w:cs="Times New Roman"/>
          <w:sz w:val="24"/>
          <w:szCs w:val="24"/>
        </w:rPr>
        <w:t xml:space="preserve">∆OWB) </w:t>
      </w:r>
      <w:r w:rsidR="00C21A3F">
        <w:rPr>
          <w:rFonts w:ascii="Times New Roman" w:eastAsiaTheme="minorEastAsia" w:hAnsi="Times New Roman" w:cs="Times New Roman"/>
          <w:sz w:val="24"/>
          <w:szCs w:val="24"/>
        </w:rPr>
        <w:t>by 0.5</w:t>
      </w:r>
      <w:r w:rsidR="00D36551">
        <w:rPr>
          <w:rFonts w:ascii="Times New Roman" w:eastAsiaTheme="minorEastAsia" w:hAnsi="Times New Roman" w:cs="Times New Roman"/>
          <w:sz w:val="24"/>
          <w:szCs w:val="24"/>
        </w:rPr>
        <w:t>4</w:t>
      </w:r>
      <w:r w:rsidR="00C21A3F">
        <w:rPr>
          <w:rFonts w:ascii="Times New Roman" w:eastAsiaTheme="minorEastAsia" w:hAnsi="Times New Roman" w:cs="Times New Roman"/>
          <w:sz w:val="24"/>
          <w:szCs w:val="24"/>
        </w:rPr>
        <w:t xml:space="preserve">% </w:t>
      </w:r>
      <w:r w:rsidR="00A55FCF">
        <w:rPr>
          <w:rFonts w:ascii="Times New Roman" w:eastAsiaTheme="minorEastAsia" w:hAnsi="Times New Roman" w:cs="Times New Roman"/>
          <w:sz w:val="24"/>
          <w:szCs w:val="24"/>
        </w:rPr>
        <w:t>(</w:t>
      </w:r>
      <w:r w:rsidR="00432920">
        <w:rPr>
          <w:rFonts w:ascii="Times New Roman" w:eastAsiaTheme="minorEastAsia" w:hAnsi="Times New Roman" w:cs="Times New Roman"/>
          <w:sz w:val="24"/>
          <w:szCs w:val="24"/>
        </w:rPr>
        <w:t xml:space="preserve">or </w:t>
      </w:r>
      <w:r w:rsidR="009F0CBC">
        <w:rPr>
          <w:rFonts w:ascii="Times New Roman" w:eastAsiaTheme="minorEastAsia" w:hAnsi="Times New Roman" w:cs="Times New Roman"/>
          <w:sz w:val="24"/>
          <w:szCs w:val="24"/>
        </w:rPr>
        <w:t>1.84</w:t>
      </w:r>
      <w:r w:rsidR="00A55FCF">
        <w:rPr>
          <w:rFonts w:ascii="Times New Roman" w:eastAsiaTheme="minorEastAsia" w:hAnsi="Times New Roman" w:cs="Times New Roman"/>
          <w:sz w:val="24"/>
          <w:szCs w:val="24"/>
        </w:rPr>
        <w:t xml:space="preserve">%) </w:t>
      </w:r>
      <w:r w:rsidR="00C21A3F">
        <w:rPr>
          <w:rFonts w:ascii="Times New Roman" w:eastAsiaTheme="minorEastAsia" w:hAnsi="Times New Roman" w:cs="Times New Roman"/>
          <w:sz w:val="24"/>
          <w:szCs w:val="24"/>
        </w:rPr>
        <w:t>on average</w:t>
      </w:r>
      <w:r w:rsidR="00E742CF">
        <w:rPr>
          <w:rFonts w:ascii="Times New Roman" w:eastAsiaTheme="minorEastAsia" w:hAnsi="Times New Roman" w:cs="Times New Roman"/>
          <w:sz w:val="24"/>
          <w:szCs w:val="24"/>
        </w:rPr>
        <w:t>,</w:t>
      </w:r>
      <w:r w:rsidR="00C21A3F">
        <w:rPr>
          <w:rFonts w:ascii="Times New Roman" w:eastAsiaTheme="minorEastAsia" w:hAnsi="Times New Roman" w:cs="Times New Roman"/>
          <w:sz w:val="24"/>
          <w:szCs w:val="24"/>
        </w:rPr>
        <w:t xml:space="preserve"> other things being equal </w:t>
      </w:r>
      <w:r w:rsidR="002D79E5">
        <w:rPr>
          <w:rFonts w:ascii="Times New Roman" w:eastAsiaTheme="minorEastAsia" w:hAnsi="Times New Roman" w:cs="Times New Roman"/>
          <w:sz w:val="24"/>
          <w:szCs w:val="24"/>
        </w:rPr>
        <w:t>(Table 2). This</w:t>
      </w:r>
      <w:r w:rsidR="00A55FCF">
        <w:rPr>
          <w:rFonts w:ascii="Times New Roman" w:eastAsiaTheme="minorEastAsia" w:hAnsi="Times New Roman" w:cs="Times New Roman"/>
          <w:sz w:val="24"/>
          <w:szCs w:val="24"/>
        </w:rPr>
        <w:t xml:space="preserve"> is consistent with marginal effect</w:t>
      </w:r>
      <w:r w:rsidR="00C65BDF">
        <w:rPr>
          <w:rFonts w:ascii="Times New Roman" w:eastAsiaTheme="minorEastAsia" w:hAnsi="Times New Roman" w:cs="Times New Roman"/>
          <w:sz w:val="24"/>
          <w:szCs w:val="24"/>
        </w:rPr>
        <w:t>/association</w:t>
      </w:r>
      <w:r w:rsidR="00A55FCF">
        <w:rPr>
          <w:rFonts w:ascii="Times New Roman" w:eastAsiaTheme="minorEastAsia" w:hAnsi="Times New Roman" w:cs="Times New Roman"/>
          <w:sz w:val="24"/>
          <w:szCs w:val="24"/>
        </w:rPr>
        <w:t xml:space="preserve"> estimates in Table 3</w:t>
      </w:r>
      <w:r w:rsidR="00432920">
        <w:rPr>
          <w:rFonts w:ascii="Times New Roman" w:eastAsiaTheme="minorEastAsia" w:hAnsi="Times New Roman" w:cs="Times New Roman"/>
          <w:sz w:val="24"/>
          <w:szCs w:val="24"/>
        </w:rPr>
        <w:t xml:space="preserve"> (0.537% (or </w:t>
      </w:r>
      <w:r w:rsidR="002D79E5">
        <w:rPr>
          <w:rFonts w:ascii="Times New Roman" w:eastAsiaTheme="minorEastAsia" w:hAnsi="Times New Roman" w:cs="Times New Roman"/>
          <w:sz w:val="24"/>
          <w:szCs w:val="24"/>
        </w:rPr>
        <w:t>1.92</w:t>
      </w:r>
      <w:r w:rsidR="00432920">
        <w:rPr>
          <w:rFonts w:ascii="Times New Roman" w:eastAsiaTheme="minorEastAsia" w:hAnsi="Times New Roman" w:cs="Times New Roman"/>
          <w:sz w:val="24"/>
          <w:szCs w:val="24"/>
        </w:rPr>
        <w:t>%))</w:t>
      </w:r>
      <w:r w:rsidR="00A55FCF">
        <w:rPr>
          <w:rFonts w:ascii="Times New Roman" w:eastAsiaTheme="minorEastAsia" w:hAnsi="Times New Roman" w:cs="Times New Roman"/>
          <w:sz w:val="24"/>
          <w:szCs w:val="24"/>
        </w:rPr>
        <w:t>.</w:t>
      </w:r>
      <w:r w:rsidR="002D79E5">
        <w:rPr>
          <w:rFonts w:ascii="Times New Roman" w:eastAsiaTheme="minorEastAsia" w:hAnsi="Times New Roman" w:cs="Times New Roman"/>
          <w:sz w:val="24"/>
          <w:szCs w:val="24"/>
        </w:rPr>
        <w:t xml:space="preserve"> The </w:t>
      </w:r>
      <w:r w:rsidR="00C65BDF">
        <w:rPr>
          <w:rFonts w:ascii="Times New Roman" w:eastAsiaTheme="minorEastAsia" w:hAnsi="Times New Roman" w:cs="Times New Roman"/>
          <w:sz w:val="24"/>
          <w:szCs w:val="24"/>
        </w:rPr>
        <w:t>association of age with</w:t>
      </w:r>
      <w:r w:rsidR="002D79E5">
        <w:rPr>
          <w:rFonts w:ascii="Times New Roman" w:eastAsiaTheme="minorEastAsia" w:hAnsi="Times New Roman" w:cs="Times New Roman"/>
          <w:sz w:val="24"/>
          <w:szCs w:val="24"/>
        </w:rPr>
        <w:t xml:space="preserve"> the improvement in well-being is thus much larger for OWB than for SWB.  </w:t>
      </w:r>
    </w:p>
    <w:p w14:paraId="77EE515E" w14:textId="77777777" w:rsidR="00EF0BFA" w:rsidRDefault="00B31FB0" w:rsidP="00EF0BFA">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Household S</w:t>
      </w:r>
      <w:r w:rsidR="00EF0BFA">
        <w:rPr>
          <w:rFonts w:ascii="Times New Roman" w:eastAsiaTheme="minorEastAsia" w:hAnsi="Times New Roman" w:cs="Times New Roman"/>
          <w:i/>
          <w:sz w:val="24"/>
          <w:szCs w:val="24"/>
        </w:rPr>
        <w:t xml:space="preserve">ize </w:t>
      </w:r>
    </w:p>
    <w:p w14:paraId="0CB46FA6" w14:textId="77777777" w:rsidR="00CC0C9B" w:rsidRDefault="00CC0C9B" w:rsidP="00CC0C9B">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Living arrangements can be </w:t>
      </w:r>
      <w:r w:rsidRPr="008269E4">
        <w:rPr>
          <w:rFonts w:ascii="Times New Roman" w:eastAsiaTheme="minorEastAsia" w:hAnsi="Times New Roman" w:cs="Times New Roman"/>
          <w:sz w:val="24"/>
          <w:szCs w:val="24"/>
        </w:rPr>
        <w:t xml:space="preserve">associated with perceived </w:t>
      </w:r>
      <w:r w:rsidR="00C65BDF">
        <w:rPr>
          <w:rFonts w:ascii="Times New Roman" w:eastAsiaTheme="minorEastAsia" w:hAnsi="Times New Roman" w:cs="Times New Roman"/>
          <w:sz w:val="24"/>
          <w:szCs w:val="24"/>
        </w:rPr>
        <w:t xml:space="preserve">change in </w:t>
      </w:r>
      <w:r w:rsidRPr="008269E4">
        <w:rPr>
          <w:rFonts w:ascii="Times New Roman" w:eastAsiaTheme="minorEastAsia" w:hAnsi="Times New Roman" w:cs="Times New Roman"/>
          <w:sz w:val="24"/>
          <w:szCs w:val="24"/>
        </w:rPr>
        <w:t xml:space="preserve">well-being. These are captured through the household size. As households with 2-5 persons are the largest group, this group is omitted. So relative to this group, those living alone are associated with lower </w:t>
      </w:r>
      <w:r>
        <w:rPr>
          <w:rFonts w:ascii="Times New Roman" w:eastAsiaTheme="minorEastAsia" w:hAnsi="Times New Roman" w:cs="Times New Roman"/>
          <w:sz w:val="24"/>
          <w:szCs w:val="24"/>
        </w:rPr>
        <w:t xml:space="preserve">∆SWB </w:t>
      </w:r>
      <w:r w:rsidR="002D79E5">
        <w:rPr>
          <w:rFonts w:ascii="Times New Roman" w:eastAsiaTheme="minorEastAsia" w:hAnsi="Times New Roman" w:cs="Times New Roman"/>
          <w:sz w:val="24"/>
          <w:szCs w:val="24"/>
        </w:rPr>
        <w:t xml:space="preserve">and ∆OWB </w:t>
      </w:r>
      <w:r w:rsidRPr="008269E4">
        <w:rPr>
          <w:rFonts w:ascii="Times New Roman" w:eastAsiaTheme="minorEastAsia" w:hAnsi="Times New Roman" w:cs="Times New Roman"/>
          <w:sz w:val="24"/>
          <w:szCs w:val="24"/>
        </w:rPr>
        <w:t xml:space="preserve">and those belonging to households with more than 5 members </w:t>
      </w:r>
      <w:r w:rsidR="00C65BDF">
        <w:rPr>
          <w:rFonts w:ascii="Times New Roman" w:eastAsiaTheme="minorEastAsia" w:hAnsi="Times New Roman" w:cs="Times New Roman"/>
          <w:sz w:val="24"/>
          <w:szCs w:val="24"/>
        </w:rPr>
        <w:t>express</w:t>
      </w:r>
      <w:r>
        <w:rPr>
          <w:rFonts w:ascii="Times New Roman" w:eastAsiaTheme="minorEastAsia" w:hAnsi="Times New Roman" w:cs="Times New Roman"/>
          <w:sz w:val="24"/>
          <w:szCs w:val="24"/>
        </w:rPr>
        <w:t xml:space="preserve"> a </w:t>
      </w:r>
      <w:r w:rsidRPr="008269E4">
        <w:rPr>
          <w:rFonts w:ascii="Times New Roman" w:eastAsiaTheme="minorEastAsia" w:hAnsi="Times New Roman" w:cs="Times New Roman"/>
          <w:sz w:val="24"/>
          <w:szCs w:val="24"/>
        </w:rPr>
        <w:t xml:space="preserve">higher </w:t>
      </w:r>
      <w:r>
        <w:rPr>
          <w:rFonts w:ascii="Times New Roman" w:eastAsiaTheme="minorEastAsia" w:hAnsi="Times New Roman" w:cs="Times New Roman"/>
          <w:sz w:val="24"/>
          <w:szCs w:val="24"/>
        </w:rPr>
        <w:t xml:space="preserve">∆SWB </w:t>
      </w:r>
      <w:r w:rsidR="002D79E5">
        <w:rPr>
          <w:rFonts w:ascii="Times New Roman" w:eastAsiaTheme="minorEastAsia" w:hAnsi="Times New Roman" w:cs="Times New Roman"/>
          <w:sz w:val="24"/>
          <w:szCs w:val="24"/>
        </w:rPr>
        <w:t xml:space="preserve">and ∆OWB </w:t>
      </w:r>
      <w:r>
        <w:rPr>
          <w:rFonts w:ascii="Times New Roman" w:eastAsiaTheme="minorEastAsia" w:hAnsi="Times New Roman" w:cs="Times New Roman"/>
          <w:sz w:val="24"/>
          <w:szCs w:val="24"/>
        </w:rPr>
        <w:t xml:space="preserve">in OLS (Table 2). </w:t>
      </w:r>
      <w:r w:rsidRPr="008269E4">
        <w:rPr>
          <w:rFonts w:ascii="Times New Roman" w:eastAsiaTheme="minorEastAsia" w:hAnsi="Times New Roman" w:cs="Times New Roman"/>
          <w:sz w:val="24"/>
          <w:szCs w:val="24"/>
        </w:rPr>
        <w:t>Given the weak social security system, and weakening family ties, it is not surprising that living alone is closely associated with lower well-being and belonging to large households (&gt; 5 members) with</w:t>
      </w:r>
      <w:r>
        <w:rPr>
          <w:rFonts w:ascii="Times New Roman" w:eastAsiaTheme="minorEastAsia" w:hAnsi="Times New Roman" w:cs="Times New Roman"/>
          <w:sz w:val="24"/>
          <w:szCs w:val="24"/>
        </w:rPr>
        <w:t xml:space="preserve"> higher ∆SWB</w:t>
      </w:r>
      <w:r w:rsidR="002D79E5">
        <w:rPr>
          <w:rFonts w:ascii="Times New Roman" w:eastAsiaTheme="minorEastAsia" w:hAnsi="Times New Roman" w:cs="Times New Roman"/>
          <w:sz w:val="24"/>
          <w:szCs w:val="24"/>
        </w:rPr>
        <w:t xml:space="preserve"> or ∆OWB</w:t>
      </w:r>
      <w:r>
        <w:rPr>
          <w:rFonts w:ascii="Times New Roman" w:eastAsiaTheme="minorEastAsia" w:hAnsi="Times New Roman" w:cs="Times New Roman"/>
          <w:sz w:val="24"/>
          <w:szCs w:val="24"/>
        </w:rPr>
        <w:t xml:space="preserve">. </w:t>
      </w:r>
      <w:r w:rsidR="002D79E5">
        <w:rPr>
          <w:rFonts w:ascii="Times New Roman" w:eastAsiaTheme="minorEastAsia" w:hAnsi="Times New Roman" w:cs="Times New Roman"/>
          <w:sz w:val="24"/>
          <w:szCs w:val="24"/>
        </w:rPr>
        <w:t xml:space="preserve">In addition to </w:t>
      </w:r>
      <w:r w:rsidRPr="008269E4">
        <w:rPr>
          <w:rFonts w:ascii="Times New Roman" w:eastAsiaTheme="minorEastAsia" w:hAnsi="Times New Roman" w:cs="Times New Roman"/>
          <w:sz w:val="24"/>
          <w:szCs w:val="24"/>
        </w:rPr>
        <w:t>economies of scale in ho</w:t>
      </w:r>
      <w:r>
        <w:rPr>
          <w:rFonts w:ascii="Times New Roman" w:eastAsiaTheme="minorEastAsia" w:hAnsi="Times New Roman" w:cs="Times New Roman"/>
          <w:sz w:val="24"/>
          <w:szCs w:val="24"/>
        </w:rPr>
        <w:t>usehold consumption expenditure</w:t>
      </w:r>
      <w:r w:rsidR="002D79E5">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the joy of living with children, and perhaps better family support during contingencies (e.g., accident and serious illness)</w:t>
      </w:r>
      <w:r>
        <w:rPr>
          <w:rFonts w:ascii="Times New Roman" w:eastAsiaTheme="minorEastAsia" w:hAnsi="Times New Roman" w:cs="Times New Roman"/>
          <w:sz w:val="24"/>
          <w:szCs w:val="24"/>
        </w:rPr>
        <w:t xml:space="preserve"> influence</w:t>
      </w:r>
      <w:r w:rsidR="00C65BDF">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the results on ∆SWB</w:t>
      </w:r>
      <w:r w:rsidR="002D79E5">
        <w:rPr>
          <w:rFonts w:ascii="Times New Roman" w:eastAsiaTheme="minorEastAsia" w:hAnsi="Times New Roman" w:cs="Times New Roman"/>
          <w:sz w:val="24"/>
          <w:szCs w:val="24"/>
        </w:rPr>
        <w:t xml:space="preserve"> and ∆OWB</w:t>
      </w:r>
      <w:r w:rsidRPr="008269E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So </w:t>
      </w:r>
      <w:r w:rsidRPr="008269E4">
        <w:rPr>
          <w:rFonts w:ascii="Times New Roman" w:eastAsiaTheme="minorEastAsia" w:hAnsi="Times New Roman" w:cs="Times New Roman"/>
          <w:sz w:val="24"/>
          <w:szCs w:val="24"/>
        </w:rPr>
        <w:t>‘insurance’ against misfortunes and other contingencies underlie this result.</w:t>
      </w:r>
      <w:r w:rsidR="004D372C">
        <w:rPr>
          <w:rFonts w:ascii="Times New Roman" w:eastAsiaTheme="minorEastAsia" w:hAnsi="Times New Roman" w:cs="Times New Roman"/>
          <w:sz w:val="24"/>
          <w:szCs w:val="24"/>
        </w:rPr>
        <w:t xml:space="preserve"> </w:t>
      </w:r>
      <w:r w:rsidR="00A55FCF">
        <w:rPr>
          <w:rFonts w:ascii="Times New Roman" w:eastAsiaTheme="minorEastAsia" w:hAnsi="Times New Roman" w:cs="Times New Roman"/>
          <w:sz w:val="24"/>
          <w:szCs w:val="24"/>
        </w:rPr>
        <w:t xml:space="preserve">For instance, compared with the default household size (2-5), a larger household (&gt;5) tends to see the probability of perceiving a better economic well-being (by one category) </w:t>
      </w:r>
      <w:r w:rsidR="00D36551">
        <w:rPr>
          <w:rFonts w:ascii="Times New Roman" w:eastAsiaTheme="minorEastAsia" w:hAnsi="Times New Roman" w:cs="Times New Roman"/>
          <w:sz w:val="24"/>
          <w:szCs w:val="24"/>
        </w:rPr>
        <w:t xml:space="preserve">increase by </w:t>
      </w:r>
      <w:r w:rsidR="00A55FCF">
        <w:rPr>
          <w:rFonts w:ascii="Times New Roman" w:eastAsiaTheme="minorEastAsia" w:hAnsi="Times New Roman" w:cs="Times New Roman"/>
          <w:sz w:val="24"/>
          <w:szCs w:val="24"/>
        </w:rPr>
        <w:t>4.38%</w:t>
      </w:r>
      <w:r w:rsidR="002D79E5">
        <w:rPr>
          <w:rFonts w:ascii="Times New Roman" w:eastAsiaTheme="minorEastAsia" w:hAnsi="Times New Roman" w:cs="Times New Roman"/>
          <w:sz w:val="24"/>
          <w:szCs w:val="24"/>
        </w:rPr>
        <w:t xml:space="preserve"> for ∆SWB and 4.10</w:t>
      </w:r>
      <w:r w:rsidR="00D36551">
        <w:rPr>
          <w:rFonts w:ascii="Times New Roman" w:eastAsiaTheme="minorEastAsia" w:hAnsi="Times New Roman" w:cs="Times New Roman"/>
          <w:sz w:val="24"/>
          <w:szCs w:val="24"/>
        </w:rPr>
        <w:t>%</w:t>
      </w:r>
      <w:r w:rsidR="002D79E5">
        <w:rPr>
          <w:rFonts w:ascii="Times New Roman" w:eastAsiaTheme="minorEastAsia" w:hAnsi="Times New Roman" w:cs="Times New Roman"/>
          <w:sz w:val="24"/>
          <w:szCs w:val="24"/>
        </w:rPr>
        <w:t xml:space="preserve"> for ∆OWB</w:t>
      </w:r>
      <w:r w:rsidR="00D36551">
        <w:rPr>
          <w:rFonts w:ascii="Times New Roman" w:eastAsiaTheme="minorEastAsia" w:hAnsi="Times New Roman" w:cs="Times New Roman"/>
          <w:sz w:val="24"/>
          <w:szCs w:val="24"/>
        </w:rPr>
        <w:t xml:space="preserve">. </w:t>
      </w:r>
      <w:r w:rsidR="00072FF5">
        <w:rPr>
          <w:rFonts w:ascii="Times New Roman" w:eastAsiaTheme="minorEastAsia" w:hAnsi="Times New Roman" w:cs="Times New Roman"/>
          <w:sz w:val="24"/>
          <w:szCs w:val="24"/>
        </w:rPr>
        <w:t>Consistent result</w:t>
      </w:r>
      <w:r w:rsidR="00D36551">
        <w:rPr>
          <w:rFonts w:ascii="Times New Roman" w:eastAsiaTheme="minorEastAsia" w:hAnsi="Times New Roman" w:cs="Times New Roman"/>
          <w:sz w:val="24"/>
          <w:szCs w:val="24"/>
        </w:rPr>
        <w:t>s are found in Table 3 in terms of the sign and magnitude of marginal effects</w:t>
      </w:r>
      <w:r w:rsidR="00C65BDF">
        <w:rPr>
          <w:rFonts w:ascii="Times New Roman" w:eastAsiaTheme="minorEastAsia" w:hAnsi="Times New Roman" w:cs="Times New Roman"/>
          <w:sz w:val="24"/>
          <w:szCs w:val="24"/>
        </w:rPr>
        <w:t>/associations</w:t>
      </w:r>
      <w:r w:rsidR="00432920">
        <w:rPr>
          <w:rFonts w:ascii="Times New Roman" w:eastAsiaTheme="minorEastAsia" w:hAnsi="Times New Roman" w:cs="Times New Roman"/>
          <w:sz w:val="24"/>
          <w:szCs w:val="24"/>
        </w:rPr>
        <w:t xml:space="preserve"> (4.44% for ∆SWB and </w:t>
      </w:r>
      <w:r w:rsidR="002D79E5">
        <w:rPr>
          <w:rFonts w:ascii="Times New Roman" w:eastAsiaTheme="minorEastAsia" w:hAnsi="Times New Roman" w:cs="Times New Roman"/>
          <w:sz w:val="24"/>
          <w:szCs w:val="24"/>
        </w:rPr>
        <w:t>3.96</w:t>
      </w:r>
      <w:r w:rsidR="00855803">
        <w:rPr>
          <w:rFonts w:ascii="Times New Roman" w:eastAsiaTheme="minorEastAsia" w:hAnsi="Times New Roman" w:cs="Times New Roman"/>
          <w:sz w:val="24"/>
          <w:szCs w:val="24"/>
        </w:rPr>
        <w:t>% for ∆OWB)</w:t>
      </w:r>
      <w:r w:rsidR="00D36551">
        <w:rPr>
          <w:rFonts w:ascii="Times New Roman" w:eastAsiaTheme="minorEastAsia" w:hAnsi="Times New Roman" w:cs="Times New Roman"/>
          <w:sz w:val="24"/>
          <w:szCs w:val="24"/>
        </w:rPr>
        <w:t xml:space="preserve">. </w:t>
      </w:r>
      <w:r w:rsidR="00E95D90">
        <w:rPr>
          <w:rFonts w:ascii="Times New Roman" w:eastAsiaTheme="minorEastAsia" w:hAnsi="Times New Roman" w:cs="Times New Roman"/>
          <w:sz w:val="24"/>
          <w:szCs w:val="24"/>
        </w:rPr>
        <w:t xml:space="preserve">In Table 3, for </w:t>
      </w:r>
      <w:r w:rsidR="002D79E5">
        <w:rPr>
          <w:rFonts w:ascii="Times New Roman" w:eastAsiaTheme="minorEastAsia" w:hAnsi="Times New Roman" w:cs="Times New Roman"/>
          <w:sz w:val="24"/>
          <w:szCs w:val="24"/>
        </w:rPr>
        <w:t xml:space="preserve">both </w:t>
      </w:r>
      <w:r w:rsidR="00E95D90">
        <w:rPr>
          <w:rFonts w:ascii="Times New Roman" w:eastAsiaTheme="minorEastAsia" w:hAnsi="Times New Roman" w:cs="Times New Roman"/>
          <w:sz w:val="24"/>
          <w:szCs w:val="24"/>
        </w:rPr>
        <w:t xml:space="preserve">∆SWB </w:t>
      </w:r>
      <w:r w:rsidR="002D79E5">
        <w:rPr>
          <w:rFonts w:ascii="Times New Roman" w:eastAsiaTheme="minorEastAsia" w:hAnsi="Times New Roman" w:cs="Times New Roman"/>
          <w:sz w:val="24"/>
          <w:szCs w:val="24"/>
        </w:rPr>
        <w:t xml:space="preserve">and ∆OWB, </w:t>
      </w:r>
      <w:r w:rsidR="00E95D90">
        <w:rPr>
          <w:rFonts w:ascii="Times New Roman" w:eastAsiaTheme="minorEastAsia" w:hAnsi="Times New Roman" w:cs="Times New Roman"/>
          <w:sz w:val="24"/>
          <w:szCs w:val="24"/>
        </w:rPr>
        <w:t>r</w:t>
      </w:r>
      <w:r w:rsidR="00E95D90" w:rsidRPr="00E95D90">
        <w:rPr>
          <w:rFonts w:ascii="Times New Roman" w:eastAsiaTheme="minorEastAsia" w:hAnsi="Times New Roman" w:cs="Times New Roman"/>
          <w:sz w:val="24"/>
          <w:szCs w:val="24"/>
        </w:rPr>
        <w:t>elative to the omitted group of households with 2-5 members, those living alone are more likely to be worse-off and just the same an</w:t>
      </w:r>
      <w:r w:rsidR="002D79E5">
        <w:rPr>
          <w:rFonts w:ascii="Times New Roman" w:eastAsiaTheme="minorEastAsia" w:hAnsi="Times New Roman" w:cs="Times New Roman"/>
          <w:sz w:val="24"/>
          <w:szCs w:val="24"/>
        </w:rPr>
        <w:t>d less likely to be better-off</w:t>
      </w:r>
      <w:r w:rsidR="00887CF4">
        <w:rPr>
          <w:rFonts w:ascii="Times New Roman" w:eastAsiaTheme="minorEastAsia" w:hAnsi="Times New Roman" w:cs="Times New Roman"/>
          <w:sz w:val="24"/>
          <w:szCs w:val="24"/>
        </w:rPr>
        <w:t xml:space="preserve">, </w:t>
      </w:r>
      <w:r w:rsidR="00E95D90" w:rsidRPr="00E95D90">
        <w:rPr>
          <w:rFonts w:ascii="Times New Roman" w:eastAsiaTheme="minorEastAsia" w:hAnsi="Times New Roman" w:cs="Times New Roman"/>
          <w:sz w:val="24"/>
          <w:szCs w:val="24"/>
        </w:rPr>
        <w:t>while those living in households with &gt; 5 members are less likely to be worse-off and just the same a</w:t>
      </w:r>
      <w:r w:rsidR="00E95D90">
        <w:rPr>
          <w:rFonts w:ascii="Times New Roman" w:eastAsiaTheme="minorEastAsia" w:hAnsi="Times New Roman" w:cs="Times New Roman"/>
          <w:sz w:val="24"/>
          <w:szCs w:val="24"/>
        </w:rPr>
        <w:t>nd more likely to be better-off</w:t>
      </w:r>
      <w:r w:rsidR="002D79E5">
        <w:rPr>
          <w:rFonts w:ascii="Times New Roman" w:eastAsiaTheme="minorEastAsia" w:hAnsi="Times New Roman" w:cs="Times New Roman"/>
          <w:sz w:val="24"/>
          <w:szCs w:val="24"/>
        </w:rPr>
        <w:t xml:space="preserve">. </w:t>
      </w:r>
      <w:r w:rsidR="00887CF4">
        <w:rPr>
          <w:rFonts w:ascii="Times New Roman" w:eastAsiaTheme="minorEastAsia" w:hAnsi="Times New Roman" w:cs="Times New Roman"/>
          <w:sz w:val="24"/>
          <w:szCs w:val="24"/>
        </w:rPr>
        <w:t xml:space="preserve">Not only the signs but also the </w:t>
      </w:r>
      <w:proofErr w:type="gramStart"/>
      <w:r w:rsidR="00887CF4">
        <w:rPr>
          <w:rFonts w:ascii="Times New Roman" w:eastAsiaTheme="minorEastAsia" w:hAnsi="Times New Roman" w:cs="Times New Roman"/>
          <w:sz w:val="24"/>
          <w:szCs w:val="24"/>
        </w:rPr>
        <w:t xml:space="preserve">magnitude of the </w:t>
      </w:r>
      <w:r w:rsidR="00C65BDF">
        <w:rPr>
          <w:rFonts w:ascii="Times New Roman" w:eastAsiaTheme="minorEastAsia" w:hAnsi="Times New Roman" w:cs="Times New Roman"/>
          <w:sz w:val="24"/>
          <w:szCs w:val="24"/>
        </w:rPr>
        <w:t>associations</w:t>
      </w:r>
      <w:r w:rsidR="00887CF4">
        <w:rPr>
          <w:rFonts w:ascii="Times New Roman" w:eastAsiaTheme="minorEastAsia" w:hAnsi="Times New Roman" w:cs="Times New Roman"/>
          <w:sz w:val="24"/>
          <w:szCs w:val="24"/>
        </w:rPr>
        <w:t xml:space="preserve"> are</w:t>
      </w:r>
      <w:proofErr w:type="gramEnd"/>
      <w:r w:rsidR="00887CF4">
        <w:rPr>
          <w:rFonts w:ascii="Times New Roman" w:eastAsiaTheme="minorEastAsia" w:hAnsi="Times New Roman" w:cs="Times New Roman"/>
          <w:sz w:val="24"/>
          <w:szCs w:val="24"/>
        </w:rPr>
        <w:t xml:space="preserve"> similar for both ∆SWB and ∆OWB. </w:t>
      </w:r>
    </w:p>
    <w:p w14:paraId="012BE762" w14:textId="77777777" w:rsidR="00072FF5" w:rsidRDefault="00072FF5" w:rsidP="00CC0C9B">
      <w:pPr>
        <w:jc w:val="both"/>
        <w:rPr>
          <w:rFonts w:ascii="Times New Roman" w:eastAsiaTheme="minorEastAsia" w:hAnsi="Times New Roman" w:cs="Times New Roman"/>
          <w:i/>
          <w:sz w:val="24"/>
          <w:szCs w:val="24"/>
        </w:rPr>
      </w:pPr>
      <w:r w:rsidRPr="00072FF5">
        <w:rPr>
          <w:rFonts w:ascii="Times New Roman" w:eastAsiaTheme="minorEastAsia" w:hAnsi="Times New Roman" w:cs="Times New Roman"/>
          <w:i/>
          <w:sz w:val="24"/>
          <w:szCs w:val="24"/>
        </w:rPr>
        <w:lastRenderedPageBreak/>
        <w:t>Living</w:t>
      </w:r>
      <w:r w:rsidR="00B31FB0">
        <w:rPr>
          <w:rFonts w:ascii="Times New Roman" w:eastAsiaTheme="minorEastAsia" w:hAnsi="Times New Roman" w:cs="Times New Roman"/>
          <w:i/>
          <w:sz w:val="24"/>
          <w:szCs w:val="24"/>
        </w:rPr>
        <w:t xml:space="preserve"> in Urban Areas </w:t>
      </w:r>
    </w:p>
    <w:p w14:paraId="0C58574C" w14:textId="77777777" w:rsidR="00072FF5" w:rsidRDefault="00072FF5" w:rsidP="00D3655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It is interesting to observe that living in urban areas is associated with a higher ∆SWB </w:t>
      </w:r>
      <w:r w:rsidR="00887CF4">
        <w:rPr>
          <w:rFonts w:ascii="Times New Roman" w:eastAsiaTheme="minorEastAsia" w:hAnsi="Times New Roman" w:cs="Times New Roman"/>
          <w:sz w:val="24"/>
          <w:szCs w:val="24"/>
        </w:rPr>
        <w:t xml:space="preserve">and ∆OWB </w:t>
      </w:r>
      <w:r w:rsidR="00D36551">
        <w:rPr>
          <w:rFonts w:ascii="Times New Roman" w:eastAsiaTheme="minorEastAsia" w:hAnsi="Times New Roman" w:cs="Times New Roman"/>
          <w:sz w:val="24"/>
          <w:szCs w:val="24"/>
        </w:rPr>
        <w:t>after controlling fo</w:t>
      </w:r>
      <w:r w:rsidR="00887CF4">
        <w:rPr>
          <w:rFonts w:ascii="Times New Roman" w:eastAsiaTheme="minorEastAsia" w:hAnsi="Times New Roman" w:cs="Times New Roman"/>
          <w:sz w:val="24"/>
          <w:szCs w:val="24"/>
        </w:rPr>
        <w:t xml:space="preserve">r </w:t>
      </w:r>
      <w:r w:rsidR="00794962">
        <w:rPr>
          <w:rFonts w:ascii="Times New Roman" w:eastAsiaTheme="minorEastAsia" w:hAnsi="Times New Roman" w:cs="Times New Roman"/>
          <w:sz w:val="24"/>
          <w:szCs w:val="24"/>
        </w:rPr>
        <w:t>schooling</w:t>
      </w:r>
      <w:r w:rsidR="008D2701">
        <w:rPr>
          <w:rFonts w:ascii="Times New Roman" w:eastAsiaTheme="minorEastAsia" w:hAnsi="Times New Roman" w:cs="Times New Roman"/>
          <w:sz w:val="24"/>
          <w:szCs w:val="24"/>
        </w:rPr>
        <w:t>, employment</w:t>
      </w:r>
      <w:r w:rsidR="00887CF4">
        <w:rPr>
          <w:rFonts w:ascii="Times New Roman" w:eastAsiaTheme="minorEastAsia" w:hAnsi="Times New Roman" w:cs="Times New Roman"/>
          <w:sz w:val="24"/>
          <w:szCs w:val="24"/>
        </w:rPr>
        <w:t xml:space="preserve"> and health factors </w:t>
      </w:r>
      <w:r w:rsidR="008D2701">
        <w:rPr>
          <w:rFonts w:ascii="Times New Roman" w:eastAsiaTheme="minorEastAsia" w:hAnsi="Times New Roman" w:cs="Times New Roman"/>
          <w:sz w:val="24"/>
          <w:szCs w:val="24"/>
        </w:rPr>
        <w:t xml:space="preserve">as well as state-level income </w:t>
      </w:r>
      <w:r w:rsidR="00D36551">
        <w:rPr>
          <w:rFonts w:ascii="Times New Roman" w:eastAsiaTheme="minorEastAsia" w:hAnsi="Times New Roman" w:cs="Times New Roman"/>
          <w:sz w:val="24"/>
          <w:szCs w:val="24"/>
        </w:rPr>
        <w:t>(Tables 2 and 3).</w:t>
      </w:r>
      <w:r w:rsidR="008D2701">
        <w:rPr>
          <w:rFonts w:ascii="Times New Roman" w:eastAsiaTheme="minorEastAsia" w:hAnsi="Times New Roman" w:cs="Times New Roman"/>
          <w:sz w:val="24"/>
          <w:szCs w:val="24"/>
        </w:rPr>
        <w:t xml:space="preserve"> That could reflect better quality of </w:t>
      </w:r>
      <w:r w:rsidR="00C65BDF">
        <w:rPr>
          <w:rFonts w:ascii="Times New Roman" w:eastAsiaTheme="minorEastAsia" w:hAnsi="Times New Roman" w:cs="Times New Roman"/>
          <w:sz w:val="24"/>
          <w:szCs w:val="24"/>
        </w:rPr>
        <w:t>schooling</w:t>
      </w:r>
      <w:r w:rsidR="008D2701">
        <w:rPr>
          <w:rFonts w:ascii="Times New Roman" w:eastAsiaTheme="minorEastAsia" w:hAnsi="Times New Roman" w:cs="Times New Roman"/>
          <w:sz w:val="24"/>
          <w:szCs w:val="24"/>
        </w:rPr>
        <w:t xml:space="preserve">, not captured by </w:t>
      </w:r>
      <w:r w:rsidR="00C65BDF">
        <w:rPr>
          <w:rFonts w:ascii="Times New Roman" w:eastAsiaTheme="minorEastAsia" w:hAnsi="Times New Roman" w:cs="Times New Roman"/>
          <w:sz w:val="24"/>
          <w:szCs w:val="24"/>
        </w:rPr>
        <w:t>years of schooling</w:t>
      </w:r>
      <w:r w:rsidR="008D2701">
        <w:rPr>
          <w:rFonts w:ascii="Times New Roman" w:eastAsiaTheme="minorEastAsia" w:hAnsi="Times New Roman" w:cs="Times New Roman"/>
          <w:sz w:val="24"/>
          <w:szCs w:val="24"/>
        </w:rPr>
        <w:t>, higher labour productivity, better health care, or more developed transportation and telecommunication infrastructure in urban areas. Those living in urban areas tend to be 4.64% (7.28%) more likely to move up by one category in ∆SWB (∆OWB) in OLS (Table 2</w:t>
      </w:r>
      <w:r w:rsidR="00AB3E09">
        <w:rPr>
          <w:rFonts w:ascii="Times New Roman" w:eastAsiaTheme="minorEastAsia" w:hAnsi="Times New Roman" w:cs="Times New Roman"/>
          <w:sz w:val="24"/>
          <w:szCs w:val="24"/>
        </w:rPr>
        <w:t xml:space="preserve">). Similar estimates (4.75% for ∆SWB and 8.05% for ∆OWB) are </w:t>
      </w:r>
      <w:r w:rsidR="00C65BDF">
        <w:rPr>
          <w:rFonts w:ascii="Times New Roman" w:eastAsiaTheme="minorEastAsia" w:hAnsi="Times New Roman" w:cs="Times New Roman"/>
          <w:sz w:val="24"/>
          <w:szCs w:val="24"/>
        </w:rPr>
        <w:t>obtained from the</w:t>
      </w:r>
      <w:r w:rsidR="00AB3E09">
        <w:rPr>
          <w:rFonts w:ascii="Times New Roman" w:eastAsiaTheme="minorEastAsia" w:hAnsi="Times New Roman" w:cs="Times New Roman"/>
          <w:sz w:val="24"/>
          <w:szCs w:val="24"/>
        </w:rPr>
        <w:t xml:space="preserve"> ordered </w:t>
      </w:r>
      <w:proofErr w:type="spellStart"/>
      <w:r w:rsidR="00AB3E09">
        <w:rPr>
          <w:rFonts w:ascii="Times New Roman" w:eastAsiaTheme="minorEastAsia" w:hAnsi="Times New Roman" w:cs="Times New Roman"/>
          <w:sz w:val="24"/>
          <w:szCs w:val="24"/>
        </w:rPr>
        <w:t>probit</w:t>
      </w:r>
      <w:proofErr w:type="spellEnd"/>
      <w:r w:rsidR="00AB3E09">
        <w:rPr>
          <w:rFonts w:ascii="Times New Roman" w:eastAsiaTheme="minorEastAsia" w:hAnsi="Times New Roman" w:cs="Times New Roman"/>
          <w:sz w:val="24"/>
          <w:szCs w:val="24"/>
        </w:rPr>
        <w:t xml:space="preserve"> (Table 3). </w:t>
      </w:r>
    </w:p>
    <w:p w14:paraId="3419B708" w14:textId="77777777" w:rsidR="00D36551" w:rsidRDefault="00C65BDF" w:rsidP="00D36551">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Schooling</w:t>
      </w:r>
    </w:p>
    <w:p w14:paraId="598F8AA1" w14:textId="77777777" w:rsidR="00F63F79" w:rsidRDefault="00B31FB0" w:rsidP="00E018B6">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Schooling of adults endows them with skills and expertise to engage in remunerative employment, adds to their awareness of entitlements and obligations, and of prospects for their self-advancement. As illiterates are the largest group, they are omitted. Relative to this group, those with primary </w:t>
      </w:r>
      <w:r w:rsidR="00C65BDF">
        <w:rPr>
          <w:rFonts w:ascii="Times New Roman" w:eastAsiaTheme="minorEastAsia" w:hAnsi="Times New Roman" w:cs="Times New Roman"/>
          <w:sz w:val="24"/>
          <w:szCs w:val="24"/>
        </w:rPr>
        <w:t>schooling</w:t>
      </w:r>
      <w:r w:rsidRPr="008269E4">
        <w:rPr>
          <w:rFonts w:ascii="Times New Roman" w:eastAsiaTheme="minorEastAsia" w:hAnsi="Times New Roman" w:cs="Times New Roman"/>
          <w:sz w:val="24"/>
          <w:szCs w:val="24"/>
        </w:rPr>
        <w:t xml:space="preserve"> (1-4 years of schooling) </w:t>
      </w:r>
      <w:r w:rsidR="001430D6">
        <w:rPr>
          <w:rFonts w:ascii="Times New Roman" w:eastAsiaTheme="minorEastAsia" w:hAnsi="Times New Roman" w:cs="Times New Roman"/>
          <w:sz w:val="24"/>
          <w:szCs w:val="24"/>
        </w:rPr>
        <w:t>have</w:t>
      </w:r>
      <w:r w:rsidR="00AB3E09">
        <w:rPr>
          <w:rFonts w:ascii="Times New Roman" w:eastAsiaTheme="minorEastAsia" w:hAnsi="Times New Roman" w:cs="Times New Roman"/>
          <w:sz w:val="24"/>
          <w:szCs w:val="24"/>
        </w:rPr>
        <w:t xml:space="preserve"> significantly higher ∆</w:t>
      </w:r>
      <w:r w:rsidR="001430D6">
        <w:rPr>
          <w:rFonts w:ascii="Times New Roman" w:eastAsiaTheme="minorEastAsia" w:hAnsi="Times New Roman" w:cs="Times New Roman"/>
          <w:sz w:val="24"/>
          <w:szCs w:val="24"/>
        </w:rPr>
        <w:t>SWB (4.8% more likely to move up to the above category)</w:t>
      </w:r>
      <w:r w:rsidR="00AB3E09">
        <w:rPr>
          <w:rFonts w:ascii="Times New Roman" w:eastAsiaTheme="minorEastAsia" w:hAnsi="Times New Roman" w:cs="Times New Roman"/>
          <w:sz w:val="24"/>
          <w:szCs w:val="24"/>
        </w:rPr>
        <w:t>, but the estimate for this category is negative and significant for ∆OWB. T</w:t>
      </w:r>
      <w:r w:rsidRPr="008269E4">
        <w:rPr>
          <w:rFonts w:ascii="Times New Roman" w:eastAsiaTheme="minorEastAsia" w:hAnsi="Times New Roman" w:cs="Times New Roman"/>
          <w:sz w:val="24"/>
          <w:szCs w:val="24"/>
        </w:rPr>
        <w:t xml:space="preserve">hose with successively higher levels of schooling </w:t>
      </w:r>
      <w:r w:rsidR="00AB3E09">
        <w:rPr>
          <w:rFonts w:ascii="Times New Roman" w:eastAsiaTheme="minorEastAsia" w:hAnsi="Times New Roman" w:cs="Times New Roman"/>
          <w:sz w:val="24"/>
          <w:szCs w:val="24"/>
        </w:rPr>
        <w:t xml:space="preserve">have </w:t>
      </w:r>
      <w:r w:rsidR="00C65BDF">
        <w:rPr>
          <w:rFonts w:ascii="Times New Roman" w:eastAsiaTheme="minorEastAsia" w:hAnsi="Times New Roman" w:cs="Times New Roman"/>
          <w:sz w:val="24"/>
          <w:szCs w:val="24"/>
        </w:rPr>
        <w:t>still</w:t>
      </w:r>
      <w:r w:rsidR="00AB3E09">
        <w:rPr>
          <w:rFonts w:ascii="Times New Roman" w:eastAsiaTheme="minorEastAsia" w:hAnsi="Times New Roman" w:cs="Times New Roman"/>
          <w:sz w:val="24"/>
          <w:szCs w:val="24"/>
        </w:rPr>
        <w:t xml:space="preserve"> higher likelihood of </w:t>
      </w:r>
      <w:r w:rsidR="00BE7633">
        <w:rPr>
          <w:rFonts w:ascii="Times New Roman" w:eastAsiaTheme="minorEastAsia" w:hAnsi="Times New Roman" w:cs="Times New Roman"/>
          <w:sz w:val="24"/>
          <w:szCs w:val="24"/>
        </w:rPr>
        <w:t xml:space="preserve">improvement in </w:t>
      </w:r>
      <w:r w:rsidR="00AB3E09">
        <w:rPr>
          <w:rFonts w:ascii="Times New Roman" w:eastAsiaTheme="minorEastAsia" w:hAnsi="Times New Roman" w:cs="Times New Roman"/>
          <w:sz w:val="24"/>
          <w:szCs w:val="24"/>
        </w:rPr>
        <w:t>SWB (OWB)</w:t>
      </w:r>
      <w:r w:rsidR="00D867A2">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w:t>
      </w:r>
      <w:r w:rsidR="001430D6">
        <w:rPr>
          <w:rFonts w:ascii="Times New Roman" w:eastAsiaTheme="minorEastAsia" w:hAnsi="Times New Roman" w:cs="Times New Roman"/>
          <w:sz w:val="24"/>
          <w:szCs w:val="24"/>
        </w:rPr>
        <w:t xml:space="preserve">9.23% </w:t>
      </w:r>
      <w:r w:rsidR="00AB3E09">
        <w:rPr>
          <w:rFonts w:ascii="Times New Roman" w:eastAsiaTheme="minorEastAsia" w:hAnsi="Times New Roman" w:cs="Times New Roman"/>
          <w:sz w:val="24"/>
          <w:szCs w:val="24"/>
        </w:rPr>
        <w:t>(5.52%)</w:t>
      </w:r>
      <w:r w:rsidR="00BE7633">
        <w:rPr>
          <w:rFonts w:ascii="Times New Roman" w:eastAsiaTheme="minorEastAsia" w:hAnsi="Times New Roman" w:cs="Times New Roman"/>
          <w:sz w:val="24"/>
          <w:szCs w:val="24"/>
        </w:rPr>
        <w:t>)</w:t>
      </w:r>
      <w:r w:rsidR="001430D6">
        <w:rPr>
          <w:rFonts w:ascii="Times New Roman" w:eastAsiaTheme="minorEastAsia" w:hAnsi="Times New Roman" w:cs="Times New Roman"/>
          <w:sz w:val="24"/>
          <w:szCs w:val="24"/>
        </w:rPr>
        <w:t xml:space="preserve">for </w:t>
      </w:r>
      <w:r w:rsidRPr="008269E4">
        <w:rPr>
          <w:rFonts w:ascii="Times New Roman" w:eastAsiaTheme="minorEastAsia" w:hAnsi="Times New Roman" w:cs="Times New Roman"/>
          <w:sz w:val="24"/>
          <w:szCs w:val="24"/>
        </w:rPr>
        <w:t>5-8 years/</w:t>
      </w:r>
      <w:r w:rsidR="004D3883">
        <w:rPr>
          <w:rFonts w:ascii="Times New Roman" w:eastAsiaTheme="minorEastAsia" w:hAnsi="Times New Roman" w:cs="Times New Roman"/>
          <w:sz w:val="24"/>
          <w:szCs w:val="24"/>
        </w:rPr>
        <w:t>middle level</w:t>
      </w:r>
      <w:r w:rsidR="00D867A2">
        <w:rPr>
          <w:rFonts w:ascii="Times New Roman" w:eastAsiaTheme="minorEastAsia" w:hAnsi="Times New Roman" w:cs="Times New Roman"/>
          <w:sz w:val="24"/>
          <w:szCs w:val="24"/>
        </w:rPr>
        <w:t xml:space="preserve">, </w:t>
      </w:r>
      <w:r w:rsidR="001430D6">
        <w:rPr>
          <w:rFonts w:ascii="Times New Roman" w:eastAsiaTheme="minorEastAsia" w:hAnsi="Times New Roman" w:cs="Times New Roman"/>
          <w:sz w:val="24"/>
          <w:szCs w:val="24"/>
        </w:rPr>
        <w:t xml:space="preserve">14.6% </w:t>
      </w:r>
      <w:r w:rsidR="00AB3E09">
        <w:rPr>
          <w:rFonts w:ascii="Times New Roman" w:eastAsiaTheme="minorEastAsia" w:hAnsi="Times New Roman" w:cs="Times New Roman"/>
          <w:sz w:val="24"/>
          <w:szCs w:val="24"/>
        </w:rPr>
        <w:t xml:space="preserve">(8.36%) </w:t>
      </w:r>
      <w:r w:rsidR="001430D6">
        <w:rPr>
          <w:rFonts w:ascii="Times New Roman" w:eastAsiaTheme="minorEastAsia" w:hAnsi="Times New Roman" w:cs="Times New Roman"/>
          <w:sz w:val="24"/>
          <w:szCs w:val="24"/>
        </w:rPr>
        <w:t xml:space="preserve">for </w:t>
      </w:r>
      <w:r w:rsidRPr="008269E4">
        <w:rPr>
          <w:rFonts w:ascii="Times New Roman" w:eastAsiaTheme="minorEastAsia" w:hAnsi="Times New Roman" w:cs="Times New Roman"/>
          <w:sz w:val="24"/>
          <w:szCs w:val="24"/>
        </w:rPr>
        <w:t xml:space="preserve">8-9 years/pre-matriculation, and </w:t>
      </w:r>
      <w:r w:rsidR="001430D6">
        <w:rPr>
          <w:rFonts w:ascii="Times New Roman" w:eastAsiaTheme="minorEastAsia" w:hAnsi="Times New Roman" w:cs="Times New Roman"/>
          <w:sz w:val="24"/>
          <w:szCs w:val="24"/>
        </w:rPr>
        <w:t xml:space="preserve">14.5% </w:t>
      </w:r>
      <w:r w:rsidR="00AB3E09">
        <w:rPr>
          <w:rFonts w:ascii="Times New Roman" w:eastAsiaTheme="minorEastAsia" w:hAnsi="Times New Roman" w:cs="Times New Roman"/>
          <w:sz w:val="24"/>
          <w:szCs w:val="24"/>
        </w:rPr>
        <w:t xml:space="preserve">(20.2%) </w:t>
      </w:r>
      <w:r w:rsidR="001430D6">
        <w:rPr>
          <w:rFonts w:ascii="Times New Roman" w:eastAsiaTheme="minorEastAsia" w:hAnsi="Times New Roman" w:cs="Times New Roman"/>
          <w:sz w:val="24"/>
          <w:szCs w:val="24"/>
        </w:rPr>
        <w:t xml:space="preserve">for </w:t>
      </w:r>
      <w:r w:rsidRPr="008269E4">
        <w:rPr>
          <w:rFonts w:ascii="Times New Roman" w:eastAsiaTheme="minorEastAsia" w:hAnsi="Times New Roman" w:cs="Times New Roman"/>
          <w:sz w:val="24"/>
          <w:szCs w:val="24"/>
        </w:rPr>
        <w:t>10 years or more/matriculation and above)</w:t>
      </w:r>
      <w:r w:rsidR="001430D6">
        <w:rPr>
          <w:rFonts w:ascii="Times New Roman" w:eastAsiaTheme="minorEastAsia" w:hAnsi="Times New Roman" w:cs="Times New Roman"/>
          <w:sz w:val="24"/>
          <w:szCs w:val="24"/>
        </w:rPr>
        <w:t xml:space="preserve"> (Table 2). </w:t>
      </w:r>
      <w:r w:rsidRPr="008269E4">
        <w:rPr>
          <w:rFonts w:ascii="Times New Roman" w:eastAsiaTheme="minorEastAsia" w:hAnsi="Times New Roman" w:cs="Times New Roman"/>
          <w:sz w:val="24"/>
          <w:szCs w:val="24"/>
        </w:rPr>
        <w:t xml:space="preserve">It is sometimes questioned whether the effect of schooling is exaggerated because it compounds both direct and indirect effects through better health (Dolan et al. 2008). This is not ruled out but since we control for the effects of health indicators, our estimate of the association between well-being and schooling is net of this indirect </w:t>
      </w:r>
      <w:r w:rsidRPr="001430D6">
        <w:rPr>
          <w:rFonts w:ascii="Times New Roman" w:eastAsiaTheme="minorEastAsia" w:hAnsi="Times New Roman" w:cs="Times New Roman"/>
          <w:sz w:val="24"/>
          <w:szCs w:val="24"/>
        </w:rPr>
        <w:t xml:space="preserve">effect. </w:t>
      </w:r>
      <w:r w:rsidR="00276739">
        <w:rPr>
          <w:rFonts w:ascii="Times New Roman" w:eastAsiaTheme="minorEastAsia" w:hAnsi="Times New Roman" w:cs="Times New Roman"/>
          <w:sz w:val="24"/>
          <w:szCs w:val="24"/>
        </w:rPr>
        <w:t xml:space="preserve">The marginal correlates of education shown in </w:t>
      </w:r>
      <w:r w:rsidR="001430D6">
        <w:rPr>
          <w:rFonts w:ascii="Times New Roman" w:eastAsiaTheme="minorEastAsia" w:hAnsi="Times New Roman" w:cs="Times New Roman"/>
          <w:sz w:val="24"/>
          <w:szCs w:val="24"/>
        </w:rPr>
        <w:t xml:space="preserve">Table 3 </w:t>
      </w:r>
      <w:r w:rsidR="00013591">
        <w:rPr>
          <w:rFonts w:ascii="Times New Roman" w:eastAsiaTheme="minorEastAsia" w:hAnsi="Times New Roman" w:cs="Times New Roman"/>
          <w:sz w:val="24"/>
          <w:szCs w:val="24"/>
        </w:rPr>
        <w:t xml:space="preserve">are similar to the coefficient estimates </w:t>
      </w:r>
      <w:r w:rsidR="001430D6">
        <w:rPr>
          <w:rFonts w:ascii="Times New Roman" w:eastAsiaTheme="minorEastAsia" w:hAnsi="Times New Roman" w:cs="Times New Roman"/>
          <w:sz w:val="24"/>
          <w:szCs w:val="24"/>
        </w:rPr>
        <w:t xml:space="preserve">in Table 2. </w:t>
      </w:r>
      <w:r w:rsidR="00AB3E09">
        <w:rPr>
          <w:rFonts w:ascii="Times New Roman" w:eastAsiaTheme="minorEastAsia" w:hAnsi="Times New Roman" w:cs="Times New Roman"/>
          <w:sz w:val="24"/>
          <w:szCs w:val="24"/>
        </w:rPr>
        <w:t xml:space="preserve">Overall, </w:t>
      </w:r>
      <w:r w:rsidR="00BE7633">
        <w:rPr>
          <w:rFonts w:ascii="Times New Roman" w:eastAsiaTheme="minorEastAsia" w:hAnsi="Times New Roman" w:cs="Times New Roman"/>
          <w:sz w:val="24"/>
          <w:szCs w:val="24"/>
        </w:rPr>
        <w:t>schooling</w:t>
      </w:r>
      <w:r w:rsidR="00995E98">
        <w:rPr>
          <w:rFonts w:ascii="Times New Roman" w:eastAsiaTheme="minorEastAsia" w:hAnsi="Times New Roman" w:cs="Times New Roman"/>
          <w:sz w:val="24"/>
          <w:szCs w:val="24"/>
        </w:rPr>
        <w:t xml:space="preserve">, particularly secondary or higher </w:t>
      </w:r>
      <w:r w:rsidR="00BE7633">
        <w:rPr>
          <w:rFonts w:ascii="Times New Roman" w:eastAsiaTheme="minorEastAsia" w:hAnsi="Times New Roman" w:cs="Times New Roman"/>
          <w:sz w:val="24"/>
          <w:szCs w:val="24"/>
        </w:rPr>
        <w:t>level</w:t>
      </w:r>
      <w:r w:rsidR="00995E98">
        <w:rPr>
          <w:rFonts w:ascii="Times New Roman" w:eastAsiaTheme="minorEastAsia" w:hAnsi="Times New Roman" w:cs="Times New Roman"/>
          <w:sz w:val="24"/>
          <w:szCs w:val="24"/>
        </w:rPr>
        <w:t>,</w:t>
      </w:r>
      <w:r w:rsidR="004D372C">
        <w:rPr>
          <w:rFonts w:ascii="Times New Roman" w:eastAsiaTheme="minorEastAsia" w:hAnsi="Times New Roman" w:cs="Times New Roman"/>
          <w:sz w:val="24"/>
          <w:szCs w:val="24"/>
        </w:rPr>
        <w:t xml:space="preserve"> </w:t>
      </w:r>
      <w:r w:rsidR="00D867A2">
        <w:rPr>
          <w:rFonts w:ascii="Times New Roman" w:eastAsiaTheme="minorEastAsia" w:hAnsi="Times New Roman" w:cs="Times New Roman"/>
          <w:sz w:val="24"/>
          <w:szCs w:val="24"/>
        </w:rPr>
        <w:t>is associated with significant improvements</w:t>
      </w:r>
      <w:r w:rsidR="004D372C">
        <w:rPr>
          <w:rFonts w:ascii="Times New Roman" w:eastAsiaTheme="minorEastAsia" w:hAnsi="Times New Roman" w:cs="Times New Roman"/>
          <w:sz w:val="24"/>
          <w:szCs w:val="24"/>
        </w:rPr>
        <w:t xml:space="preserve"> </w:t>
      </w:r>
      <w:r w:rsidR="00D867A2">
        <w:rPr>
          <w:rFonts w:ascii="Times New Roman" w:eastAsiaTheme="minorEastAsia" w:hAnsi="Times New Roman" w:cs="Times New Roman"/>
          <w:sz w:val="24"/>
          <w:szCs w:val="24"/>
        </w:rPr>
        <w:t xml:space="preserve">in </w:t>
      </w:r>
      <w:r w:rsidR="00995E98">
        <w:rPr>
          <w:rFonts w:ascii="Times New Roman" w:eastAsiaTheme="minorEastAsia" w:hAnsi="Times New Roman" w:cs="Times New Roman"/>
          <w:sz w:val="24"/>
          <w:szCs w:val="24"/>
        </w:rPr>
        <w:t xml:space="preserve">both subjective and objective well-being. </w:t>
      </w:r>
    </w:p>
    <w:p w14:paraId="72C62714" w14:textId="77777777" w:rsidR="00E018B6" w:rsidRDefault="005246D6" w:rsidP="00E018B6">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 xml:space="preserve">Macroeconomic Environment –Higher </w:t>
      </w:r>
      <w:r w:rsidRPr="005246D6">
        <w:rPr>
          <w:rFonts w:ascii="Times New Roman" w:eastAsiaTheme="minorEastAsia" w:hAnsi="Times New Roman" w:cs="Times New Roman"/>
          <w:i/>
          <w:sz w:val="24"/>
          <w:szCs w:val="24"/>
        </w:rPr>
        <w:t xml:space="preserve">Net State domestic Product </w:t>
      </w:r>
    </w:p>
    <w:p w14:paraId="36D611AB" w14:textId="77777777" w:rsidR="003D05AC" w:rsidRPr="008269E4" w:rsidRDefault="005246D6" w:rsidP="005246D6">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To capture specific aspects of the macro-economic environment, we have examined the associations between change in well-being and state affluence measured in terms of net state domestic product per capita and its square, and between change in well-being and extreme income inequality using a measure akin to Piketty’s (2014) measure. We have computed the ratio of share of the income of the top 1% in total income to that of the bottom 50%.As expected, </w:t>
      </w:r>
      <w:r>
        <w:rPr>
          <w:rFonts w:ascii="Times New Roman" w:eastAsiaTheme="minorEastAsia" w:hAnsi="Times New Roman" w:cs="Times New Roman"/>
          <w:sz w:val="24"/>
          <w:szCs w:val="24"/>
        </w:rPr>
        <w:t xml:space="preserve">∆SWB </w:t>
      </w:r>
      <w:r w:rsidR="003D05AC">
        <w:rPr>
          <w:rFonts w:ascii="Times New Roman" w:eastAsiaTheme="minorEastAsia" w:hAnsi="Times New Roman" w:cs="Times New Roman"/>
          <w:sz w:val="24"/>
          <w:szCs w:val="24"/>
        </w:rPr>
        <w:t xml:space="preserve">as well as ∆OWB </w:t>
      </w:r>
      <w:r w:rsidR="00BE7633">
        <w:rPr>
          <w:rFonts w:ascii="Times New Roman" w:eastAsiaTheme="minorEastAsia" w:hAnsi="Times New Roman" w:cs="Times New Roman"/>
          <w:sz w:val="24"/>
          <w:szCs w:val="24"/>
        </w:rPr>
        <w:t>are</w:t>
      </w:r>
      <w:r w:rsidRPr="008269E4">
        <w:rPr>
          <w:rFonts w:ascii="Times New Roman" w:eastAsiaTheme="minorEastAsia" w:hAnsi="Times New Roman" w:cs="Times New Roman"/>
          <w:sz w:val="24"/>
          <w:szCs w:val="24"/>
        </w:rPr>
        <w:t xml:space="preserve"> positively and significantly associated with state affluence (NSDP), while negatively and significantly with the squared term of NSDP</w:t>
      </w:r>
      <w:r w:rsidR="003D05AC">
        <w:rPr>
          <w:rFonts w:ascii="Times New Roman" w:eastAsiaTheme="minorEastAsia" w:hAnsi="Times New Roman" w:cs="Times New Roman"/>
          <w:sz w:val="24"/>
          <w:szCs w:val="24"/>
        </w:rPr>
        <w:t xml:space="preserve"> (Table 2</w:t>
      </w:r>
      <w:r>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 xml:space="preserve">It follows therefore that </w:t>
      </w:r>
      <w:r>
        <w:rPr>
          <w:rFonts w:ascii="Times New Roman" w:eastAsiaTheme="minorEastAsia" w:hAnsi="Times New Roman" w:cs="Times New Roman"/>
          <w:sz w:val="24"/>
          <w:szCs w:val="24"/>
        </w:rPr>
        <w:t xml:space="preserve">SWB (OWB) </w:t>
      </w:r>
      <w:r w:rsidRPr="008269E4">
        <w:rPr>
          <w:rFonts w:ascii="Times New Roman" w:eastAsiaTheme="minorEastAsia" w:hAnsi="Times New Roman" w:cs="Times New Roman"/>
          <w:sz w:val="24"/>
          <w:szCs w:val="24"/>
        </w:rPr>
        <w:t xml:space="preserve">rises </w:t>
      </w:r>
      <w:r>
        <w:rPr>
          <w:rFonts w:ascii="Times New Roman" w:eastAsiaTheme="minorEastAsia" w:hAnsi="Times New Roman" w:cs="Times New Roman"/>
          <w:sz w:val="24"/>
          <w:szCs w:val="24"/>
        </w:rPr>
        <w:t xml:space="preserve">(decreases) </w:t>
      </w:r>
      <w:r w:rsidRPr="008269E4">
        <w:rPr>
          <w:rFonts w:ascii="Times New Roman" w:eastAsiaTheme="minorEastAsia" w:hAnsi="Times New Roman" w:cs="Times New Roman"/>
          <w:sz w:val="24"/>
          <w:szCs w:val="24"/>
        </w:rPr>
        <w:t xml:space="preserve">in association with state affluence but at a diminishing rate. One conjecture is that state affluence is linked to </w:t>
      </w:r>
      <w:r>
        <w:rPr>
          <w:rFonts w:ascii="Times New Roman" w:eastAsiaTheme="minorEastAsia" w:hAnsi="Times New Roman" w:cs="Times New Roman"/>
          <w:sz w:val="24"/>
          <w:szCs w:val="24"/>
        </w:rPr>
        <w:t xml:space="preserve">better infrastructure (e.g. transport, health, telecommunications) </w:t>
      </w:r>
      <w:r w:rsidR="003D05AC">
        <w:rPr>
          <w:rFonts w:ascii="Times New Roman" w:eastAsiaTheme="minorEastAsia" w:hAnsi="Times New Roman" w:cs="Times New Roman"/>
          <w:sz w:val="24"/>
          <w:szCs w:val="24"/>
        </w:rPr>
        <w:t xml:space="preserve">leading to improvement in SWB. </w:t>
      </w:r>
      <w:r w:rsidRPr="008269E4">
        <w:rPr>
          <w:rFonts w:ascii="Times New Roman" w:eastAsiaTheme="minorEastAsia" w:hAnsi="Times New Roman" w:cs="Times New Roman"/>
          <w:sz w:val="24"/>
          <w:szCs w:val="24"/>
        </w:rPr>
        <w:t xml:space="preserve">In such a context, well-being is likely to be higher in more affluent states. However, the diminution of this association at higher levels of affluence suggests that provision of public goods does not grow apace with state affluence because of special interest groups pursuing </w:t>
      </w:r>
      <w:r w:rsidRPr="008269E4">
        <w:rPr>
          <w:rFonts w:ascii="Times New Roman" w:eastAsiaTheme="minorEastAsia" w:hAnsi="Times New Roman" w:cs="Times New Roman"/>
          <w:sz w:val="24"/>
          <w:szCs w:val="24"/>
        </w:rPr>
        <w:lastRenderedPageBreak/>
        <w:t xml:space="preserve">their own agenda and diverting public resources to their own interests. </w:t>
      </w:r>
      <w:r>
        <w:rPr>
          <w:rFonts w:ascii="Times New Roman" w:eastAsiaTheme="minorEastAsia" w:hAnsi="Times New Roman" w:cs="Times New Roman"/>
          <w:sz w:val="24"/>
          <w:szCs w:val="24"/>
        </w:rPr>
        <w:t xml:space="preserve">Table 2 and Table 3 have similar results. </w:t>
      </w:r>
    </w:p>
    <w:p w14:paraId="4D709A12" w14:textId="77777777" w:rsidR="008A39D5" w:rsidRDefault="003475EE" w:rsidP="008A39D5">
      <w:pPr>
        <w:jc w:val="center"/>
        <w:rPr>
          <w:rFonts w:ascii="Times New Roman" w:hAnsi="Times New Roman" w:cs="Times New Roman"/>
          <w:b/>
          <w:sz w:val="24"/>
          <w:szCs w:val="24"/>
        </w:rPr>
      </w:pPr>
      <w:r>
        <w:rPr>
          <w:rFonts w:ascii="Times New Roman" w:hAnsi="Times New Roman" w:cs="Times New Roman"/>
          <w:b/>
          <w:sz w:val="24"/>
          <w:szCs w:val="24"/>
        </w:rPr>
        <w:t>(b</w:t>
      </w:r>
      <w:r w:rsidR="00427216">
        <w:rPr>
          <w:rFonts w:ascii="Times New Roman" w:hAnsi="Times New Roman" w:cs="Times New Roman"/>
          <w:b/>
          <w:sz w:val="24"/>
          <w:szCs w:val="24"/>
        </w:rPr>
        <w:t xml:space="preserve">) </w:t>
      </w:r>
      <w:r w:rsidR="008A39D5">
        <w:rPr>
          <w:rFonts w:ascii="Times New Roman" w:hAnsi="Times New Roman" w:cs="Times New Roman"/>
          <w:b/>
          <w:sz w:val="24"/>
          <w:szCs w:val="24"/>
        </w:rPr>
        <w:t xml:space="preserve">Specific </w:t>
      </w:r>
      <w:r w:rsidR="00BE7633">
        <w:rPr>
          <w:rFonts w:ascii="Times New Roman" w:hAnsi="Times New Roman" w:cs="Times New Roman"/>
          <w:b/>
          <w:sz w:val="24"/>
          <w:szCs w:val="24"/>
        </w:rPr>
        <w:t>Covariates</w:t>
      </w:r>
      <w:r w:rsidR="008A39D5">
        <w:rPr>
          <w:rFonts w:ascii="Times New Roman" w:hAnsi="Times New Roman" w:cs="Times New Roman"/>
          <w:b/>
          <w:sz w:val="24"/>
          <w:szCs w:val="24"/>
        </w:rPr>
        <w:t xml:space="preserve"> of ∆SWB</w:t>
      </w:r>
    </w:p>
    <w:p w14:paraId="73D39348" w14:textId="77777777" w:rsidR="00937F2C" w:rsidRPr="00937F2C" w:rsidRDefault="00937F2C" w:rsidP="00937F2C">
      <w:pPr>
        <w:rPr>
          <w:rFonts w:ascii="Times New Roman" w:hAnsi="Times New Roman" w:cs="Times New Roman"/>
          <w:sz w:val="24"/>
          <w:szCs w:val="24"/>
        </w:rPr>
      </w:pPr>
      <w:r w:rsidRPr="00937F2C">
        <w:rPr>
          <w:rFonts w:ascii="Times New Roman" w:hAnsi="Times New Roman" w:cs="Times New Roman"/>
          <w:sz w:val="24"/>
          <w:szCs w:val="24"/>
        </w:rPr>
        <w:t xml:space="preserve">While </w:t>
      </w:r>
      <w:r>
        <w:rPr>
          <w:rFonts w:ascii="Times New Roman" w:hAnsi="Times New Roman" w:cs="Times New Roman"/>
          <w:sz w:val="24"/>
          <w:szCs w:val="24"/>
        </w:rPr>
        <w:t>the</w:t>
      </w:r>
      <w:r w:rsidR="0066390E">
        <w:rPr>
          <w:rFonts w:ascii="Times New Roman" w:hAnsi="Times New Roman" w:cs="Times New Roman"/>
          <w:sz w:val="24"/>
          <w:szCs w:val="24"/>
        </w:rPr>
        <w:t xml:space="preserve"> correlates</w:t>
      </w:r>
      <w:r>
        <w:rPr>
          <w:rFonts w:ascii="Times New Roman" w:hAnsi="Times New Roman" w:cs="Times New Roman"/>
          <w:sz w:val="24"/>
          <w:szCs w:val="24"/>
        </w:rPr>
        <w:t xml:space="preserve"> of ∆SWB and those of ∆OWB are generally similar and consistent, there are some factors associated with only ∆SWB as </w:t>
      </w:r>
      <w:r w:rsidR="004002EF">
        <w:rPr>
          <w:rFonts w:ascii="Times New Roman" w:hAnsi="Times New Roman" w:cs="Times New Roman"/>
          <w:sz w:val="24"/>
          <w:szCs w:val="24"/>
        </w:rPr>
        <w:t xml:space="preserve">delineated </w:t>
      </w:r>
      <w:r>
        <w:rPr>
          <w:rFonts w:ascii="Times New Roman" w:hAnsi="Times New Roman" w:cs="Times New Roman"/>
          <w:sz w:val="24"/>
          <w:szCs w:val="24"/>
        </w:rPr>
        <w:t xml:space="preserve">below. </w:t>
      </w:r>
    </w:p>
    <w:p w14:paraId="16C61CD5" w14:textId="77777777" w:rsidR="00937F2C" w:rsidRDefault="00937F2C" w:rsidP="00937F2C">
      <w:pPr>
        <w:rPr>
          <w:rFonts w:ascii="Times New Roman" w:hAnsi="Times New Roman" w:cs="Times New Roman"/>
          <w:b/>
          <w:sz w:val="24"/>
          <w:szCs w:val="24"/>
        </w:rPr>
      </w:pPr>
      <w:r>
        <w:rPr>
          <w:rFonts w:ascii="Times New Roman" w:eastAsiaTheme="minorEastAsia" w:hAnsi="Times New Roman" w:cs="Times New Roman"/>
          <w:i/>
          <w:sz w:val="24"/>
          <w:szCs w:val="24"/>
        </w:rPr>
        <w:t xml:space="preserve">Being a Female Head of Household   </w:t>
      </w:r>
    </w:p>
    <w:p w14:paraId="494CCB9B" w14:textId="3B8FEFCC" w:rsidR="00937F2C" w:rsidRDefault="00937F2C" w:rsidP="004002EF">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W</w:t>
      </w:r>
      <w:r w:rsidRPr="008269E4">
        <w:rPr>
          <w:rFonts w:ascii="Times New Roman" w:eastAsiaTheme="minorEastAsia" w:hAnsi="Times New Roman" w:cs="Times New Roman"/>
          <w:sz w:val="24"/>
          <w:szCs w:val="24"/>
        </w:rPr>
        <w:t xml:space="preserve">e find </w:t>
      </w:r>
      <w:r>
        <w:rPr>
          <w:rFonts w:ascii="Times New Roman" w:eastAsiaTheme="minorEastAsia" w:hAnsi="Times New Roman" w:cs="Times New Roman"/>
          <w:sz w:val="24"/>
          <w:szCs w:val="24"/>
        </w:rPr>
        <w:t xml:space="preserve">by ordered </w:t>
      </w:r>
      <w:proofErr w:type="spellStart"/>
      <w:r>
        <w:rPr>
          <w:rFonts w:ascii="Times New Roman" w:eastAsiaTheme="minorEastAsia" w:hAnsi="Times New Roman" w:cs="Times New Roman"/>
          <w:sz w:val="24"/>
          <w:szCs w:val="24"/>
        </w:rPr>
        <w:t>probit</w:t>
      </w:r>
      <w:proofErr w:type="spellEnd"/>
      <w:r>
        <w:rPr>
          <w:rFonts w:ascii="Times New Roman" w:eastAsiaTheme="minorEastAsia" w:hAnsi="Times New Roman" w:cs="Times New Roman"/>
          <w:sz w:val="24"/>
          <w:szCs w:val="24"/>
        </w:rPr>
        <w:t xml:space="preserve"> model </w:t>
      </w:r>
      <w:r w:rsidRPr="008269E4">
        <w:rPr>
          <w:rFonts w:ascii="Times New Roman" w:eastAsiaTheme="minorEastAsia" w:hAnsi="Times New Roman" w:cs="Times New Roman"/>
          <w:sz w:val="24"/>
          <w:szCs w:val="24"/>
        </w:rPr>
        <w:t xml:space="preserve">that women </w:t>
      </w:r>
      <w:r>
        <w:rPr>
          <w:rFonts w:ascii="Times New Roman" w:eastAsiaTheme="minorEastAsia" w:hAnsi="Times New Roman" w:cs="Times New Roman"/>
          <w:sz w:val="24"/>
          <w:szCs w:val="24"/>
        </w:rPr>
        <w:t xml:space="preserve">(i.e. female heads of household) </w:t>
      </w:r>
      <w:r w:rsidRPr="008269E4">
        <w:rPr>
          <w:rFonts w:ascii="Times New Roman" w:eastAsiaTheme="minorEastAsia" w:hAnsi="Times New Roman" w:cs="Times New Roman"/>
          <w:sz w:val="24"/>
          <w:szCs w:val="24"/>
        </w:rPr>
        <w:t>are less likely to be worse-off and just the same but more likely to be better- off</w:t>
      </w:r>
      <w:r w:rsidR="004D372C">
        <w:rPr>
          <w:rFonts w:ascii="Times New Roman" w:eastAsiaTheme="minorEastAsia" w:hAnsi="Times New Roman" w:cs="Times New Roman"/>
          <w:sz w:val="24"/>
          <w:szCs w:val="24"/>
        </w:rPr>
        <w:t xml:space="preserve"> </w:t>
      </w:r>
      <w:r w:rsidR="00BE763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∆SWB</w:t>
      </w:r>
      <w:r w:rsidR="00BE7633">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with significant marginal effects</w:t>
      </w:r>
      <w:r w:rsidR="001715C0">
        <w:rPr>
          <w:rFonts w:ascii="Times New Roman" w:eastAsiaTheme="minorEastAsia" w:hAnsi="Times New Roman" w:cs="Times New Roman"/>
          <w:sz w:val="24"/>
          <w:szCs w:val="24"/>
        </w:rPr>
        <w:t>/associations</w:t>
      </w:r>
      <w:r>
        <w:rPr>
          <w:rFonts w:ascii="Times New Roman" w:eastAsiaTheme="minorEastAsia" w:hAnsi="Times New Roman" w:cs="Times New Roman"/>
          <w:sz w:val="24"/>
          <w:szCs w:val="24"/>
        </w:rPr>
        <w:t xml:space="preserve"> with </w:t>
      </w:r>
      <w:r w:rsidR="001715C0">
        <w:rPr>
          <w:rFonts w:ascii="Times New Roman" w:eastAsiaTheme="minorEastAsia" w:hAnsi="Times New Roman" w:cs="Times New Roman"/>
          <w:sz w:val="24"/>
          <w:szCs w:val="24"/>
        </w:rPr>
        <w:t xml:space="preserve">a </w:t>
      </w:r>
      <w:r w:rsidR="00552C35">
        <w:rPr>
          <w:rFonts w:ascii="Times New Roman" w:eastAsiaTheme="minorEastAsia" w:hAnsi="Times New Roman" w:cs="Times New Roman"/>
          <w:sz w:val="24"/>
          <w:szCs w:val="24"/>
        </w:rPr>
        <w:t xml:space="preserve">higher </w:t>
      </w:r>
      <w:r>
        <w:rPr>
          <w:rFonts w:ascii="Times New Roman" w:eastAsiaTheme="minorEastAsia" w:hAnsi="Times New Roman" w:cs="Times New Roman"/>
          <w:sz w:val="24"/>
          <w:szCs w:val="24"/>
        </w:rPr>
        <w:t xml:space="preserve">probability </w:t>
      </w:r>
      <w:r w:rsidR="00013591">
        <w:rPr>
          <w:rFonts w:ascii="Times New Roman" w:eastAsiaTheme="minorEastAsia" w:hAnsi="Times New Roman" w:cs="Times New Roman"/>
          <w:sz w:val="24"/>
          <w:szCs w:val="24"/>
        </w:rPr>
        <w:t xml:space="preserve">(4.93% on average) </w:t>
      </w:r>
      <w:r>
        <w:rPr>
          <w:rFonts w:ascii="Times New Roman" w:eastAsiaTheme="minorEastAsia" w:hAnsi="Times New Roman" w:cs="Times New Roman"/>
          <w:sz w:val="24"/>
          <w:szCs w:val="24"/>
        </w:rPr>
        <w:t>of moving up by one category (Table 3)</w:t>
      </w:r>
      <w:r w:rsidRPr="008269E4">
        <w:rPr>
          <w:rFonts w:ascii="Times New Roman" w:eastAsiaTheme="minorEastAsia" w:hAnsi="Times New Roman" w:cs="Times New Roman"/>
          <w:sz w:val="24"/>
          <w:szCs w:val="24"/>
        </w:rPr>
        <w:t>.This is surprising, especially in light of robust evidence of discrimination against women in allocation of food and medi</w:t>
      </w:r>
      <w:r>
        <w:rPr>
          <w:rFonts w:ascii="Times New Roman" w:eastAsiaTheme="minorEastAsia" w:hAnsi="Times New Roman" w:cs="Times New Roman"/>
          <w:sz w:val="24"/>
          <w:szCs w:val="24"/>
        </w:rPr>
        <w:t xml:space="preserve">cal resources </w:t>
      </w:r>
      <w:r w:rsidRPr="008269E4">
        <w:rPr>
          <w:rFonts w:ascii="Times New Roman" w:eastAsiaTheme="minorEastAsia" w:hAnsi="Times New Roman" w:cs="Times New Roman"/>
          <w:sz w:val="24"/>
          <w:szCs w:val="24"/>
        </w:rPr>
        <w:t>(e</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g</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 </w:t>
      </w:r>
      <w:proofErr w:type="spellStart"/>
      <w:r w:rsidRPr="008269E4">
        <w:rPr>
          <w:rFonts w:ascii="Times New Roman" w:eastAsiaTheme="minorEastAsia" w:hAnsi="Times New Roman" w:cs="Times New Roman"/>
          <w:sz w:val="24"/>
          <w:szCs w:val="24"/>
        </w:rPr>
        <w:t>Kynch</w:t>
      </w:r>
      <w:proofErr w:type="spellEnd"/>
      <w:r w:rsidRPr="008269E4">
        <w:rPr>
          <w:rFonts w:ascii="Times New Roman" w:eastAsiaTheme="minorEastAsia" w:hAnsi="Times New Roman" w:cs="Times New Roman"/>
          <w:sz w:val="24"/>
          <w:szCs w:val="24"/>
        </w:rPr>
        <w:t xml:space="preserve"> and Sen, 1983).</w:t>
      </w:r>
      <w:r>
        <w:rPr>
          <w:rFonts w:ascii="Times New Roman" w:eastAsiaTheme="minorEastAsia" w:hAnsi="Times New Roman" w:cs="Times New Roman"/>
          <w:sz w:val="24"/>
          <w:szCs w:val="24"/>
        </w:rPr>
        <w:t xml:space="preserve"> However, the signs are reversed and the corresponding probability is -3.92 (Table 3). While the signs are </w:t>
      </w:r>
      <w:r w:rsidR="001715C0">
        <w:rPr>
          <w:rFonts w:ascii="Times New Roman" w:eastAsiaTheme="minorEastAsia" w:hAnsi="Times New Roman" w:cs="Times New Roman"/>
          <w:sz w:val="24"/>
          <w:szCs w:val="24"/>
        </w:rPr>
        <w:t xml:space="preserve">the </w:t>
      </w:r>
      <w:r w:rsidR="007026AF">
        <w:rPr>
          <w:rFonts w:ascii="Times New Roman" w:eastAsiaTheme="minorEastAsia" w:hAnsi="Times New Roman" w:cs="Times New Roman"/>
          <w:sz w:val="24"/>
          <w:szCs w:val="24"/>
        </w:rPr>
        <w:t>same</w:t>
      </w:r>
      <w:r>
        <w:rPr>
          <w:rFonts w:ascii="Times New Roman" w:eastAsiaTheme="minorEastAsia" w:hAnsi="Times New Roman" w:cs="Times New Roman"/>
          <w:sz w:val="24"/>
          <w:szCs w:val="24"/>
        </w:rPr>
        <w:t>, the coefficient estimate</w:t>
      </w:r>
      <w:r w:rsidR="007026AF">
        <w:rPr>
          <w:rFonts w:ascii="Times New Roman" w:eastAsiaTheme="minorEastAsia" w:hAnsi="Times New Roman" w:cs="Times New Roman"/>
          <w:sz w:val="24"/>
          <w:szCs w:val="24"/>
        </w:rPr>
        <w:t>s are</w:t>
      </w:r>
      <w:r>
        <w:rPr>
          <w:rFonts w:ascii="Times New Roman" w:eastAsiaTheme="minorEastAsia" w:hAnsi="Times New Roman" w:cs="Times New Roman"/>
          <w:sz w:val="24"/>
          <w:szCs w:val="24"/>
        </w:rPr>
        <w:t xml:space="preserve"> not significant when OLS is applied </w:t>
      </w:r>
      <w:r w:rsidR="001715C0">
        <w:rPr>
          <w:rFonts w:ascii="Times New Roman" w:eastAsiaTheme="minorEastAsia" w:hAnsi="Times New Roman" w:cs="Times New Roman"/>
          <w:sz w:val="24"/>
          <w:szCs w:val="24"/>
        </w:rPr>
        <w:t>to</w:t>
      </w:r>
      <w:r>
        <w:rPr>
          <w:rFonts w:ascii="Times New Roman" w:eastAsiaTheme="minorEastAsia" w:hAnsi="Times New Roman" w:cs="Times New Roman"/>
          <w:sz w:val="24"/>
          <w:szCs w:val="24"/>
        </w:rPr>
        <w:t xml:space="preserve"> ∆SWB </w:t>
      </w:r>
      <w:r w:rsidR="007026AF">
        <w:rPr>
          <w:rFonts w:ascii="Times New Roman" w:eastAsiaTheme="minorEastAsia" w:hAnsi="Times New Roman" w:cs="Times New Roman"/>
          <w:sz w:val="24"/>
          <w:szCs w:val="24"/>
        </w:rPr>
        <w:t xml:space="preserve">or ∆OWB </w:t>
      </w:r>
      <w:r>
        <w:rPr>
          <w:rFonts w:ascii="Times New Roman" w:eastAsiaTheme="minorEastAsia" w:hAnsi="Times New Roman" w:cs="Times New Roman"/>
          <w:sz w:val="24"/>
          <w:szCs w:val="24"/>
        </w:rPr>
        <w:t xml:space="preserve">(Table 2). </w:t>
      </w:r>
    </w:p>
    <w:p w14:paraId="222BC3F0" w14:textId="77777777" w:rsidR="007026AF" w:rsidRPr="007026AF" w:rsidRDefault="007026AF" w:rsidP="007026AF">
      <w:pPr>
        <w:jc w:val="both"/>
        <w:rPr>
          <w:rFonts w:ascii="Times New Roman" w:eastAsiaTheme="minorEastAsia" w:hAnsi="Times New Roman" w:cs="Times New Roman"/>
          <w:i/>
          <w:sz w:val="24"/>
          <w:szCs w:val="24"/>
        </w:rPr>
      </w:pPr>
      <w:r w:rsidRPr="007026AF">
        <w:rPr>
          <w:rFonts w:ascii="Times New Roman" w:eastAsiaTheme="minorEastAsia" w:hAnsi="Times New Roman" w:cs="Times New Roman"/>
          <w:i/>
          <w:sz w:val="24"/>
          <w:szCs w:val="24"/>
        </w:rPr>
        <w:t xml:space="preserve">Religion </w:t>
      </w:r>
    </w:p>
    <w:p w14:paraId="0408A4BC" w14:textId="77777777" w:rsidR="007026AF" w:rsidRPr="008269E4" w:rsidRDefault="007026AF" w:rsidP="007026AF">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Another important variable is religion. As Hindus are the largest group, it is omitted. </w:t>
      </w:r>
      <w:proofErr w:type="gramStart"/>
      <w:r w:rsidRPr="008269E4">
        <w:rPr>
          <w:rFonts w:ascii="Times New Roman" w:eastAsiaTheme="minorEastAsia" w:hAnsi="Times New Roman" w:cs="Times New Roman"/>
          <w:sz w:val="24"/>
          <w:szCs w:val="24"/>
        </w:rPr>
        <w:t xml:space="preserve">Relative to this group, </w:t>
      </w:r>
      <w:r w:rsidR="00013591">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Muslims</w:t>
      </w:r>
      <w:r w:rsidR="00013591">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 and </w:t>
      </w:r>
      <w:r w:rsidR="003C1B79">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Others</w:t>
      </w:r>
      <w:r w:rsidR="003C1B79">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 (including those belonging to Jainism and Buddhism) tend to have higher </w:t>
      </w:r>
      <w:r w:rsidR="005522D8">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SWB</w:t>
      </w:r>
      <w:r w:rsidR="00013591">
        <w:rPr>
          <w:rFonts w:ascii="Times New Roman" w:eastAsiaTheme="minorEastAsia" w:hAnsi="Times New Roman" w:cs="Times New Roman"/>
          <w:sz w:val="24"/>
          <w:szCs w:val="24"/>
        </w:rPr>
        <w:t>,</w:t>
      </w:r>
      <w:r w:rsidR="003C1B79">
        <w:rPr>
          <w:rFonts w:ascii="Times New Roman" w:eastAsiaTheme="minorEastAsia" w:hAnsi="Times New Roman" w:cs="Times New Roman"/>
          <w:sz w:val="24"/>
          <w:szCs w:val="24"/>
        </w:rPr>
        <w:t xml:space="preserve"> while Muslims</w:t>
      </w:r>
      <w:r w:rsidR="004002EF">
        <w:rPr>
          <w:rFonts w:ascii="Times New Roman" w:eastAsiaTheme="minorEastAsia" w:hAnsi="Times New Roman" w:cs="Times New Roman"/>
          <w:sz w:val="24"/>
          <w:szCs w:val="24"/>
        </w:rPr>
        <w:t xml:space="preserve"> tend</w:t>
      </w:r>
      <w:r w:rsidR="005522D8">
        <w:rPr>
          <w:rFonts w:ascii="Times New Roman" w:eastAsiaTheme="minorEastAsia" w:hAnsi="Times New Roman" w:cs="Times New Roman"/>
          <w:sz w:val="24"/>
          <w:szCs w:val="24"/>
        </w:rPr>
        <w:t xml:space="preserve"> t</w:t>
      </w:r>
      <w:r w:rsidR="004002EF">
        <w:rPr>
          <w:rFonts w:ascii="Times New Roman" w:eastAsiaTheme="minorEastAsia" w:hAnsi="Times New Roman" w:cs="Times New Roman"/>
          <w:sz w:val="24"/>
          <w:szCs w:val="24"/>
        </w:rPr>
        <w:t xml:space="preserve">o have lower </w:t>
      </w:r>
      <w:r w:rsidR="005522D8">
        <w:rPr>
          <w:rFonts w:ascii="Times New Roman" w:eastAsiaTheme="minorEastAsia" w:hAnsi="Times New Roman" w:cs="Times New Roman"/>
          <w:sz w:val="24"/>
          <w:szCs w:val="24"/>
        </w:rPr>
        <w:t>∆OWB</w:t>
      </w:r>
      <w:r w:rsidR="003C1B79">
        <w:rPr>
          <w:rFonts w:ascii="Times New Roman" w:eastAsiaTheme="minorEastAsia" w:hAnsi="Times New Roman" w:cs="Times New Roman"/>
          <w:sz w:val="24"/>
          <w:szCs w:val="24"/>
        </w:rPr>
        <w:t xml:space="preserve"> (Table3).</w:t>
      </w:r>
      <w:proofErr w:type="gramEnd"/>
      <w:r w:rsidR="003C1B79">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 xml:space="preserve">Three observations are pertinent: Hinduism is </w:t>
      </w:r>
      <w:r w:rsidRPr="008269E4">
        <w:rPr>
          <w:rFonts w:ascii="Times New Roman" w:eastAsiaTheme="minorEastAsia" w:hAnsi="Times New Roman" w:cs="Times New Roman"/>
          <w:bCs/>
          <w:sz w:val="24"/>
          <w:szCs w:val="24"/>
        </w:rPr>
        <w:t>different</w:t>
      </w:r>
      <w:r w:rsidRPr="008269E4">
        <w:rPr>
          <w:rFonts w:ascii="Times New Roman" w:eastAsiaTheme="minorEastAsia" w:hAnsi="Times New Roman" w:cs="Times New Roman"/>
          <w:sz w:val="24"/>
          <w:szCs w:val="24"/>
        </w:rPr>
        <w:t xml:space="preserve"> from many </w:t>
      </w:r>
      <w:r w:rsidRPr="008269E4">
        <w:rPr>
          <w:rFonts w:ascii="Times New Roman" w:eastAsiaTheme="minorEastAsia" w:hAnsi="Times New Roman" w:cs="Times New Roman"/>
          <w:bCs/>
          <w:sz w:val="24"/>
          <w:szCs w:val="24"/>
        </w:rPr>
        <w:t>religions</w:t>
      </w:r>
      <w:r w:rsidRPr="008269E4">
        <w:rPr>
          <w:rFonts w:ascii="Times New Roman" w:eastAsiaTheme="minorEastAsia" w:hAnsi="Times New Roman" w:cs="Times New Roman"/>
          <w:sz w:val="24"/>
          <w:szCs w:val="24"/>
        </w:rPr>
        <w:t xml:space="preserve"> because it has no specific </w:t>
      </w:r>
      <w:r w:rsidRPr="008269E4">
        <w:rPr>
          <w:rFonts w:ascii="Times New Roman" w:eastAsiaTheme="minorEastAsia" w:hAnsi="Times New Roman" w:cs="Times New Roman"/>
          <w:bCs/>
          <w:sz w:val="24"/>
          <w:szCs w:val="24"/>
        </w:rPr>
        <w:t>beliefs</w:t>
      </w:r>
      <w:r w:rsidRPr="008269E4">
        <w:rPr>
          <w:rFonts w:ascii="Times New Roman" w:eastAsiaTheme="minorEastAsia" w:hAnsi="Times New Roman" w:cs="Times New Roman"/>
          <w:sz w:val="24"/>
          <w:szCs w:val="24"/>
        </w:rPr>
        <w:t xml:space="preserve"> that everyone must agree with to be considered a </w:t>
      </w:r>
      <w:r w:rsidRPr="008269E4">
        <w:rPr>
          <w:rFonts w:ascii="Times New Roman" w:eastAsiaTheme="minorEastAsia" w:hAnsi="Times New Roman" w:cs="Times New Roman"/>
          <w:bCs/>
          <w:sz w:val="24"/>
          <w:szCs w:val="24"/>
        </w:rPr>
        <w:t>Hindu</w:t>
      </w:r>
      <w:r w:rsidRPr="008269E4">
        <w:rPr>
          <w:rFonts w:ascii="Times New Roman" w:eastAsiaTheme="minorEastAsia" w:hAnsi="Times New Roman" w:cs="Times New Roman"/>
          <w:sz w:val="24"/>
          <w:szCs w:val="24"/>
        </w:rPr>
        <w:t xml:space="preserve">. Instead, it is inclusive of many </w:t>
      </w:r>
      <w:r w:rsidRPr="008269E4">
        <w:rPr>
          <w:rFonts w:ascii="Times New Roman" w:eastAsiaTheme="minorEastAsia" w:hAnsi="Times New Roman" w:cs="Times New Roman"/>
          <w:bCs/>
          <w:sz w:val="24"/>
          <w:szCs w:val="24"/>
        </w:rPr>
        <w:t>different</w:t>
      </w:r>
      <w:r w:rsidRPr="008269E4">
        <w:rPr>
          <w:rFonts w:ascii="Times New Roman" w:eastAsiaTheme="minorEastAsia" w:hAnsi="Times New Roman" w:cs="Times New Roman"/>
          <w:sz w:val="24"/>
          <w:szCs w:val="24"/>
        </w:rPr>
        <w:t xml:space="preserve">, sometimes contradictory, </w:t>
      </w:r>
      <w:r w:rsidRPr="008269E4">
        <w:rPr>
          <w:rFonts w:ascii="Times New Roman" w:eastAsiaTheme="minorEastAsia" w:hAnsi="Times New Roman" w:cs="Times New Roman"/>
          <w:bCs/>
          <w:sz w:val="24"/>
          <w:szCs w:val="24"/>
        </w:rPr>
        <w:t xml:space="preserve">beliefs. For example, hidden within Hinduism are </w:t>
      </w:r>
      <w:proofErr w:type="gramStart"/>
      <w:r w:rsidRPr="008269E4">
        <w:rPr>
          <w:rFonts w:ascii="Times New Roman" w:eastAsiaTheme="minorEastAsia" w:hAnsi="Times New Roman" w:cs="Times New Roman"/>
          <w:bCs/>
          <w:sz w:val="24"/>
          <w:szCs w:val="24"/>
        </w:rPr>
        <w:t>both theistic and semi-theistic schools or</w:t>
      </w:r>
      <w:proofErr w:type="gramEnd"/>
      <w:r w:rsidRPr="008269E4">
        <w:rPr>
          <w:rFonts w:ascii="Times New Roman" w:eastAsiaTheme="minorEastAsia" w:hAnsi="Times New Roman" w:cs="Times New Roman"/>
          <w:bCs/>
          <w:sz w:val="24"/>
          <w:szCs w:val="24"/>
        </w:rPr>
        <w:t xml:space="preserve"> philosophies. Moreover</w:t>
      </w:r>
      <w:r w:rsidRPr="008269E4">
        <w:rPr>
          <w:rFonts w:ascii="Times New Roman" w:eastAsiaTheme="minorEastAsia" w:hAnsi="Times New Roman" w:cs="Times New Roman"/>
          <w:sz w:val="24"/>
          <w:szCs w:val="24"/>
        </w:rPr>
        <w:t xml:space="preserve">, the caste system is integral to Hinduism. As the former is divisive and exclusionary, Hindus as a religious group are likely to have lower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SWB. The third observation is a pervasive view that belief in God helps imbibe values of forbearance, integrity and compassion (Dolan et al. 2008 and Deaton, 2011). These values are reinforced by, say, regular church attendance or performance of rituals or, more broadly, religiosity (</w:t>
      </w:r>
      <w:proofErr w:type="spellStart"/>
      <w:r w:rsidRPr="008269E4">
        <w:rPr>
          <w:rFonts w:ascii="Times New Roman" w:hAnsi="Times New Roman" w:cs="Times New Roman"/>
          <w:bCs/>
          <w:sz w:val="24"/>
          <w:szCs w:val="24"/>
        </w:rPr>
        <w:t>Helliwell</w:t>
      </w:r>
      <w:proofErr w:type="spellEnd"/>
      <w:r w:rsidRPr="008269E4">
        <w:rPr>
          <w:rFonts w:ascii="Times New Roman" w:hAnsi="Times New Roman" w:cs="Times New Roman"/>
          <w:bCs/>
          <w:sz w:val="24"/>
          <w:szCs w:val="24"/>
        </w:rPr>
        <w:t xml:space="preserve">, 2003). </w:t>
      </w:r>
      <w:r w:rsidR="00F81A6F">
        <w:rPr>
          <w:rFonts w:ascii="Times New Roman" w:hAnsi="Times New Roman" w:cs="Times New Roman"/>
          <w:bCs/>
          <w:sz w:val="24"/>
          <w:szCs w:val="24"/>
        </w:rPr>
        <w:t>It is noted that Muslims or ‘Others’ tend to perceive improved subjective well-being without experiencing corresponding improvement in objective-well-being.</w:t>
      </w:r>
      <w:r w:rsidR="005522D8">
        <w:rPr>
          <w:rFonts w:ascii="Times New Roman" w:hAnsi="Times New Roman" w:cs="Times New Roman"/>
          <w:bCs/>
          <w:sz w:val="24"/>
          <w:szCs w:val="24"/>
        </w:rPr>
        <w:t xml:space="preserve"> In particular, the lower </w:t>
      </w:r>
      <w:r w:rsidR="005522D8">
        <w:rPr>
          <w:rFonts w:ascii="Times New Roman" w:eastAsiaTheme="minorEastAsia" w:hAnsi="Times New Roman" w:cs="Times New Roman"/>
          <w:sz w:val="24"/>
          <w:szCs w:val="24"/>
        </w:rPr>
        <w:t xml:space="preserve">∆OWB among Muslims reflects </w:t>
      </w:r>
      <w:r w:rsidR="00710E30">
        <w:rPr>
          <w:rFonts w:ascii="Times New Roman" w:eastAsiaTheme="minorEastAsia" w:hAnsi="Times New Roman" w:cs="Times New Roman"/>
          <w:sz w:val="24"/>
          <w:szCs w:val="24"/>
        </w:rPr>
        <w:t>that they are on average more deprived than Hindus.</w:t>
      </w:r>
    </w:p>
    <w:p w14:paraId="5AA46BE7" w14:textId="77777777" w:rsidR="00995E98" w:rsidRPr="00F63F79" w:rsidRDefault="00F81A6F" w:rsidP="00995E98">
      <w:pPr>
        <w:jc w:val="both"/>
        <w:rPr>
          <w:rFonts w:ascii="Times New Roman" w:eastAsiaTheme="minorEastAsia" w:hAnsi="Times New Roman" w:cs="Times New Roman"/>
          <w:sz w:val="24"/>
          <w:szCs w:val="24"/>
        </w:rPr>
      </w:pPr>
      <w:r>
        <w:rPr>
          <w:rFonts w:ascii="Times New Roman" w:eastAsiaTheme="minorEastAsia" w:hAnsi="Times New Roman" w:cs="Times New Roman"/>
          <w:i/>
          <w:sz w:val="24"/>
          <w:szCs w:val="24"/>
        </w:rPr>
        <w:t>C</w:t>
      </w:r>
      <w:r w:rsidR="00995E98">
        <w:rPr>
          <w:rFonts w:ascii="Times New Roman" w:eastAsiaTheme="minorEastAsia" w:hAnsi="Times New Roman" w:cs="Times New Roman"/>
          <w:i/>
          <w:sz w:val="24"/>
          <w:szCs w:val="24"/>
        </w:rPr>
        <w:t xml:space="preserve">aste </w:t>
      </w:r>
    </w:p>
    <w:p w14:paraId="70CC722E" w14:textId="77777777" w:rsidR="00995E98" w:rsidRPr="008269E4" w:rsidRDefault="00995E98" w:rsidP="00995E98">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The caste hierarchy reveals a somewhat intriguing pattern. As OBCs are the largest group, it is omitted. Relative to this group, the highest ranking </w:t>
      </w:r>
      <w:r w:rsidRPr="008269E4">
        <w:rPr>
          <w:rFonts w:ascii="Times New Roman" w:eastAsiaTheme="minorEastAsia" w:hAnsi="Times New Roman" w:cs="Times New Roman"/>
          <w:i/>
          <w:sz w:val="24"/>
          <w:szCs w:val="24"/>
        </w:rPr>
        <w:t xml:space="preserve">Brahmins </w:t>
      </w:r>
      <w:r w:rsidR="00F81A6F">
        <w:rPr>
          <w:rFonts w:ascii="Times New Roman" w:eastAsiaTheme="minorEastAsia" w:hAnsi="Times New Roman" w:cs="Times New Roman"/>
          <w:sz w:val="24"/>
          <w:szCs w:val="24"/>
        </w:rPr>
        <w:t xml:space="preserve">do not </w:t>
      </w:r>
      <w:r w:rsidRPr="008269E4">
        <w:rPr>
          <w:rFonts w:ascii="Times New Roman" w:eastAsiaTheme="minorEastAsia" w:hAnsi="Times New Roman" w:cs="Times New Roman"/>
          <w:sz w:val="24"/>
          <w:szCs w:val="24"/>
        </w:rPr>
        <w:t>display a significantly higher well-being</w:t>
      </w:r>
      <w:r w:rsidR="004D372C">
        <w:rPr>
          <w:rFonts w:ascii="Times New Roman" w:eastAsiaTheme="minorEastAsia" w:hAnsi="Times New Roman" w:cs="Times New Roman"/>
          <w:sz w:val="24"/>
          <w:szCs w:val="24"/>
        </w:rPr>
        <w:t xml:space="preserve"> </w:t>
      </w:r>
      <w:r w:rsidR="001715C0">
        <w:rPr>
          <w:rFonts w:ascii="Times New Roman" w:eastAsiaTheme="minorEastAsia" w:hAnsi="Times New Roman" w:cs="Times New Roman"/>
          <w:sz w:val="24"/>
          <w:szCs w:val="24"/>
        </w:rPr>
        <w:t xml:space="preserve">(either </w:t>
      </w:r>
      <w:r>
        <w:rPr>
          <w:rFonts w:ascii="Times New Roman" w:eastAsiaTheme="minorEastAsia" w:hAnsi="Times New Roman" w:cs="Times New Roman"/>
          <w:sz w:val="24"/>
          <w:szCs w:val="24"/>
        </w:rPr>
        <w:t>∆SWB</w:t>
      </w:r>
      <w:r w:rsidR="00F81A6F">
        <w:rPr>
          <w:rFonts w:ascii="Times New Roman" w:eastAsiaTheme="minorEastAsia" w:hAnsi="Times New Roman" w:cs="Times New Roman"/>
          <w:sz w:val="24"/>
          <w:szCs w:val="24"/>
        </w:rPr>
        <w:t xml:space="preserve"> or ∆OWB</w:t>
      </w:r>
      <w:r w:rsidR="001715C0">
        <w:rPr>
          <w:rFonts w:ascii="Times New Roman" w:eastAsiaTheme="minorEastAsia" w:hAnsi="Times New Roman" w:cs="Times New Roman"/>
          <w:sz w:val="24"/>
          <w:szCs w:val="24"/>
        </w:rPr>
        <w:t>)</w:t>
      </w:r>
      <w:r w:rsidR="00F81A6F">
        <w:rPr>
          <w:rFonts w:ascii="Times New Roman" w:eastAsiaTheme="minorEastAsia" w:hAnsi="Times New Roman" w:cs="Times New Roman"/>
          <w:sz w:val="24"/>
          <w:szCs w:val="24"/>
        </w:rPr>
        <w:t xml:space="preserve">, while those belonging to </w:t>
      </w:r>
      <w:r w:rsidR="00DF0163">
        <w:rPr>
          <w:rFonts w:ascii="Times New Roman" w:eastAsiaTheme="minorEastAsia" w:hAnsi="Times New Roman" w:cs="Times New Roman"/>
          <w:sz w:val="24"/>
          <w:szCs w:val="24"/>
        </w:rPr>
        <w:t>H</w:t>
      </w:r>
      <w:r w:rsidR="00F81A6F">
        <w:rPr>
          <w:rFonts w:ascii="Times New Roman" w:eastAsiaTheme="minorEastAsia" w:hAnsi="Times New Roman" w:cs="Times New Roman"/>
          <w:sz w:val="24"/>
          <w:szCs w:val="24"/>
        </w:rPr>
        <w:t xml:space="preserve">igh </w:t>
      </w:r>
      <w:r w:rsidR="00DF0163">
        <w:rPr>
          <w:rFonts w:ascii="Times New Roman" w:eastAsiaTheme="minorEastAsia" w:hAnsi="Times New Roman" w:cs="Times New Roman"/>
          <w:sz w:val="24"/>
          <w:szCs w:val="24"/>
        </w:rPr>
        <w:t>C</w:t>
      </w:r>
      <w:r w:rsidR="00F81A6F">
        <w:rPr>
          <w:rFonts w:ascii="Times New Roman" w:eastAsiaTheme="minorEastAsia" w:hAnsi="Times New Roman" w:cs="Times New Roman"/>
          <w:sz w:val="24"/>
          <w:szCs w:val="24"/>
        </w:rPr>
        <w:t>aste</w:t>
      </w:r>
      <w:r w:rsidR="001715C0">
        <w:rPr>
          <w:rFonts w:ascii="Times New Roman" w:eastAsiaTheme="minorEastAsia" w:hAnsi="Times New Roman" w:cs="Times New Roman"/>
          <w:sz w:val="24"/>
          <w:szCs w:val="24"/>
        </w:rPr>
        <w:t>s</w:t>
      </w:r>
      <w:r w:rsidR="00F81A6F">
        <w:rPr>
          <w:rFonts w:ascii="Times New Roman" w:eastAsiaTheme="minorEastAsia" w:hAnsi="Times New Roman" w:cs="Times New Roman"/>
          <w:sz w:val="24"/>
          <w:szCs w:val="24"/>
        </w:rPr>
        <w:t xml:space="preserve"> have a significantly higher level of well-being </w:t>
      </w:r>
      <w:r w:rsidR="001715C0">
        <w:rPr>
          <w:rFonts w:ascii="Times New Roman" w:eastAsiaTheme="minorEastAsia" w:hAnsi="Times New Roman" w:cs="Times New Roman"/>
          <w:sz w:val="24"/>
          <w:szCs w:val="24"/>
        </w:rPr>
        <w:t>(</w:t>
      </w:r>
      <w:r w:rsidR="00F81A6F">
        <w:rPr>
          <w:rFonts w:ascii="Times New Roman" w:eastAsiaTheme="minorEastAsia" w:hAnsi="Times New Roman" w:cs="Times New Roman"/>
          <w:sz w:val="24"/>
          <w:szCs w:val="24"/>
        </w:rPr>
        <w:t>only ∆OWB</w:t>
      </w:r>
      <w:r w:rsidR="001715C0">
        <w:rPr>
          <w:rFonts w:ascii="Times New Roman" w:eastAsiaTheme="minorEastAsia" w:hAnsi="Times New Roman" w:cs="Times New Roman"/>
          <w:sz w:val="24"/>
          <w:szCs w:val="24"/>
        </w:rPr>
        <w:t>,</w:t>
      </w:r>
      <w:r w:rsidR="004D372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Table 2)</w:t>
      </w:r>
      <w:r w:rsidRPr="008269E4">
        <w:rPr>
          <w:rFonts w:ascii="Times New Roman" w:eastAsiaTheme="minorEastAsia" w:hAnsi="Times New Roman" w:cs="Times New Roman"/>
          <w:sz w:val="24"/>
          <w:szCs w:val="24"/>
        </w:rPr>
        <w:t xml:space="preserve">. </w:t>
      </w:r>
      <w:proofErr w:type="gramStart"/>
      <w:r w:rsidRPr="008269E4">
        <w:rPr>
          <w:rFonts w:ascii="Times New Roman" w:eastAsiaTheme="minorEastAsia" w:hAnsi="Times New Roman" w:cs="Times New Roman"/>
          <w:i/>
          <w:sz w:val="24"/>
          <w:szCs w:val="24"/>
        </w:rPr>
        <w:t>Dalits</w:t>
      </w:r>
      <w:r w:rsidRPr="008269E4">
        <w:rPr>
          <w:rFonts w:ascii="Times New Roman" w:eastAsiaTheme="minorEastAsia" w:hAnsi="Times New Roman" w:cs="Times New Roman"/>
          <w:sz w:val="24"/>
          <w:szCs w:val="24"/>
        </w:rPr>
        <w:t xml:space="preserve">/SCs, who are on the lower rung, are, however, associated with significantly </w:t>
      </w:r>
      <w:r w:rsidR="001368AD">
        <w:rPr>
          <w:rFonts w:ascii="Times New Roman" w:eastAsiaTheme="minorEastAsia" w:hAnsi="Times New Roman" w:cs="Times New Roman"/>
          <w:sz w:val="24"/>
          <w:szCs w:val="24"/>
        </w:rPr>
        <w:t xml:space="preserve">lower </w:t>
      </w:r>
      <w:r>
        <w:rPr>
          <w:rFonts w:ascii="Times New Roman" w:eastAsiaTheme="minorEastAsia" w:hAnsi="Times New Roman" w:cs="Times New Roman"/>
          <w:sz w:val="24"/>
          <w:szCs w:val="24"/>
        </w:rPr>
        <w:t>∆SWB</w:t>
      </w:r>
      <w:r w:rsidR="007C36CC">
        <w:rPr>
          <w:rFonts w:ascii="Times New Roman" w:eastAsiaTheme="minorEastAsia" w:hAnsi="Times New Roman" w:cs="Times New Roman"/>
          <w:sz w:val="24"/>
          <w:szCs w:val="24"/>
        </w:rPr>
        <w:t xml:space="preserve"> and ∆OWB</w:t>
      </w:r>
      <w:r w:rsidR="00956F58">
        <w:rPr>
          <w:rFonts w:ascii="Times New Roman" w:eastAsiaTheme="minorEastAsia" w:hAnsi="Times New Roman" w:cs="Times New Roman"/>
          <w:sz w:val="24"/>
          <w:szCs w:val="24"/>
        </w:rPr>
        <w:t xml:space="preserve"> in Table 2 (based on robust regression)</w:t>
      </w:r>
      <w:r w:rsidR="007C36CC">
        <w:rPr>
          <w:rFonts w:ascii="Times New Roman" w:eastAsiaTheme="minorEastAsia" w:hAnsi="Times New Roman" w:cs="Times New Roman"/>
          <w:sz w:val="24"/>
          <w:szCs w:val="24"/>
        </w:rPr>
        <w:t>.</w:t>
      </w:r>
      <w:proofErr w:type="gramEnd"/>
      <w:r w:rsidR="007C36CC">
        <w:rPr>
          <w:rFonts w:ascii="Times New Roman" w:eastAsiaTheme="minorEastAsia" w:hAnsi="Times New Roman" w:cs="Times New Roman"/>
          <w:sz w:val="24"/>
          <w:szCs w:val="24"/>
        </w:rPr>
        <w:t xml:space="preserve"> </w:t>
      </w:r>
      <w:r w:rsidR="001368AD">
        <w:rPr>
          <w:rFonts w:ascii="Times New Roman" w:eastAsiaTheme="minorEastAsia" w:hAnsi="Times New Roman" w:cs="Times New Roman"/>
          <w:sz w:val="24"/>
          <w:szCs w:val="24"/>
        </w:rPr>
        <w:t>However,</w:t>
      </w:r>
      <w:r w:rsidR="004D372C">
        <w:rPr>
          <w:rFonts w:ascii="Times New Roman" w:eastAsiaTheme="minorEastAsia" w:hAnsi="Times New Roman" w:cs="Times New Roman"/>
          <w:sz w:val="24"/>
          <w:szCs w:val="24"/>
        </w:rPr>
        <w:t xml:space="preserve"> </w:t>
      </w:r>
      <w:r w:rsidR="001368AD">
        <w:rPr>
          <w:rFonts w:ascii="Times New Roman" w:eastAsiaTheme="minorEastAsia" w:hAnsi="Times New Roman" w:cs="Times New Roman"/>
          <w:sz w:val="24"/>
          <w:szCs w:val="24"/>
        </w:rPr>
        <w:t>Table 3 (based on OP) shows that their probability of moving up rises in both ∆SWB and ∆</w:t>
      </w:r>
      <w:proofErr w:type="gramStart"/>
      <w:r w:rsidR="001368AD">
        <w:rPr>
          <w:rFonts w:ascii="Times New Roman" w:eastAsiaTheme="minorEastAsia" w:hAnsi="Times New Roman" w:cs="Times New Roman"/>
          <w:sz w:val="24"/>
          <w:szCs w:val="24"/>
        </w:rPr>
        <w:t xml:space="preserve">OWB  </w:t>
      </w:r>
      <w:r w:rsidR="00AF77A5">
        <w:rPr>
          <w:rFonts w:ascii="Times New Roman" w:eastAsiaTheme="minorEastAsia" w:hAnsi="Times New Roman" w:cs="Times New Roman"/>
          <w:sz w:val="24"/>
          <w:szCs w:val="24"/>
        </w:rPr>
        <w:t>by</w:t>
      </w:r>
      <w:proofErr w:type="gramEnd"/>
      <w:r w:rsidR="00AF77A5">
        <w:rPr>
          <w:rFonts w:ascii="Times New Roman" w:eastAsiaTheme="minorEastAsia" w:hAnsi="Times New Roman" w:cs="Times New Roman"/>
          <w:sz w:val="24"/>
          <w:szCs w:val="24"/>
        </w:rPr>
        <w:t xml:space="preserve"> 6.58% </w:t>
      </w:r>
      <w:r w:rsidR="007C36CC">
        <w:rPr>
          <w:rFonts w:ascii="Times New Roman" w:eastAsiaTheme="minorEastAsia" w:hAnsi="Times New Roman" w:cs="Times New Roman"/>
          <w:sz w:val="24"/>
          <w:szCs w:val="24"/>
        </w:rPr>
        <w:t>(</w:t>
      </w:r>
      <w:r w:rsidR="00AF77A5">
        <w:rPr>
          <w:rFonts w:ascii="Times New Roman" w:eastAsiaTheme="minorEastAsia" w:hAnsi="Times New Roman" w:cs="Times New Roman"/>
          <w:sz w:val="24"/>
          <w:szCs w:val="24"/>
        </w:rPr>
        <w:t>7.17%</w:t>
      </w:r>
      <w:r w:rsidR="007C36CC">
        <w:rPr>
          <w:rFonts w:ascii="Times New Roman" w:eastAsiaTheme="minorEastAsia" w:hAnsi="Times New Roman" w:cs="Times New Roman"/>
          <w:sz w:val="24"/>
          <w:szCs w:val="24"/>
        </w:rPr>
        <w:t>)</w:t>
      </w:r>
      <w:r w:rsidR="00AF77A5">
        <w:rPr>
          <w:rFonts w:ascii="Times New Roman" w:eastAsiaTheme="minorEastAsia" w:hAnsi="Times New Roman" w:cs="Times New Roman"/>
          <w:sz w:val="24"/>
          <w:szCs w:val="24"/>
        </w:rPr>
        <w:t xml:space="preserve">. </w:t>
      </w:r>
      <w:proofErr w:type="spellStart"/>
      <w:r w:rsidRPr="008269E4">
        <w:rPr>
          <w:rFonts w:ascii="Times New Roman" w:eastAsiaTheme="minorEastAsia" w:hAnsi="Times New Roman" w:cs="Times New Roman"/>
          <w:i/>
          <w:sz w:val="24"/>
          <w:szCs w:val="24"/>
        </w:rPr>
        <w:t>Adivasis</w:t>
      </w:r>
      <w:proofErr w:type="spellEnd"/>
      <w:r w:rsidRPr="008269E4">
        <w:rPr>
          <w:rFonts w:ascii="Times New Roman" w:eastAsiaTheme="minorEastAsia" w:hAnsi="Times New Roman" w:cs="Times New Roman"/>
          <w:sz w:val="24"/>
          <w:szCs w:val="24"/>
        </w:rPr>
        <w:t>/STs, who are on the lowest rung, display a significantly higher well-bei</w:t>
      </w:r>
      <w:r w:rsidR="00F81570">
        <w:rPr>
          <w:rFonts w:ascii="Times New Roman" w:eastAsiaTheme="minorEastAsia" w:hAnsi="Times New Roman" w:cs="Times New Roman"/>
          <w:sz w:val="24"/>
          <w:szCs w:val="24"/>
        </w:rPr>
        <w:t>ng for ∆SWB</w:t>
      </w:r>
      <w:r w:rsidR="00084B25">
        <w:rPr>
          <w:rFonts w:ascii="Times New Roman" w:eastAsiaTheme="minorEastAsia" w:hAnsi="Times New Roman" w:cs="Times New Roman"/>
          <w:sz w:val="24"/>
          <w:szCs w:val="24"/>
        </w:rPr>
        <w:t xml:space="preserve"> (</w:t>
      </w:r>
      <w:r w:rsidR="00F241F4">
        <w:rPr>
          <w:rFonts w:ascii="Times New Roman" w:eastAsiaTheme="minorEastAsia" w:hAnsi="Times New Roman" w:cs="Times New Roman"/>
          <w:sz w:val="24"/>
          <w:szCs w:val="24"/>
        </w:rPr>
        <w:t xml:space="preserve">by </w:t>
      </w:r>
      <w:r w:rsidR="00084B25">
        <w:rPr>
          <w:rFonts w:ascii="Times New Roman" w:eastAsiaTheme="minorEastAsia" w:hAnsi="Times New Roman" w:cs="Times New Roman"/>
          <w:sz w:val="24"/>
          <w:szCs w:val="24"/>
        </w:rPr>
        <w:t>3.</w:t>
      </w:r>
      <w:r w:rsidR="00F241F4">
        <w:rPr>
          <w:rFonts w:ascii="Times New Roman" w:eastAsiaTheme="minorEastAsia" w:hAnsi="Times New Roman" w:cs="Times New Roman"/>
          <w:sz w:val="24"/>
          <w:szCs w:val="24"/>
        </w:rPr>
        <w:t>91</w:t>
      </w:r>
      <w:r w:rsidR="00084B25">
        <w:rPr>
          <w:rFonts w:ascii="Times New Roman" w:eastAsiaTheme="minorEastAsia" w:hAnsi="Times New Roman" w:cs="Times New Roman"/>
          <w:sz w:val="24"/>
          <w:szCs w:val="24"/>
        </w:rPr>
        <w:t xml:space="preserve">%), </w:t>
      </w:r>
      <w:r w:rsidR="00F81570">
        <w:rPr>
          <w:rFonts w:ascii="Times New Roman" w:eastAsiaTheme="minorEastAsia" w:hAnsi="Times New Roman" w:cs="Times New Roman"/>
          <w:sz w:val="24"/>
          <w:szCs w:val="24"/>
        </w:rPr>
        <w:t xml:space="preserve">but the sign is </w:t>
      </w:r>
      <w:r w:rsidR="00F81570">
        <w:rPr>
          <w:rFonts w:ascii="Times New Roman" w:eastAsiaTheme="minorEastAsia" w:hAnsi="Times New Roman" w:cs="Times New Roman"/>
          <w:sz w:val="24"/>
          <w:szCs w:val="24"/>
        </w:rPr>
        <w:lastRenderedPageBreak/>
        <w:t>reversed for ∆OWB</w:t>
      </w:r>
      <w:r w:rsidR="00084B25">
        <w:rPr>
          <w:rFonts w:ascii="Times New Roman" w:eastAsiaTheme="minorEastAsia" w:hAnsi="Times New Roman" w:cs="Times New Roman"/>
          <w:sz w:val="24"/>
          <w:szCs w:val="24"/>
        </w:rPr>
        <w:t xml:space="preserve"> (-3.</w:t>
      </w:r>
      <w:r w:rsidR="00F241F4">
        <w:rPr>
          <w:rFonts w:ascii="Times New Roman" w:eastAsiaTheme="minorEastAsia" w:hAnsi="Times New Roman" w:cs="Times New Roman"/>
          <w:sz w:val="24"/>
          <w:szCs w:val="24"/>
        </w:rPr>
        <w:t xml:space="preserve">56%) as shown in Table 2, with similar estimates (3.86%; -4.33%) of marginal correlates as </w:t>
      </w:r>
      <w:r w:rsidR="001368AD">
        <w:rPr>
          <w:rFonts w:ascii="Times New Roman" w:eastAsiaTheme="minorEastAsia" w:hAnsi="Times New Roman" w:cs="Times New Roman"/>
          <w:sz w:val="24"/>
          <w:szCs w:val="24"/>
        </w:rPr>
        <w:t xml:space="preserve">given </w:t>
      </w:r>
      <w:r w:rsidR="00F241F4">
        <w:rPr>
          <w:rFonts w:ascii="Times New Roman" w:eastAsiaTheme="minorEastAsia" w:hAnsi="Times New Roman" w:cs="Times New Roman"/>
          <w:sz w:val="24"/>
          <w:szCs w:val="24"/>
        </w:rPr>
        <w:t xml:space="preserve">in Table 3. </w:t>
      </w:r>
      <w:r w:rsidRPr="008269E4">
        <w:rPr>
          <w:rFonts w:ascii="Times New Roman" w:eastAsiaTheme="minorEastAsia" w:hAnsi="Times New Roman" w:cs="Times New Roman"/>
          <w:sz w:val="24"/>
          <w:szCs w:val="24"/>
        </w:rPr>
        <w:t xml:space="preserve">The residual category of ‘Others’ shows a </w:t>
      </w:r>
      <w:r w:rsidR="00F81570">
        <w:rPr>
          <w:rFonts w:ascii="Times New Roman" w:eastAsiaTheme="minorEastAsia" w:hAnsi="Times New Roman" w:cs="Times New Roman"/>
          <w:sz w:val="24"/>
          <w:szCs w:val="24"/>
        </w:rPr>
        <w:t xml:space="preserve">significantly lower well-being for ∆SWB with the opposite sign for ∆OWB. </w:t>
      </w:r>
      <w:r w:rsidRPr="008269E4">
        <w:rPr>
          <w:rFonts w:ascii="Times New Roman" w:eastAsiaTheme="minorEastAsia" w:hAnsi="Times New Roman" w:cs="Times New Roman"/>
          <w:sz w:val="24"/>
          <w:szCs w:val="24"/>
        </w:rPr>
        <w:t xml:space="preserve">The fact that there is little consonance between caste hierarchy and well-being </w:t>
      </w:r>
      <w:r w:rsidR="00F81570">
        <w:rPr>
          <w:rFonts w:ascii="Times New Roman" w:eastAsiaTheme="minorEastAsia" w:hAnsi="Times New Roman" w:cs="Times New Roman"/>
          <w:sz w:val="24"/>
          <w:szCs w:val="24"/>
        </w:rPr>
        <w:t xml:space="preserve">- particularly SWB - </w:t>
      </w:r>
      <w:r w:rsidRPr="008269E4">
        <w:rPr>
          <w:rFonts w:ascii="Times New Roman" w:eastAsiaTheme="minorEastAsia" w:hAnsi="Times New Roman" w:cs="Times New Roman"/>
          <w:sz w:val="24"/>
          <w:szCs w:val="24"/>
        </w:rPr>
        <w:t xml:space="preserve">suggests that the latter has little to do with poverty. To illustrate, while </w:t>
      </w:r>
      <w:r w:rsidRPr="008269E4">
        <w:rPr>
          <w:rFonts w:ascii="Times New Roman" w:eastAsiaTheme="minorEastAsia" w:hAnsi="Times New Roman" w:cs="Times New Roman"/>
          <w:i/>
          <w:sz w:val="24"/>
          <w:szCs w:val="24"/>
        </w:rPr>
        <w:t>Dalit</w:t>
      </w:r>
      <w:r w:rsidRPr="008269E4">
        <w:rPr>
          <w:rFonts w:ascii="Times New Roman" w:eastAsiaTheme="minorEastAsia" w:hAnsi="Times New Roman" w:cs="Times New Roman"/>
          <w:sz w:val="24"/>
          <w:szCs w:val="24"/>
        </w:rPr>
        <w:t xml:space="preserve">s and </w:t>
      </w:r>
      <w:proofErr w:type="spellStart"/>
      <w:r w:rsidRPr="008269E4">
        <w:rPr>
          <w:rFonts w:ascii="Times New Roman" w:eastAsiaTheme="minorEastAsia" w:hAnsi="Times New Roman" w:cs="Times New Roman"/>
          <w:i/>
          <w:sz w:val="24"/>
          <w:szCs w:val="24"/>
        </w:rPr>
        <w:t>Adivasis</w:t>
      </w:r>
      <w:proofErr w:type="spellEnd"/>
      <w:r w:rsidRPr="008269E4">
        <w:rPr>
          <w:rFonts w:ascii="Times New Roman" w:eastAsiaTheme="minorEastAsia" w:hAnsi="Times New Roman" w:cs="Times New Roman"/>
          <w:i/>
          <w:sz w:val="24"/>
          <w:szCs w:val="24"/>
        </w:rPr>
        <w:t xml:space="preserve"> </w:t>
      </w:r>
      <w:r w:rsidRPr="008269E4">
        <w:rPr>
          <w:rFonts w:ascii="Times New Roman" w:eastAsiaTheme="minorEastAsia" w:hAnsi="Times New Roman" w:cs="Times New Roman"/>
          <w:sz w:val="24"/>
          <w:szCs w:val="24"/>
        </w:rPr>
        <w:t xml:space="preserve">are most likely to be poor, their </w:t>
      </w:r>
      <w:r w:rsidR="00F81570">
        <w:rPr>
          <w:rFonts w:ascii="Times New Roman" w:eastAsiaTheme="minorEastAsia" w:hAnsi="Times New Roman" w:cs="Times New Roman"/>
          <w:sz w:val="24"/>
          <w:szCs w:val="24"/>
        </w:rPr>
        <w:t xml:space="preserve">subjective </w:t>
      </w:r>
      <w:r w:rsidRPr="008269E4">
        <w:rPr>
          <w:rFonts w:ascii="Times New Roman" w:eastAsiaTheme="minorEastAsia" w:hAnsi="Times New Roman" w:cs="Times New Roman"/>
          <w:sz w:val="24"/>
          <w:szCs w:val="24"/>
        </w:rPr>
        <w:t xml:space="preserve">well-being differs. In contrast, while Brahmins are least likely to be poor, their </w:t>
      </w:r>
      <w:r w:rsidR="00F81570">
        <w:rPr>
          <w:rFonts w:ascii="Times New Roman" w:eastAsiaTheme="minorEastAsia" w:hAnsi="Times New Roman" w:cs="Times New Roman"/>
          <w:sz w:val="24"/>
          <w:szCs w:val="24"/>
        </w:rPr>
        <w:t xml:space="preserve">subjective </w:t>
      </w:r>
      <w:r w:rsidRPr="008269E4">
        <w:rPr>
          <w:rFonts w:ascii="Times New Roman" w:eastAsiaTheme="minorEastAsia" w:hAnsi="Times New Roman" w:cs="Times New Roman"/>
          <w:sz w:val="24"/>
          <w:szCs w:val="24"/>
        </w:rPr>
        <w:t>well-being is not significantly higher than OBCs’.</w:t>
      </w:r>
      <w:r w:rsidRPr="008269E4">
        <w:rPr>
          <w:rFonts w:ascii="Times New Roman" w:eastAsiaTheme="minorEastAsia" w:hAnsi="Times New Roman" w:cs="Times New Roman"/>
          <w:sz w:val="24"/>
          <w:szCs w:val="24"/>
          <w:vertAlign w:val="superscript"/>
        </w:rPr>
        <w:footnoteReference w:id="16"/>
      </w:r>
    </w:p>
    <w:p w14:paraId="6E4532D0" w14:textId="77777777" w:rsidR="00072FF5" w:rsidRDefault="0018110D" w:rsidP="003C2698">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 xml:space="preserve">Employment </w:t>
      </w:r>
    </w:p>
    <w:p w14:paraId="6FBB492D" w14:textId="77777777" w:rsidR="0018110D" w:rsidRPr="008269E4" w:rsidRDefault="0018110D" w:rsidP="0018110D">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We also include the variables on whether employed as well as the duration of employment. The first variable show</w:t>
      </w:r>
      <w:r w:rsidR="00DF0163">
        <w:rPr>
          <w:rFonts w:ascii="Times New Roman" w:eastAsiaTheme="minorEastAsia" w:hAnsi="Times New Roman" w:cs="Times New Roman"/>
          <w:sz w:val="24"/>
          <w:szCs w:val="24"/>
        </w:rPr>
        <w:t>s</w:t>
      </w:r>
      <w:r w:rsidRPr="008269E4">
        <w:rPr>
          <w:rFonts w:ascii="Times New Roman" w:eastAsiaTheme="minorEastAsia" w:hAnsi="Times New Roman" w:cs="Times New Roman"/>
          <w:sz w:val="24"/>
          <w:szCs w:val="24"/>
        </w:rPr>
        <w:t xml:space="preserve"> the number of adult male and female workers in the household, respectively. The number of workers in the age-group 20-50 years is classified into the three categories, ‘0’, ‘1’, ‘2 or more’. As households with 1 adult male worker are the largest group, this is omitted. Relative to this group, households without any male worker are associated with lower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SWB and those with ‘2 or more’ adult male workers with higher </w:t>
      </w:r>
      <w:r>
        <w:rPr>
          <w:rFonts w:ascii="Times New Roman" w:eastAsiaTheme="minorEastAsia" w:hAnsi="Times New Roman" w:cs="Times New Roman"/>
          <w:sz w:val="24"/>
          <w:szCs w:val="24"/>
        </w:rPr>
        <w:t>∆</w:t>
      </w:r>
      <w:r w:rsidR="00F81570">
        <w:rPr>
          <w:rFonts w:ascii="Times New Roman" w:eastAsiaTheme="minorEastAsia" w:hAnsi="Times New Roman" w:cs="Times New Roman"/>
          <w:sz w:val="24"/>
          <w:szCs w:val="24"/>
        </w:rPr>
        <w:t xml:space="preserve">SWB, but the signs are reversed for ∆OWB </w:t>
      </w:r>
      <w:r>
        <w:rPr>
          <w:rFonts w:ascii="Times New Roman" w:eastAsiaTheme="minorEastAsia" w:hAnsi="Times New Roman" w:cs="Times New Roman"/>
          <w:sz w:val="24"/>
          <w:szCs w:val="24"/>
        </w:rPr>
        <w:t>(Tables 2 and 3)</w:t>
      </w:r>
      <w:r w:rsidRPr="008269E4">
        <w:rPr>
          <w:rFonts w:ascii="Times New Roman" w:eastAsiaTheme="minorEastAsia" w:hAnsi="Times New Roman" w:cs="Times New Roman"/>
          <w:sz w:val="24"/>
          <w:szCs w:val="24"/>
        </w:rPr>
        <w:t xml:space="preserve">. Since households without any adult female worker are the largest group, this is the omitted group. Relative to these households, those with ‘2 or more’ adult female workers are associated with </w:t>
      </w:r>
      <w:r w:rsidR="00F81570">
        <w:rPr>
          <w:rFonts w:ascii="Times New Roman" w:eastAsiaTheme="minorEastAsia" w:hAnsi="Times New Roman" w:cs="Times New Roman"/>
          <w:sz w:val="24"/>
          <w:szCs w:val="24"/>
        </w:rPr>
        <w:t xml:space="preserve">lower </w:t>
      </w:r>
      <w:r w:rsidR="0073743F">
        <w:rPr>
          <w:rFonts w:ascii="Times New Roman" w:eastAsiaTheme="minorEastAsia" w:hAnsi="Times New Roman" w:cs="Times New Roman"/>
          <w:sz w:val="24"/>
          <w:szCs w:val="24"/>
        </w:rPr>
        <w:t>∆</w:t>
      </w:r>
      <w:r w:rsidR="00F81570">
        <w:rPr>
          <w:rFonts w:ascii="Times New Roman" w:eastAsiaTheme="minorEastAsia" w:hAnsi="Times New Roman" w:cs="Times New Roman"/>
          <w:sz w:val="24"/>
          <w:szCs w:val="24"/>
        </w:rPr>
        <w:t xml:space="preserve">OWB, but it is not significant </w:t>
      </w:r>
      <w:r w:rsidR="00DF0163">
        <w:rPr>
          <w:rFonts w:ascii="Times New Roman" w:eastAsiaTheme="minorEastAsia" w:hAnsi="Times New Roman" w:cs="Times New Roman"/>
          <w:sz w:val="24"/>
          <w:szCs w:val="24"/>
        </w:rPr>
        <w:t>in the case of</w:t>
      </w:r>
      <w:r w:rsidR="00F81570">
        <w:rPr>
          <w:rFonts w:ascii="Times New Roman" w:eastAsiaTheme="minorEastAsia" w:hAnsi="Times New Roman" w:cs="Times New Roman"/>
          <w:sz w:val="24"/>
          <w:szCs w:val="24"/>
        </w:rPr>
        <w:t xml:space="preserve"> ∆SWB </w:t>
      </w:r>
      <w:r w:rsidR="0073743F">
        <w:rPr>
          <w:rFonts w:ascii="Times New Roman" w:eastAsiaTheme="minorEastAsia" w:hAnsi="Times New Roman" w:cs="Times New Roman"/>
          <w:sz w:val="24"/>
          <w:szCs w:val="24"/>
        </w:rPr>
        <w:t>(Table</w:t>
      </w:r>
      <w:r w:rsidR="00F81570">
        <w:rPr>
          <w:rFonts w:ascii="Times New Roman" w:eastAsiaTheme="minorEastAsia" w:hAnsi="Times New Roman" w:cs="Times New Roman"/>
          <w:sz w:val="24"/>
          <w:szCs w:val="24"/>
        </w:rPr>
        <w:t xml:space="preserve">s2 and </w:t>
      </w:r>
      <w:r w:rsidR="0073743F">
        <w:rPr>
          <w:rFonts w:ascii="Times New Roman" w:eastAsiaTheme="minorEastAsia" w:hAnsi="Times New Roman" w:cs="Times New Roman"/>
          <w:sz w:val="24"/>
          <w:szCs w:val="24"/>
        </w:rPr>
        <w:t>3). T</w:t>
      </w:r>
      <w:r w:rsidRPr="008269E4">
        <w:rPr>
          <w:rFonts w:ascii="Times New Roman" w:eastAsiaTheme="minorEastAsia" w:hAnsi="Times New Roman" w:cs="Times New Roman"/>
          <w:sz w:val="24"/>
          <w:szCs w:val="24"/>
        </w:rPr>
        <w:t>he coefficient</w:t>
      </w:r>
      <w:r w:rsidR="00AF77A5">
        <w:rPr>
          <w:rFonts w:ascii="Times New Roman" w:eastAsiaTheme="minorEastAsia" w:hAnsi="Times New Roman" w:cs="Times New Roman"/>
          <w:sz w:val="24"/>
          <w:szCs w:val="24"/>
        </w:rPr>
        <w:t>/marginal effect</w:t>
      </w:r>
      <w:r w:rsidRPr="008269E4">
        <w:rPr>
          <w:rFonts w:ascii="Times New Roman" w:eastAsiaTheme="minorEastAsia" w:hAnsi="Times New Roman" w:cs="Times New Roman"/>
          <w:sz w:val="24"/>
          <w:szCs w:val="24"/>
        </w:rPr>
        <w:t xml:space="preserve"> of households with a single worker is positive but not significant</w:t>
      </w:r>
      <w:r w:rsidR="0073743F">
        <w:rPr>
          <w:rFonts w:ascii="Times New Roman" w:eastAsiaTheme="minorEastAsia" w:hAnsi="Times New Roman" w:cs="Times New Roman"/>
          <w:sz w:val="24"/>
          <w:szCs w:val="24"/>
        </w:rPr>
        <w:t xml:space="preserve"> (Tables 2 and 3)</w:t>
      </w:r>
      <w:r w:rsidRPr="008269E4">
        <w:rPr>
          <w:rFonts w:ascii="Times New Roman" w:eastAsiaTheme="minorEastAsia" w:hAnsi="Times New Roman" w:cs="Times New Roman"/>
          <w:sz w:val="24"/>
          <w:szCs w:val="24"/>
        </w:rPr>
        <w:t xml:space="preserve">. Duration of employment is not sufficiently disaggregated for meaningful inferences. There are just two categories: ‘annual hours worked ≤ 240 hours’ and ‘&gt; 240 hours’. The first category lumps together those who hardly </w:t>
      </w:r>
      <w:r w:rsidR="00DF0163">
        <w:rPr>
          <w:rFonts w:ascii="Times New Roman" w:eastAsiaTheme="minorEastAsia" w:hAnsi="Times New Roman" w:cs="Times New Roman"/>
          <w:sz w:val="24"/>
          <w:szCs w:val="24"/>
        </w:rPr>
        <w:t xml:space="preserve">any </w:t>
      </w:r>
      <w:r w:rsidRPr="008269E4">
        <w:rPr>
          <w:rFonts w:ascii="Times New Roman" w:eastAsiaTheme="minorEastAsia" w:hAnsi="Times New Roman" w:cs="Times New Roman"/>
          <w:sz w:val="24"/>
          <w:szCs w:val="24"/>
        </w:rPr>
        <w:t xml:space="preserve">work with those who work 20 hours or less in a month. The difficulty is that the threshold for the leisure-work choice cannot be identified. As households with workers exceeding 240 hours are more numerous, these are omitted. Relative to this group, those working ≤ 240 hours display higher </w:t>
      </w:r>
      <w:r w:rsidR="0073743F">
        <w:rPr>
          <w:rFonts w:ascii="Times New Roman" w:eastAsiaTheme="minorEastAsia" w:hAnsi="Times New Roman" w:cs="Times New Roman"/>
          <w:sz w:val="24"/>
          <w:szCs w:val="24"/>
        </w:rPr>
        <w:t xml:space="preserve">∆SWB </w:t>
      </w:r>
      <w:r w:rsidR="00AF77A5">
        <w:rPr>
          <w:rFonts w:ascii="Times New Roman" w:eastAsiaTheme="minorEastAsia" w:hAnsi="Times New Roman" w:cs="Times New Roman"/>
          <w:sz w:val="24"/>
          <w:szCs w:val="24"/>
        </w:rPr>
        <w:t xml:space="preserve">and </w:t>
      </w:r>
      <w:r w:rsidR="0073743F">
        <w:rPr>
          <w:rFonts w:ascii="Times New Roman" w:eastAsiaTheme="minorEastAsia" w:hAnsi="Times New Roman" w:cs="Times New Roman"/>
          <w:sz w:val="24"/>
          <w:szCs w:val="24"/>
        </w:rPr>
        <w:t xml:space="preserve">∆OWB. </w:t>
      </w:r>
      <w:r w:rsidR="00DF0163">
        <w:rPr>
          <w:rFonts w:ascii="Times New Roman" w:eastAsiaTheme="minorEastAsia" w:hAnsi="Times New Roman" w:cs="Times New Roman"/>
          <w:sz w:val="24"/>
          <w:szCs w:val="24"/>
        </w:rPr>
        <w:t>This is counter-intuitive.</w:t>
      </w:r>
    </w:p>
    <w:p w14:paraId="7EF327AC" w14:textId="77777777" w:rsidR="0018110D" w:rsidRDefault="0018110D" w:rsidP="003C2698">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NCDs</w:t>
      </w:r>
    </w:p>
    <w:p w14:paraId="5145FA14" w14:textId="77777777" w:rsidR="0073743F" w:rsidRPr="008269E4" w:rsidRDefault="0073743F" w:rsidP="0073743F">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Change in SWB and ill-health or disabilities are likely to be negatively associated. We use two relevant indicators: one is non-communicable diseases (NCDs) and </w:t>
      </w:r>
      <w:r w:rsidR="00561A5A">
        <w:rPr>
          <w:rFonts w:ascii="Times New Roman" w:eastAsiaTheme="minorEastAsia" w:hAnsi="Times New Roman" w:cs="Times New Roman"/>
          <w:sz w:val="24"/>
          <w:szCs w:val="24"/>
        </w:rPr>
        <w:t xml:space="preserve">the </w:t>
      </w:r>
      <w:r w:rsidRPr="008269E4">
        <w:rPr>
          <w:rFonts w:ascii="Times New Roman" w:eastAsiaTheme="minorEastAsia" w:hAnsi="Times New Roman" w:cs="Times New Roman"/>
          <w:sz w:val="24"/>
          <w:szCs w:val="24"/>
        </w:rPr>
        <w:t>second is disabilities/limitations of ADL. Their separate roles suggest that NCDs or disabilities are significantly associated with lower well-being, relative to those not suffering from either, respectively. The reverse causality where high SWB lowers prospects of ill-health is minimised as ill-health (in 2005) is prior to well-being (in 2012). Though our SWB measure is the perceived change of economic well-being in 2005-2012, it is ruled out that the perception in 2012 influences ill-health in 2005. In any case, as observed by Kohler et al. (2017), the causality from health to well-being is more likely.</w:t>
      </w:r>
    </w:p>
    <w:p w14:paraId="0497B034" w14:textId="77777777" w:rsidR="00482D89" w:rsidRDefault="00482D89" w:rsidP="00482D89">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If an individual in a household suffers from any NCD, the household is more likely to be worse-off and just the same and less likely to be better-off, relative to those not suffering from any NCD</w:t>
      </w:r>
      <w:r w:rsidR="004D372C">
        <w:rPr>
          <w:rFonts w:ascii="Times New Roman" w:eastAsiaTheme="minorEastAsia" w:hAnsi="Times New Roman" w:cs="Times New Roman"/>
          <w:sz w:val="24"/>
          <w:szCs w:val="24"/>
        </w:rPr>
        <w:t xml:space="preserve"> </w:t>
      </w:r>
      <w:r w:rsidR="00AF77A5">
        <w:rPr>
          <w:rFonts w:ascii="Times New Roman" w:eastAsiaTheme="minorEastAsia" w:hAnsi="Times New Roman" w:cs="Times New Roman"/>
          <w:sz w:val="24"/>
          <w:szCs w:val="24"/>
        </w:rPr>
        <w:t xml:space="preserve">only </w:t>
      </w:r>
      <w:r>
        <w:rPr>
          <w:rFonts w:ascii="Times New Roman" w:eastAsiaTheme="minorEastAsia" w:hAnsi="Times New Roman" w:cs="Times New Roman"/>
          <w:sz w:val="24"/>
          <w:szCs w:val="24"/>
        </w:rPr>
        <w:t>for</w:t>
      </w:r>
      <w:r w:rsidR="004D372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00AF77A5">
        <w:rPr>
          <w:rFonts w:ascii="Times New Roman" w:eastAsiaTheme="minorEastAsia" w:hAnsi="Times New Roman" w:cs="Times New Roman"/>
          <w:sz w:val="24"/>
          <w:szCs w:val="24"/>
        </w:rPr>
        <w:t xml:space="preserve">SWB, not ∆OWB </w:t>
      </w:r>
      <w:r>
        <w:rPr>
          <w:rFonts w:ascii="Times New Roman" w:eastAsiaTheme="minorEastAsia" w:hAnsi="Times New Roman" w:cs="Times New Roman"/>
          <w:sz w:val="24"/>
          <w:szCs w:val="24"/>
        </w:rPr>
        <w:t>(Tables 2 and 3)</w:t>
      </w:r>
      <w:r w:rsidRPr="008269E4">
        <w:rPr>
          <w:rFonts w:ascii="Times New Roman" w:eastAsiaTheme="minorEastAsia" w:hAnsi="Times New Roman" w:cs="Times New Roman"/>
          <w:sz w:val="24"/>
          <w:szCs w:val="24"/>
        </w:rPr>
        <w:t xml:space="preserve">.Similar results are obtained for </w:t>
      </w:r>
      <w:r w:rsidRPr="008269E4">
        <w:rPr>
          <w:rFonts w:ascii="Times New Roman" w:eastAsiaTheme="minorEastAsia" w:hAnsi="Times New Roman" w:cs="Times New Roman"/>
          <w:sz w:val="24"/>
          <w:szCs w:val="24"/>
        </w:rPr>
        <w:lastRenderedPageBreak/>
        <w:t>individual</w:t>
      </w:r>
      <w:r>
        <w:rPr>
          <w:rFonts w:ascii="Times New Roman" w:eastAsiaTheme="minorEastAsia" w:hAnsi="Times New Roman" w:cs="Times New Roman"/>
          <w:sz w:val="24"/>
          <w:szCs w:val="24"/>
        </w:rPr>
        <w:t>s suffering from</w:t>
      </w:r>
      <w:r w:rsidR="003475EE">
        <w:rPr>
          <w:rFonts w:ascii="Times New Roman" w:eastAsiaTheme="minorEastAsia" w:hAnsi="Times New Roman" w:cs="Times New Roman"/>
          <w:sz w:val="24"/>
          <w:szCs w:val="24"/>
        </w:rPr>
        <w:t xml:space="preserve"> any disability only for ∆SWB, not for ∆OWB (Table 2). More specifically, households with </w:t>
      </w:r>
      <w:r w:rsidRPr="008269E4">
        <w:rPr>
          <w:rFonts w:ascii="Times New Roman" w:eastAsiaTheme="minorEastAsia" w:hAnsi="Times New Roman" w:cs="Times New Roman"/>
          <w:sz w:val="24"/>
          <w:szCs w:val="24"/>
        </w:rPr>
        <w:t>disabled are more likely to be worse-off and just the same and less likely to be better-off</w:t>
      </w:r>
      <w:r w:rsidR="003475EE">
        <w:rPr>
          <w:rFonts w:ascii="Times New Roman" w:eastAsiaTheme="minorEastAsia" w:hAnsi="Times New Roman" w:cs="Times New Roman"/>
          <w:sz w:val="24"/>
          <w:szCs w:val="24"/>
        </w:rPr>
        <w:t xml:space="preserve"> in terms of SWB (Table 3)</w:t>
      </w:r>
      <w:r w:rsidRPr="008269E4">
        <w:rPr>
          <w:rFonts w:ascii="Times New Roman" w:eastAsiaTheme="minorEastAsia" w:hAnsi="Times New Roman" w:cs="Times New Roman"/>
          <w:sz w:val="24"/>
          <w:szCs w:val="24"/>
        </w:rPr>
        <w:t xml:space="preserve">. </w:t>
      </w:r>
    </w:p>
    <w:p w14:paraId="4A4F73B0" w14:textId="77777777" w:rsidR="000E6AC4" w:rsidRPr="00F63F79" w:rsidRDefault="000E6AC4" w:rsidP="000E6AC4">
      <w:pPr>
        <w:jc w:val="both"/>
        <w:rPr>
          <w:rFonts w:ascii="Times New Roman" w:eastAsiaTheme="minorEastAsia" w:hAnsi="Times New Roman" w:cs="Times New Roman"/>
          <w:sz w:val="24"/>
          <w:szCs w:val="24"/>
        </w:rPr>
      </w:pPr>
      <w:r>
        <w:rPr>
          <w:rFonts w:ascii="Times New Roman" w:eastAsiaTheme="minorEastAsia" w:hAnsi="Times New Roman" w:cs="Times New Roman"/>
          <w:i/>
          <w:sz w:val="24"/>
          <w:szCs w:val="24"/>
        </w:rPr>
        <w:t xml:space="preserve">Mass-media </w:t>
      </w:r>
    </w:p>
    <w:p w14:paraId="6515F4A3" w14:textId="1BEF36EF" w:rsidR="000E6AC4" w:rsidRPr="008269E4" w:rsidRDefault="005D7277" w:rsidP="000E6AC4">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a</w:t>
      </w:r>
      <w:r w:rsidR="000E6AC4" w:rsidRPr="008269E4">
        <w:rPr>
          <w:rFonts w:ascii="Times New Roman" w:eastAsiaTheme="minorEastAsia" w:hAnsi="Times New Roman" w:cs="Times New Roman"/>
          <w:sz w:val="24"/>
          <w:szCs w:val="24"/>
        </w:rPr>
        <w:t xml:space="preserve">ssociation between SWB and exposure to mass-media has not received much attention. IHDS allows us to examine this relationship in detail. The mass media include radio, newspapers and TV. Exposure of men and women is classified into ‘never’, ‘sometimes’ and ‘regularly’. By combining ‘never’ and ‘sometimes’, we are able to focus on regular exposure of men and women separately and </w:t>
      </w:r>
      <w:r w:rsidR="00561A5A">
        <w:rPr>
          <w:rFonts w:ascii="Times New Roman" w:eastAsiaTheme="minorEastAsia" w:hAnsi="Times New Roman" w:cs="Times New Roman"/>
          <w:sz w:val="24"/>
          <w:szCs w:val="24"/>
        </w:rPr>
        <w:t>their</w:t>
      </w:r>
      <w:r w:rsidR="000E6AC4" w:rsidRPr="008269E4">
        <w:rPr>
          <w:rFonts w:ascii="Times New Roman" w:eastAsiaTheme="minorEastAsia" w:hAnsi="Times New Roman" w:cs="Times New Roman"/>
          <w:sz w:val="24"/>
          <w:szCs w:val="24"/>
        </w:rPr>
        <w:t xml:space="preserve"> association</w:t>
      </w:r>
      <w:r w:rsidR="00561A5A">
        <w:rPr>
          <w:rFonts w:ascii="Times New Roman" w:eastAsiaTheme="minorEastAsia" w:hAnsi="Times New Roman" w:cs="Times New Roman"/>
          <w:sz w:val="24"/>
          <w:szCs w:val="24"/>
        </w:rPr>
        <w:t>s</w:t>
      </w:r>
      <w:r w:rsidR="000E6AC4" w:rsidRPr="008269E4">
        <w:rPr>
          <w:rFonts w:ascii="Times New Roman" w:eastAsiaTheme="minorEastAsia" w:hAnsi="Times New Roman" w:cs="Times New Roman"/>
          <w:sz w:val="24"/>
          <w:szCs w:val="24"/>
        </w:rPr>
        <w:t xml:space="preserve"> with </w:t>
      </w:r>
      <w:r w:rsidR="000E6AC4">
        <w:rPr>
          <w:rFonts w:ascii="Times New Roman" w:eastAsiaTheme="minorEastAsia" w:hAnsi="Times New Roman" w:cs="Times New Roman"/>
          <w:sz w:val="24"/>
          <w:szCs w:val="24"/>
        </w:rPr>
        <w:t>∆</w:t>
      </w:r>
      <w:r w:rsidR="000E6AC4" w:rsidRPr="008269E4">
        <w:rPr>
          <w:rFonts w:ascii="Times New Roman" w:eastAsiaTheme="minorEastAsia" w:hAnsi="Times New Roman" w:cs="Times New Roman"/>
          <w:sz w:val="24"/>
          <w:szCs w:val="24"/>
        </w:rPr>
        <w:t>SWB</w:t>
      </w:r>
      <w:r w:rsidR="000E6AC4">
        <w:rPr>
          <w:rFonts w:ascii="Times New Roman" w:eastAsiaTheme="minorEastAsia" w:hAnsi="Times New Roman" w:cs="Times New Roman"/>
          <w:sz w:val="24"/>
          <w:szCs w:val="24"/>
        </w:rPr>
        <w:t xml:space="preserve"> and ∆OWB</w:t>
      </w:r>
      <w:r w:rsidR="000E6AC4" w:rsidRPr="008269E4">
        <w:rPr>
          <w:rFonts w:ascii="Times New Roman" w:eastAsiaTheme="minorEastAsia" w:hAnsi="Times New Roman" w:cs="Times New Roman"/>
          <w:sz w:val="24"/>
          <w:szCs w:val="24"/>
        </w:rPr>
        <w:t>. For men, well-being and regular exposure to radio and newspapers but not TV are positively related, implying that they</w:t>
      </w:r>
      <w:r w:rsidR="000E6AC4">
        <w:rPr>
          <w:rFonts w:ascii="Times New Roman" w:eastAsiaTheme="minorEastAsia" w:hAnsi="Times New Roman" w:cs="Times New Roman"/>
          <w:sz w:val="24"/>
          <w:szCs w:val="24"/>
        </w:rPr>
        <w:t xml:space="preserve"> perceive a positive change in SWB. </w:t>
      </w:r>
      <w:r w:rsidR="00777A8D">
        <w:rPr>
          <w:rFonts w:ascii="Times New Roman" w:eastAsiaTheme="minorEastAsia" w:hAnsi="Times New Roman" w:cs="Times New Roman"/>
          <w:sz w:val="24"/>
          <w:szCs w:val="24"/>
        </w:rPr>
        <w:t xml:space="preserve">These factors are not significantly associated with ∆OWB (Tables 2 and 3). </w:t>
      </w:r>
      <w:r w:rsidR="000E6AC4" w:rsidRPr="008269E4">
        <w:rPr>
          <w:rFonts w:ascii="Times New Roman" w:eastAsiaTheme="minorEastAsia" w:hAnsi="Times New Roman" w:cs="Times New Roman"/>
          <w:sz w:val="24"/>
          <w:szCs w:val="24"/>
        </w:rPr>
        <w:t xml:space="preserve">In sharp contrast, women reading newspapers and watching TV experience </w:t>
      </w:r>
      <w:r w:rsidR="00561A5A">
        <w:rPr>
          <w:rFonts w:ascii="Times New Roman" w:eastAsiaTheme="minorEastAsia" w:hAnsi="Times New Roman" w:cs="Times New Roman"/>
          <w:sz w:val="24"/>
          <w:szCs w:val="24"/>
        </w:rPr>
        <w:t>greater</w:t>
      </w:r>
      <w:r w:rsidR="004D372C">
        <w:rPr>
          <w:rFonts w:ascii="Times New Roman" w:eastAsiaTheme="minorEastAsia" w:hAnsi="Times New Roman" w:cs="Times New Roman"/>
          <w:sz w:val="24"/>
          <w:szCs w:val="24"/>
        </w:rPr>
        <w:t xml:space="preserve"> </w:t>
      </w:r>
      <w:r w:rsidR="00777A8D">
        <w:rPr>
          <w:rFonts w:ascii="Times New Roman" w:eastAsiaTheme="minorEastAsia" w:hAnsi="Times New Roman" w:cs="Times New Roman"/>
          <w:sz w:val="24"/>
          <w:szCs w:val="24"/>
        </w:rPr>
        <w:t xml:space="preserve">improvement in both subjective and objective </w:t>
      </w:r>
      <w:r w:rsidR="000E6AC4" w:rsidRPr="008269E4">
        <w:rPr>
          <w:rFonts w:ascii="Times New Roman" w:eastAsiaTheme="minorEastAsia" w:hAnsi="Times New Roman" w:cs="Times New Roman"/>
          <w:sz w:val="24"/>
          <w:szCs w:val="24"/>
        </w:rPr>
        <w:t>well-being</w:t>
      </w:r>
      <w:r w:rsidR="00777A8D">
        <w:rPr>
          <w:rFonts w:ascii="Times New Roman" w:eastAsiaTheme="minorEastAsia" w:hAnsi="Times New Roman" w:cs="Times New Roman"/>
          <w:sz w:val="24"/>
          <w:szCs w:val="24"/>
        </w:rPr>
        <w:t xml:space="preserve"> (Tables 2 and 3)</w:t>
      </w:r>
      <w:r w:rsidR="000E6AC4" w:rsidRPr="008269E4">
        <w:rPr>
          <w:rFonts w:ascii="Times New Roman" w:eastAsiaTheme="minorEastAsia" w:hAnsi="Times New Roman" w:cs="Times New Roman"/>
          <w:sz w:val="24"/>
          <w:szCs w:val="24"/>
        </w:rPr>
        <w:t xml:space="preserve">. </w:t>
      </w:r>
      <w:r w:rsidR="00777A8D">
        <w:rPr>
          <w:rFonts w:ascii="Times New Roman" w:eastAsiaTheme="minorEastAsia" w:hAnsi="Times New Roman" w:cs="Times New Roman"/>
          <w:sz w:val="24"/>
          <w:szCs w:val="24"/>
        </w:rPr>
        <w:t>However, regular listening to radio by women is not associated with ∆SWB or ∆OWB. Overall, t</w:t>
      </w:r>
      <w:r w:rsidR="000E6AC4">
        <w:rPr>
          <w:rFonts w:ascii="Times New Roman" w:eastAsiaTheme="minorEastAsia" w:hAnsi="Times New Roman" w:cs="Times New Roman"/>
          <w:sz w:val="24"/>
          <w:szCs w:val="24"/>
        </w:rPr>
        <w:t xml:space="preserve">he results corroborate the importance of </w:t>
      </w:r>
      <w:r w:rsidR="007123B7">
        <w:rPr>
          <w:rFonts w:ascii="Times New Roman" w:eastAsiaTheme="minorEastAsia" w:hAnsi="Times New Roman" w:cs="Times New Roman"/>
          <w:sz w:val="24"/>
          <w:szCs w:val="24"/>
        </w:rPr>
        <w:t>exposure to mass-</w:t>
      </w:r>
      <w:r w:rsidR="000E6AC4">
        <w:rPr>
          <w:rFonts w:ascii="Times New Roman" w:eastAsiaTheme="minorEastAsia" w:hAnsi="Times New Roman" w:cs="Times New Roman"/>
          <w:sz w:val="24"/>
          <w:szCs w:val="24"/>
        </w:rPr>
        <w:t xml:space="preserve">media </w:t>
      </w:r>
      <w:r w:rsidR="00561A5A">
        <w:rPr>
          <w:rFonts w:ascii="Times New Roman" w:eastAsiaTheme="minorEastAsia" w:hAnsi="Times New Roman" w:cs="Times New Roman"/>
          <w:sz w:val="24"/>
          <w:szCs w:val="24"/>
        </w:rPr>
        <w:t>-</w:t>
      </w:r>
      <w:r w:rsidR="000E6AC4">
        <w:rPr>
          <w:rFonts w:ascii="Times New Roman" w:eastAsiaTheme="minorEastAsia" w:hAnsi="Times New Roman" w:cs="Times New Roman"/>
          <w:sz w:val="24"/>
          <w:szCs w:val="24"/>
        </w:rPr>
        <w:t xml:space="preserve"> particularly for women in improving SWB. </w:t>
      </w:r>
    </w:p>
    <w:p w14:paraId="1656F8EB" w14:textId="77777777" w:rsidR="00995E98" w:rsidRPr="00292E37" w:rsidRDefault="00995E98" w:rsidP="00995E98">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 xml:space="preserve">Initial Consumption  </w:t>
      </w:r>
    </w:p>
    <w:p w14:paraId="219811D6" w14:textId="77777777" w:rsidR="00777A8D" w:rsidRDefault="00995E98" w:rsidP="00995E98">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The relationship between change in </w:t>
      </w:r>
      <w:r w:rsidR="00777A8D">
        <w:rPr>
          <w:rFonts w:ascii="Times New Roman" w:eastAsiaTheme="minorEastAsia" w:hAnsi="Times New Roman" w:cs="Times New Roman"/>
          <w:sz w:val="24"/>
          <w:szCs w:val="24"/>
        </w:rPr>
        <w:t xml:space="preserve">subjective well-being </w:t>
      </w:r>
      <w:r w:rsidRPr="008269E4">
        <w:rPr>
          <w:rFonts w:ascii="Times New Roman" w:eastAsiaTheme="minorEastAsia" w:hAnsi="Times New Roman" w:cs="Times New Roman"/>
          <w:sz w:val="24"/>
          <w:szCs w:val="24"/>
        </w:rPr>
        <w:t>and income remains controversial with some studies reporting a positive relationship and others a varying relationship</w:t>
      </w:r>
      <w:r w:rsidR="00561A5A">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 depending on the region (</w:t>
      </w:r>
      <w:proofErr w:type="spellStart"/>
      <w:r w:rsidRPr="008269E4">
        <w:rPr>
          <w:rFonts w:ascii="Times New Roman" w:eastAsiaTheme="minorEastAsia" w:hAnsi="Times New Roman" w:cs="Times New Roman"/>
          <w:sz w:val="24"/>
          <w:szCs w:val="24"/>
        </w:rPr>
        <w:t>Kahneman</w:t>
      </w:r>
      <w:proofErr w:type="spellEnd"/>
      <w:r w:rsidRPr="008269E4">
        <w:rPr>
          <w:rFonts w:ascii="Times New Roman" w:eastAsiaTheme="minorEastAsia" w:hAnsi="Times New Roman" w:cs="Times New Roman"/>
          <w:sz w:val="24"/>
          <w:szCs w:val="24"/>
        </w:rPr>
        <w:t xml:space="preserve"> and Deaton, 2010). Following Deaton (2011), we use the log of per capita expenditure as a proxy for the log of per capita income. Our results show a positive and significant relation between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SWB</w:t>
      </w:r>
      <w:r w:rsidR="004D372C">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 xml:space="preserve">and </w:t>
      </w:r>
      <w:r w:rsidR="00777A8D">
        <w:rPr>
          <w:rFonts w:ascii="Times New Roman" w:eastAsiaTheme="minorEastAsia" w:hAnsi="Times New Roman" w:cs="Times New Roman"/>
          <w:sz w:val="24"/>
          <w:szCs w:val="24"/>
        </w:rPr>
        <w:t xml:space="preserve">initial </w:t>
      </w:r>
      <w:r w:rsidRPr="008269E4">
        <w:rPr>
          <w:rFonts w:ascii="Times New Roman" w:eastAsiaTheme="minorEastAsia" w:hAnsi="Times New Roman" w:cs="Times New Roman"/>
          <w:sz w:val="24"/>
          <w:szCs w:val="24"/>
        </w:rPr>
        <w:t xml:space="preserve">expenditure, implying the higher the </w:t>
      </w:r>
      <w:r w:rsidR="00561A5A">
        <w:rPr>
          <w:rFonts w:ascii="Times New Roman" w:eastAsiaTheme="minorEastAsia" w:hAnsi="Times New Roman" w:cs="Times New Roman"/>
          <w:sz w:val="24"/>
          <w:szCs w:val="24"/>
        </w:rPr>
        <w:t xml:space="preserve">initial </w:t>
      </w:r>
      <w:r w:rsidRPr="008269E4">
        <w:rPr>
          <w:rFonts w:ascii="Times New Roman" w:eastAsiaTheme="minorEastAsia" w:hAnsi="Times New Roman" w:cs="Times New Roman"/>
          <w:sz w:val="24"/>
          <w:szCs w:val="24"/>
        </w:rPr>
        <w:t>expenditure, the higher is change in SWB</w:t>
      </w:r>
      <w:r w:rsidR="007123B7">
        <w:rPr>
          <w:rFonts w:ascii="Times New Roman" w:eastAsiaTheme="minorEastAsia" w:hAnsi="Times New Roman" w:cs="Times New Roman"/>
          <w:sz w:val="24"/>
          <w:szCs w:val="24"/>
        </w:rPr>
        <w:t>, with the probability of moving up by one category as</w:t>
      </w:r>
      <w:r w:rsidR="00777A8D">
        <w:rPr>
          <w:rFonts w:ascii="Times New Roman" w:eastAsiaTheme="minorEastAsia" w:hAnsi="Times New Roman" w:cs="Times New Roman"/>
          <w:sz w:val="24"/>
          <w:szCs w:val="24"/>
        </w:rPr>
        <w:t xml:space="preserve"> 0.45% </w:t>
      </w:r>
      <w:r>
        <w:rPr>
          <w:rFonts w:ascii="Times New Roman" w:eastAsiaTheme="minorEastAsia" w:hAnsi="Times New Roman" w:cs="Times New Roman"/>
          <w:sz w:val="24"/>
          <w:szCs w:val="24"/>
        </w:rPr>
        <w:t xml:space="preserve">(Table 2). </w:t>
      </w:r>
      <w:r w:rsidR="00777A8D">
        <w:rPr>
          <w:rFonts w:ascii="Times New Roman" w:eastAsiaTheme="minorEastAsia" w:hAnsi="Times New Roman" w:cs="Times New Roman"/>
          <w:sz w:val="24"/>
          <w:szCs w:val="24"/>
        </w:rPr>
        <w:t>The corresponding estimate is 0.</w:t>
      </w:r>
      <w:r w:rsidR="007123B7">
        <w:rPr>
          <w:rFonts w:ascii="Times New Roman" w:eastAsiaTheme="minorEastAsia" w:hAnsi="Times New Roman" w:cs="Times New Roman"/>
          <w:sz w:val="24"/>
          <w:szCs w:val="24"/>
        </w:rPr>
        <w:t>44</w:t>
      </w:r>
      <w:r w:rsidR="00777A8D">
        <w:rPr>
          <w:rFonts w:ascii="Times New Roman" w:eastAsiaTheme="minorEastAsia" w:hAnsi="Times New Roman" w:cs="Times New Roman"/>
          <w:sz w:val="24"/>
          <w:szCs w:val="24"/>
        </w:rPr>
        <w:t>% in Table 3. However, the sign is reversed as higher initial expenditure reduces the growth rate of per capita consumption.</w:t>
      </w:r>
      <w:r w:rsidR="00C13656">
        <w:rPr>
          <w:rStyle w:val="FootnoteReference"/>
          <w:rFonts w:ascii="Times New Roman" w:eastAsiaTheme="minorEastAsia" w:hAnsi="Times New Roman" w:cs="Times New Roman"/>
          <w:sz w:val="24"/>
          <w:szCs w:val="24"/>
        </w:rPr>
        <w:footnoteReference w:id="17"/>
      </w:r>
    </w:p>
    <w:p w14:paraId="61F0F6A3" w14:textId="77777777" w:rsidR="003475EE" w:rsidRDefault="003475EE" w:rsidP="003475EE">
      <w:pPr>
        <w:jc w:val="center"/>
        <w:rPr>
          <w:rFonts w:ascii="Times New Roman" w:hAnsi="Times New Roman" w:cs="Times New Roman"/>
          <w:b/>
          <w:sz w:val="24"/>
          <w:szCs w:val="24"/>
        </w:rPr>
      </w:pPr>
      <w:r>
        <w:rPr>
          <w:rFonts w:ascii="Times New Roman" w:hAnsi="Times New Roman" w:cs="Times New Roman"/>
          <w:b/>
          <w:sz w:val="24"/>
          <w:szCs w:val="24"/>
        </w:rPr>
        <w:t xml:space="preserve">(c) Other </w:t>
      </w:r>
      <w:r w:rsidR="00561A5A">
        <w:rPr>
          <w:rFonts w:ascii="Times New Roman" w:hAnsi="Times New Roman" w:cs="Times New Roman"/>
          <w:b/>
          <w:sz w:val="24"/>
          <w:szCs w:val="24"/>
        </w:rPr>
        <w:t>Covariates</w:t>
      </w:r>
      <w:r>
        <w:rPr>
          <w:rFonts w:ascii="Times New Roman" w:hAnsi="Times New Roman" w:cs="Times New Roman"/>
          <w:b/>
          <w:sz w:val="24"/>
          <w:szCs w:val="24"/>
        </w:rPr>
        <w:t xml:space="preserve"> of ∆SWB</w:t>
      </w:r>
      <w:r w:rsidR="008C3CC7">
        <w:rPr>
          <w:rFonts w:ascii="Times New Roman" w:hAnsi="Times New Roman" w:cs="Times New Roman"/>
          <w:b/>
          <w:sz w:val="24"/>
          <w:szCs w:val="24"/>
        </w:rPr>
        <w:t xml:space="preserve"> and ∆OWB</w:t>
      </w:r>
    </w:p>
    <w:p w14:paraId="7432B862" w14:textId="77777777" w:rsidR="008C3CC7" w:rsidRDefault="008C3CC7" w:rsidP="008C3CC7">
      <w:pPr>
        <w:rPr>
          <w:rFonts w:ascii="Times New Roman" w:hAnsi="Times New Roman" w:cs="Times New Roman"/>
          <w:b/>
          <w:sz w:val="24"/>
          <w:szCs w:val="24"/>
        </w:rPr>
      </w:pPr>
      <w:r>
        <w:rPr>
          <w:rFonts w:ascii="Times New Roman" w:eastAsiaTheme="minorEastAsia" w:hAnsi="Times New Roman" w:cs="Times New Roman"/>
          <w:i/>
          <w:sz w:val="24"/>
          <w:szCs w:val="24"/>
        </w:rPr>
        <w:t xml:space="preserve">Remittances  </w:t>
      </w:r>
    </w:p>
    <w:p w14:paraId="58D87A64" w14:textId="77777777" w:rsidR="00684B1B" w:rsidRPr="008269E4" w:rsidRDefault="003C2698" w:rsidP="00684B1B">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As </w:t>
      </w:r>
      <w:r w:rsidR="008C3CC7">
        <w:rPr>
          <w:rFonts w:ascii="Times New Roman" w:eastAsiaTheme="minorEastAsia" w:hAnsi="Times New Roman" w:cs="Times New Roman"/>
          <w:sz w:val="24"/>
          <w:szCs w:val="24"/>
        </w:rPr>
        <w:t>remittances</w:t>
      </w:r>
      <w:r w:rsidRPr="008269E4">
        <w:rPr>
          <w:rFonts w:ascii="Times New Roman" w:eastAsiaTheme="minorEastAsia" w:hAnsi="Times New Roman" w:cs="Times New Roman"/>
          <w:sz w:val="24"/>
          <w:szCs w:val="24"/>
        </w:rPr>
        <w:t xml:space="preserve"> include international transfers mostly from </w:t>
      </w:r>
      <w:r w:rsidR="00965D49" w:rsidRPr="008269E4">
        <w:rPr>
          <w:rFonts w:ascii="Times New Roman" w:eastAsiaTheme="minorEastAsia" w:hAnsi="Times New Roman" w:cs="Times New Roman"/>
          <w:sz w:val="24"/>
          <w:szCs w:val="24"/>
        </w:rPr>
        <w:t xml:space="preserve">non-resident </w:t>
      </w:r>
      <w:r w:rsidRPr="008269E4">
        <w:rPr>
          <w:rFonts w:ascii="Times New Roman" w:eastAsiaTheme="minorEastAsia" w:hAnsi="Times New Roman" w:cs="Times New Roman"/>
          <w:sz w:val="24"/>
          <w:szCs w:val="24"/>
        </w:rPr>
        <w:t>relatives and acquaintances, they are in a large number of cases an important supplement to household income/expenditure</w:t>
      </w:r>
      <w:r w:rsidR="004D372C">
        <w:rPr>
          <w:rFonts w:ascii="Times New Roman" w:eastAsiaTheme="minorEastAsia" w:hAnsi="Times New Roman" w:cs="Times New Roman"/>
          <w:sz w:val="24"/>
          <w:szCs w:val="24"/>
        </w:rPr>
        <w:t xml:space="preserve"> </w:t>
      </w:r>
      <w:r w:rsidR="00684B1B" w:rsidRPr="008269E4">
        <w:rPr>
          <w:rFonts w:ascii="Times New Roman" w:eastAsiaTheme="minorEastAsia" w:hAnsi="Times New Roman" w:cs="Times New Roman"/>
          <w:sz w:val="24"/>
          <w:szCs w:val="24"/>
        </w:rPr>
        <w:t>(Imai et al. 2014).</w:t>
      </w:r>
      <w:r w:rsidRPr="008269E4">
        <w:rPr>
          <w:rFonts w:ascii="Times New Roman" w:eastAsiaTheme="minorEastAsia" w:hAnsi="Times New Roman" w:cs="Times New Roman"/>
          <w:sz w:val="24"/>
          <w:szCs w:val="24"/>
        </w:rPr>
        <w:t xml:space="preserve"> As expected, these are associated with higher </w:t>
      </w:r>
      <w:r w:rsidR="008C3CC7">
        <w:rPr>
          <w:rFonts w:ascii="Times New Roman" w:eastAsiaTheme="minorEastAsia" w:hAnsi="Times New Roman" w:cs="Times New Roman"/>
          <w:sz w:val="24"/>
          <w:szCs w:val="24"/>
        </w:rPr>
        <w:t>∆SWB, but not ∆</w:t>
      </w:r>
      <w:r w:rsidR="00684B1B">
        <w:rPr>
          <w:rFonts w:ascii="Times New Roman" w:eastAsiaTheme="minorEastAsia" w:hAnsi="Times New Roman" w:cs="Times New Roman"/>
          <w:sz w:val="24"/>
          <w:szCs w:val="24"/>
        </w:rPr>
        <w:t xml:space="preserve">OWB (Table 2). </w:t>
      </w:r>
      <w:r w:rsidR="00684B1B" w:rsidRPr="008269E4">
        <w:rPr>
          <w:rFonts w:ascii="Times New Roman" w:eastAsiaTheme="minorEastAsia" w:hAnsi="Times New Roman" w:cs="Times New Roman"/>
          <w:sz w:val="24"/>
          <w:szCs w:val="24"/>
        </w:rPr>
        <w:t>Households receiving remittances are less likely to be worse-off and just the same and more likely to be better-of</w:t>
      </w:r>
      <w:r w:rsidR="00684B1B">
        <w:rPr>
          <w:rFonts w:ascii="Times New Roman" w:eastAsiaTheme="minorEastAsia" w:hAnsi="Times New Roman" w:cs="Times New Roman"/>
          <w:sz w:val="24"/>
          <w:szCs w:val="24"/>
        </w:rPr>
        <w:t xml:space="preserve">f, relative to those who do not </w:t>
      </w:r>
      <w:r w:rsidR="00561A5A">
        <w:rPr>
          <w:rFonts w:ascii="Times New Roman" w:eastAsiaTheme="minorEastAsia" w:hAnsi="Times New Roman" w:cs="Times New Roman"/>
          <w:sz w:val="24"/>
          <w:szCs w:val="24"/>
        </w:rPr>
        <w:t>in the case of</w:t>
      </w:r>
      <w:r w:rsidR="00684B1B">
        <w:rPr>
          <w:rFonts w:ascii="Times New Roman" w:eastAsiaTheme="minorEastAsia" w:hAnsi="Times New Roman" w:cs="Times New Roman"/>
          <w:sz w:val="24"/>
          <w:szCs w:val="24"/>
        </w:rPr>
        <w:t xml:space="preserve"> ∆SWB, but </w:t>
      </w:r>
      <w:r w:rsidR="00561A5A">
        <w:rPr>
          <w:rFonts w:ascii="Times New Roman" w:eastAsiaTheme="minorEastAsia" w:hAnsi="Times New Roman" w:cs="Times New Roman"/>
          <w:sz w:val="24"/>
          <w:szCs w:val="24"/>
        </w:rPr>
        <w:t>not in the case of</w:t>
      </w:r>
      <w:r w:rsidR="00684B1B">
        <w:rPr>
          <w:rFonts w:ascii="Times New Roman" w:eastAsiaTheme="minorEastAsia" w:hAnsi="Times New Roman" w:cs="Times New Roman"/>
          <w:sz w:val="24"/>
          <w:szCs w:val="24"/>
        </w:rPr>
        <w:t xml:space="preserve"> ∆OWB (Table 3). </w:t>
      </w:r>
    </w:p>
    <w:p w14:paraId="03DC32A9" w14:textId="77777777" w:rsidR="00CC0C9B" w:rsidRPr="008C3CC7" w:rsidRDefault="008C3CC7" w:rsidP="003C2698">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lastRenderedPageBreak/>
        <w:t xml:space="preserve">Other </w:t>
      </w:r>
      <w:r w:rsidR="00561A5A">
        <w:rPr>
          <w:rFonts w:ascii="Times New Roman" w:eastAsiaTheme="minorEastAsia" w:hAnsi="Times New Roman" w:cs="Times New Roman"/>
          <w:i/>
          <w:sz w:val="24"/>
          <w:szCs w:val="24"/>
        </w:rPr>
        <w:t>Covariates</w:t>
      </w:r>
    </w:p>
    <w:p w14:paraId="31903930" w14:textId="7784E1E1" w:rsidR="003C2698" w:rsidRPr="008269E4" w:rsidRDefault="003C2698" w:rsidP="003C2698">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Marital status is found to be closely linked to SWB-in particular, the married are found to enjoy higher SWB</w:t>
      </w:r>
      <w:r w:rsidR="00BD6F81" w:rsidRPr="008269E4">
        <w:rPr>
          <w:rFonts w:ascii="Times New Roman" w:eastAsiaTheme="minorEastAsia" w:hAnsi="Times New Roman" w:cs="Times New Roman"/>
          <w:sz w:val="24"/>
          <w:szCs w:val="24"/>
        </w:rPr>
        <w:t xml:space="preserve"> (</w:t>
      </w:r>
      <w:proofErr w:type="spellStart"/>
      <w:r w:rsidR="00BD6F81" w:rsidRPr="008269E4">
        <w:rPr>
          <w:rFonts w:ascii="Times New Roman" w:eastAsiaTheme="minorEastAsia" w:hAnsi="Times New Roman" w:cs="Times New Roman"/>
          <w:sz w:val="24"/>
          <w:szCs w:val="24"/>
        </w:rPr>
        <w:t>Helliwell</w:t>
      </w:r>
      <w:proofErr w:type="spellEnd"/>
      <w:r w:rsidR="00BD6F81" w:rsidRPr="008269E4">
        <w:rPr>
          <w:rFonts w:ascii="Times New Roman" w:eastAsiaTheme="minorEastAsia" w:hAnsi="Times New Roman" w:cs="Times New Roman"/>
          <w:sz w:val="24"/>
          <w:szCs w:val="24"/>
        </w:rPr>
        <w:t>, 2003)</w:t>
      </w:r>
      <w:r w:rsidRPr="008269E4">
        <w:rPr>
          <w:rFonts w:ascii="Times New Roman" w:eastAsiaTheme="minorEastAsia" w:hAnsi="Times New Roman" w:cs="Times New Roman"/>
          <w:sz w:val="24"/>
          <w:szCs w:val="24"/>
        </w:rPr>
        <w:t xml:space="preserve">. IHDS allows us to disaggregate marital status into: married, unmarried, separated and divorced. As </w:t>
      </w:r>
      <w:r w:rsidR="008D0347" w:rsidRPr="008269E4">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the married</w:t>
      </w:r>
      <w:r w:rsidR="008D0347" w:rsidRPr="008269E4">
        <w:rPr>
          <w:rFonts w:ascii="Times New Roman" w:eastAsiaTheme="minorEastAsia" w:hAnsi="Times New Roman" w:cs="Times New Roman"/>
          <w:sz w:val="24"/>
          <w:szCs w:val="24"/>
        </w:rPr>
        <w:t>’</w:t>
      </w:r>
      <w:r w:rsidR="004D372C">
        <w:rPr>
          <w:rFonts w:ascii="Times New Roman" w:eastAsiaTheme="minorEastAsia" w:hAnsi="Times New Roman" w:cs="Times New Roman"/>
          <w:sz w:val="24"/>
          <w:szCs w:val="24"/>
        </w:rPr>
        <w:t xml:space="preserve"> </w:t>
      </w:r>
      <w:r w:rsidR="008D0347" w:rsidRPr="008269E4">
        <w:rPr>
          <w:rFonts w:ascii="Times New Roman" w:eastAsiaTheme="minorEastAsia" w:hAnsi="Times New Roman" w:cs="Times New Roman"/>
          <w:sz w:val="24"/>
          <w:szCs w:val="24"/>
        </w:rPr>
        <w:t>is</w:t>
      </w:r>
      <w:r w:rsidRPr="008269E4">
        <w:rPr>
          <w:rFonts w:ascii="Times New Roman" w:eastAsiaTheme="minorEastAsia" w:hAnsi="Times New Roman" w:cs="Times New Roman"/>
          <w:sz w:val="24"/>
          <w:szCs w:val="24"/>
        </w:rPr>
        <w:t xml:space="preserve"> the largest category, this is omitted. </w:t>
      </w:r>
      <w:r w:rsidR="00BD6F81" w:rsidRPr="008269E4">
        <w:rPr>
          <w:rFonts w:ascii="Times New Roman" w:eastAsiaTheme="minorEastAsia" w:hAnsi="Times New Roman" w:cs="Times New Roman"/>
          <w:sz w:val="24"/>
          <w:szCs w:val="24"/>
        </w:rPr>
        <w:t xml:space="preserve">Neither unmarried nor </w:t>
      </w:r>
      <w:r w:rsidR="00EE431D" w:rsidRPr="008269E4">
        <w:rPr>
          <w:rFonts w:ascii="Times New Roman" w:eastAsiaTheme="minorEastAsia" w:hAnsi="Times New Roman" w:cs="Times New Roman"/>
          <w:sz w:val="24"/>
          <w:szCs w:val="24"/>
        </w:rPr>
        <w:t xml:space="preserve">widowed </w:t>
      </w:r>
      <w:r w:rsidR="00BD6F81" w:rsidRPr="008269E4">
        <w:rPr>
          <w:rFonts w:ascii="Times New Roman" w:eastAsiaTheme="minorEastAsia" w:hAnsi="Times New Roman" w:cs="Times New Roman"/>
          <w:sz w:val="24"/>
          <w:szCs w:val="24"/>
        </w:rPr>
        <w:t>and divorced show significant differen</w:t>
      </w:r>
      <w:r w:rsidR="0070365B">
        <w:rPr>
          <w:rFonts w:ascii="Times New Roman" w:eastAsiaTheme="minorEastAsia" w:hAnsi="Times New Roman" w:cs="Times New Roman"/>
          <w:sz w:val="24"/>
          <w:szCs w:val="24"/>
        </w:rPr>
        <w:t>ces</w:t>
      </w:r>
      <w:r w:rsidR="004D372C">
        <w:rPr>
          <w:rFonts w:ascii="Times New Roman" w:eastAsiaTheme="minorEastAsia" w:hAnsi="Times New Roman" w:cs="Times New Roman"/>
          <w:sz w:val="24"/>
          <w:szCs w:val="24"/>
        </w:rPr>
        <w:t xml:space="preserve"> </w:t>
      </w:r>
      <w:r w:rsidR="008C3CC7">
        <w:rPr>
          <w:rFonts w:ascii="Times New Roman" w:eastAsiaTheme="minorEastAsia" w:hAnsi="Times New Roman" w:cs="Times New Roman"/>
          <w:sz w:val="24"/>
          <w:szCs w:val="24"/>
        </w:rPr>
        <w:t xml:space="preserve">in terms of ∆SWB or ∆OWB (Tables 2 and 3). It is </w:t>
      </w:r>
      <w:r w:rsidR="00BD6F81" w:rsidRPr="008269E4">
        <w:rPr>
          <w:rFonts w:ascii="Times New Roman" w:eastAsiaTheme="minorEastAsia" w:hAnsi="Times New Roman" w:cs="Times New Roman"/>
          <w:sz w:val="24"/>
          <w:szCs w:val="24"/>
        </w:rPr>
        <w:t xml:space="preserve">important to bear in mind that </w:t>
      </w:r>
      <w:r w:rsidR="008C3CC7">
        <w:rPr>
          <w:rFonts w:ascii="Times New Roman" w:eastAsiaTheme="minorEastAsia" w:hAnsi="Times New Roman" w:cs="Times New Roman"/>
          <w:sz w:val="24"/>
          <w:szCs w:val="24"/>
        </w:rPr>
        <w:t xml:space="preserve">married women do not enjoy improvement in their subjective or objective </w:t>
      </w:r>
      <w:r w:rsidR="00BD6F81" w:rsidRPr="008269E4">
        <w:rPr>
          <w:rFonts w:ascii="Times New Roman" w:eastAsiaTheme="minorEastAsia" w:hAnsi="Times New Roman" w:cs="Times New Roman"/>
          <w:sz w:val="24"/>
          <w:szCs w:val="24"/>
        </w:rPr>
        <w:t>well-being</w:t>
      </w:r>
      <w:r w:rsidR="006E2F04" w:rsidRPr="008269E4">
        <w:rPr>
          <w:rFonts w:ascii="Times New Roman" w:eastAsiaTheme="minorEastAsia" w:hAnsi="Times New Roman" w:cs="Times New Roman"/>
          <w:sz w:val="24"/>
          <w:szCs w:val="24"/>
        </w:rPr>
        <w:t xml:space="preserve">. This </w:t>
      </w:r>
      <w:r w:rsidR="0070365B">
        <w:rPr>
          <w:rFonts w:ascii="Times New Roman" w:eastAsiaTheme="minorEastAsia" w:hAnsi="Times New Roman" w:cs="Times New Roman"/>
          <w:sz w:val="24"/>
          <w:szCs w:val="24"/>
        </w:rPr>
        <w:t>may seem</w:t>
      </w:r>
      <w:r w:rsidR="006E2F04" w:rsidRPr="008269E4">
        <w:rPr>
          <w:rFonts w:ascii="Times New Roman" w:eastAsiaTheme="minorEastAsia" w:hAnsi="Times New Roman" w:cs="Times New Roman"/>
          <w:sz w:val="24"/>
          <w:szCs w:val="24"/>
        </w:rPr>
        <w:t xml:space="preserve"> counter-intuitive, but </w:t>
      </w:r>
      <w:r w:rsidR="00A0256F">
        <w:rPr>
          <w:rFonts w:ascii="Times New Roman" w:eastAsiaTheme="minorEastAsia" w:hAnsi="Times New Roman" w:cs="Times New Roman"/>
          <w:sz w:val="24"/>
          <w:szCs w:val="24"/>
        </w:rPr>
        <w:t>is not</w:t>
      </w:r>
      <w:r w:rsidR="00BD6F81" w:rsidRPr="008269E4">
        <w:rPr>
          <w:rFonts w:ascii="Times New Roman" w:eastAsiaTheme="minorEastAsia" w:hAnsi="Times New Roman" w:cs="Times New Roman"/>
          <w:sz w:val="24"/>
          <w:szCs w:val="24"/>
        </w:rPr>
        <w:t xml:space="preserve"> because </w:t>
      </w:r>
      <w:r w:rsidR="005B2809">
        <w:rPr>
          <w:rFonts w:ascii="Times New Roman" w:eastAsiaTheme="minorEastAsia" w:hAnsi="Times New Roman" w:cs="Times New Roman"/>
          <w:sz w:val="24"/>
          <w:szCs w:val="24"/>
        </w:rPr>
        <w:t>many</w:t>
      </w:r>
      <w:r w:rsidR="005B2809" w:rsidRPr="008269E4">
        <w:rPr>
          <w:rFonts w:ascii="Times New Roman" w:eastAsiaTheme="minorEastAsia" w:hAnsi="Times New Roman" w:cs="Times New Roman"/>
          <w:sz w:val="24"/>
          <w:szCs w:val="24"/>
        </w:rPr>
        <w:t xml:space="preserve"> </w:t>
      </w:r>
      <w:r w:rsidR="006E2F04" w:rsidRPr="008269E4">
        <w:rPr>
          <w:rFonts w:ascii="Times New Roman" w:eastAsiaTheme="minorEastAsia" w:hAnsi="Times New Roman" w:cs="Times New Roman"/>
          <w:sz w:val="24"/>
          <w:szCs w:val="24"/>
        </w:rPr>
        <w:t xml:space="preserve">of the married women </w:t>
      </w:r>
      <w:r w:rsidR="00BD6F81" w:rsidRPr="008269E4">
        <w:rPr>
          <w:rFonts w:ascii="Times New Roman" w:eastAsiaTheme="minorEastAsia" w:hAnsi="Times New Roman" w:cs="Times New Roman"/>
          <w:sz w:val="24"/>
          <w:szCs w:val="24"/>
        </w:rPr>
        <w:t>are subject to intimate partner violence</w:t>
      </w:r>
      <w:r w:rsidR="003D4EC9" w:rsidRPr="008269E4">
        <w:rPr>
          <w:rFonts w:ascii="Times New Roman" w:eastAsiaTheme="minorEastAsia" w:hAnsi="Times New Roman" w:cs="Times New Roman"/>
          <w:sz w:val="24"/>
          <w:szCs w:val="24"/>
        </w:rPr>
        <w:t xml:space="preserve"> including marital </w:t>
      </w:r>
      <w:r w:rsidR="00D020CE" w:rsidRPr="008269E4">
        <w:rPr>
          <w:rFonts w:ascii="Times New Roman" w:eastAsiaTheme="minorEastAsia" w:hAnsi="Times New Roman" w:cs="Times New Roman"/>
          <w:sz w:val="24"/>
          <w:szCs w:val="24"/>
        </w:rPr>
        <w:t>‘</w:t>
      </w:r>
      <w:r w:rsidR="003D4EC9" w:rsidRPr="008269E4">
        <w:rPr>
          <w:rFonts w:ascii="Times New Roman" w:eastAsiaTheme="minorEastAsia" w:hAnsi="Times New Roman" w:cs="Times New Roman"/>
          <w:sz w:val="24"/>
          <w:szCs w:val="24"/>
        </w:rPr>
        <w:t>rape</w:t>
      </w:r>
      <w:r w:rsidR="00D020CE" w:rsidRPr="008269E4">
        <w:rPr>
          <w:rFonts w:ascii="Times New Roman" w:eastAsiaTheme="minorEastAsia" w:hAnsi="Times New Roman" w:cs="Times New Roman"/>
          <w:sz w:val="24"/>
          <w:szCs w:val="24"/>
        </w:rPr>
        <w:t>’</w:t>
      </w:r>
      <w:r w:rsidR="003D4EC9" w:rsidRPr="008269E4">
        <w:rPr>
          <w:rFonts w:ascii="Times New Roman" w:eastAsiaTheme="minorEastAsia" w:hAnsi="Times New Roman" w:cs="Times New Roman"/>
          <w:sz w:val="24"/>
          <w:szCs w:val="24"/>
        </w:rPr>
        <w:t>.</w:t>
      </w:r>
    </w:p>
    <w:p w14:paraId="04EEBE55" w14:textId="4AF77EF0" w:rsidR="003C2698" w:rsidRPr="008269E4" w:rsidRDefault="003C2698" w:rsidP="003C2698">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There are frequent conflicts in the local neighbourhood, some minor and others not minor and on a larger scale. Inter-caste conflicts (</w:t>
      </w:r>
      <w:r w:rsidR="00893F7F" w:rsidRPr="008269E4">
        <w:rPr>
          <w:rFonts w:ascii="Times New Roman" w:eastAsiaTheme="minorEastAsia" w:hAnsi="Times New Roman" w:cs="Times New Roman"/>
          <w:sz w:val="24"/>
          <w:szCs w:val="24"/>
        </w:rPr>
        <w:t>e.g.,</w:t>
      </w:r>
      <w:r w:rsidRPr="008269E4">
        <w:rPr>
          <w:rFonts w:ascii="Times New Roman" w:eastAsiaTheme="minorEastAsia" w:hAnsi="Times New Roman" w:cs="Times New Roman"/>
          <w:sz w:val="24"/>
          <w:szCs w:val="24"/>
        </w:rPr>
        <w:t xml:space="preserve"> rape of a </w:t>
      </w:r>
      <w:r w:rsidRPr="008269E4">
        <w:rPr>
          <w:rFonts w:ascii="Times New Roman" w:eastAsiaTheme="minorEastAsia" w:hAnsi="Times New Roman" w:cs="Times New Roman"/>
          <w:i/>
          <w:sz w:val="24"/>
          <w:szCs w:val="24"/>
        </w:rPr>
        <w:t>Dalit</w:t>
      </w:r>
      <w:r w:rsidRPr="008269E4">
        <w:rPr>
          <w:rFonts w:ascii="Times New Roman" w:eastAsiaTheme="minorEastAsia" w:hAnsi="Times New Roman" w:cs="Times New Roman"/>
          <w:sz w:val="24"/>
          <w:szCs w:val="24"/>
        </w:rPr>
        <w:t xml:space="preserve"> woman), dispute</w:t>
      </w:r>
      <w:r w:rsidR="002F6BEA" w:rsidRPr="008269E4">
        <w:rPr>
          <w:rFonts w:ascii="Times New Roman" w:eastAsiaTheme="minorEastAsia" w:hAnsi="Times New Roman" w:cs="Times New Roman"/>
          <w:sz w:val="24"/>
          <w:szCs w:val="24"/>
        </w:rPr>
        <w:t>s</w:t>
      </w:r>
      <w:r w:rsidRPr="008269E4">
        <w:rPr>
          <w:rFonts w:ascii="Times New Roman" w:eastAsiaTheme="minorEastAsia" w:hAnsi="Times New Roman" w:cs="Times New Roman"/>
          <w:sz w:val="24"/>
          <w:szCs w:val="24"/>
        </w:rPr>
        <w:t xml:space="preserve"> over ownership of land or property, and communal riots vary in scale and intensity. Relative</w:t>
      </w:r>
      <w:r w:rsidR="00426A6E" w:rsidRPr="008269E4">
        <w:rPr>
          <w:rFonts w:ascii="Times New Roman" w:eastAsiaTheme="minorEastAsia" w:hAnsi="Times New Roman" w:cs="Times New Roman"/>
          <w:sz w:val="24"/>
          <w:szCs w:val="24"/>
        </w:rPr>
        <w:t xml:space="preserve"> to</w:t>
      </w:r>
      <w:r w:rsidRPr="008269E4">
        <w:rPr>
          <w:rFonts w:ascii="Times New Roman" w:eastAsiaTheme="minorEastAsia" w:hAnsi="Times New Roman" w:cs="Times New Roman"/>
          <w:sz w:val="24"/>
          <w:szCs w:val="24"/>
        </w:rPr>
        <w:t xml:space="preserve"> no conflict, conflicts are </w:t>
      </w:r>
      <w:r w:rsidR="009114B3" w:rsidRPr="008269E4">
        <w:rPr>
          <w:rFonts w:ascii="Times New Roman" w:eastAsiaTheme="minorEastAsia" w:hAnsi="Times New Roman" w:cs="Times New Roman"/>
          <w:sz w:val="24"/>
          <w:szCs w:val="24"/>
        </w:rPr>
        <w:t xml:space="preserve">associated with a significantly </w:t>
      </w:r>
      <w:r w:rsidR="00D40097">
        <w:rPr>
          <w:rFonts w:ascii="Times New Roman" w:eastAsiaTheme="minorEastAsia" w:hAnsi="Times New Roman" w:cs="Times New Roman"/>
          <w:sz w:val="24"/>
          <w:szCs w:val="24"/>
        </w:rPr>
        <w:t>lower</w:t>
      </w:r>
      <w:r w:rsidR="009114B3" w:rsidRPr="008269E4">
        <w:rPr>
          <w:rFonts w:ascii="Times New Roman" w:eastAsiaTheme="minorEastAsia" w:hAnsi="Times New Roman" w:cs="Times New Roman"/>
          <w:sz w:val="24"/>
          <w:szCs w:val="24"/>
        </w:rPr>
        <w:t xml:space="preserve"> well-being</w:t>
      </w:r>
      <w:r w:rsidR="00FF7ED1">
        <w:rPr>
          <w:rFonts w:ascii="Times New Roman" w:eastAsiaTheme="minorEastAsia" w:hAnsi="Times New Roman" w:cs="Times New Roman"/>
          <w:sz w:val="24"/>
          <w:szCs w:val="24"/>
        </w:rPr>
        <w:t xml:space="preserve"> changes for ∆OWB (Table</w:t>
      </w:r>
      <w:r w:rsidR="00D40097">
        <w:rPr>
          <w:rFonts w:ascii="Times New Roman" w:eastAsiaTheme="minorEastAsia" w:hAnsi="Times New Roman" w:cs="Times New Roman"/>
          <w:sz w:val="24"/>
          <w:szCs w:val="24"/>
        </w:rPr>
        <w:t>s2 and 3</w:t>
      </w:r>
      <w:r w:rsidR="00FF7ED1">
        <w:rPr>
          <w:rFonts w:ascii="Times New Roman" w:eastAsiaTheme="minorEastAsia" w:hAnsi="Times New Roman" w:cs="Times New Roman"/>
          <w:sz w:val="24"/>
          <w:szCs w:val="24"/>
        </w:rPr>
        <w:t>)</w:t>
      </w:r>
      <w:r w:rsidR="009114B3" w:rsidRPr="008269E4">
        <w:rPr>
          <w:rFonts w:ascii="Times New Roman" w:eastAsiaTheme="minorEastAsia" w:hAnsi="Times New Roman" w:cs="Times New Roman"/>
          <w:sz w:val="24"/>
          <w:szCs w:val="24"/>
        </w:rPr>
        <w:t xml:space="preserve">. </w:t>
      </w:r>
      <w:r w:rsidR="00D40097">
        <w:rPr>
          <w:rFonts w:ascii="Times New Roman" w:eastAsiaTheme="minorEastAsia" w:hAnsi="Times New Roman" w:cs="Times New Roman"/>
          <w:sz w:val="24"/>
          <w:szCs w:val="24"/>
        </w:rPr>
        <w:t xml:space="preserve">For ∆SWB conflict is statistically non-significant in Table 2 </w:t>
      </w:r>
      <w:r w:rsidR="0070365B">
        <w:rPr>
          <w:rFonts w:ascii="Times New Roman" w:eastAsiaTheme="minorEastAsia" w:hAnsi="Times New Roman" w:cs="Times New Roman"/>
          <w:sz w:val="24"/>
          <w:szCs w:val="24"/>
        </w:rPr>
        <w:t>but</w:t>
      </w:r>
      <w:r w:rsidR="00D40097">
        <w:rPr>
          <w:rFonts w:ascii="Times New Roman" w:eastAsiaTheme="minorEastAsia" w:hAnsi="Times New Roman" w:cs="Times New Roman"/>
          <w:sz w:val="24"/>
          <w:szCs w:val="24"/>
        </w:rPr>
        <w:t xml:space="preserve"> positive and significant in Table 3. The latter </w:t>
      </w:r>
      <w:r w:rsidR="00A830EA" w:rsidRPr="008269E4">
        <w:rPr>
          <w:rFonts w:ascii="Times New Roman" w:eastAsiaTheme="minorEastAsia" w:hAnsi="Times New Roman" w:cs="Times New Roman"/>
          <w:sz w:val="24"/>
          <w:szCs w:val="24"/>
        </w:rPr>
        <w:t xml:space="preserve">seems counter-intuitive, as even minor conflicts involve loss of property, loss of income and violence. </w:t>
      </w:r>
      <w:r w:rsidRPr="008269E4">
        <w:rPr>
          <w:rFonts w:ascii="Times New Roman" w:eastAsiaTheme="minorEastAsia" w:hAnsi="Times New Roman" w:cs="Times New Roman"/>
          <w:sz w:val="24"/>
          <w:szCs w:val="24"/>
        </w:rPr>
        <w:t xml:space="preserve">Another variable of interest is crimes. IHDS is confined to thefts. </w:t>
      </w:r>
      <w:r w:rsidR="00D40097">
        <w:rPr>
          <w:rFonts w:ascii="Times New Roman" w:eastAsiaTheme="minorEastAsia" w:hAnsi="Times New Roman" w:cs="Times New Roman"/>
          <w:sz w:val="24"/>
          <w:szCs w:val="24"/>
        </w:rPr>
        <w:t>T</w:t>
      </w:r>
      <w:r w:rsidR="008E1B27" w:rsidRPr="008269E4">
        <w:rPr>
          <w:rFonts w:ascii="Times New Roman" w:eastAsiaTheme="minorEastAsia" w:hAnsi="Times New Roman" w:cs="Times New Roman"/>
          <w:sz w:val="24"/>
          <w:szCs w:val="24"/>
        </w:rPr>
        <w:t xml:space="preserve">hefts are </w:t>
      </w:r>
      <w:r w:rsidR="00D47959" w:rsidRPr="008269E4">
        <w:rPr>
          <w:rFonts w:ascii="Times New Roman" w:eastAsiaTheme="minorEastAsia" w:hAnsi="Times New Roman" w:cs="Times New Roman"/>
          <w:sz w:val="24"/>
          <w:szCs w:val="24"/>
        </w:rPr>
        <w:t>not significantly</w:t>
      </w:r>
      <w:r w:rsidR="008E1B27" w:rsidRPr="008269E4">
        <w:rPr>
          <w:rFonts w:ascii="Times New Roman" w:eastAsiaTheme="minorEastAsia" w:hAnsi="Times New Roman" w:cs="Times New Roman"/>
          <w:sz w:val="24"/>
          <w:szCs w:val="24"/>
        </w:rPr>
        <w:t xml:space="preserve"> associated with </w:t>
      </w:r>
      <w:r w:rsidR="00FF7ED1">
        <w:rPr>
          <w:rFonts w:ascii="Times New Roman" w:eastAsiaTheme="minorEastAsia" w:hAnsi="Times New Roman" w:cs="Times New Roman"/>
          <w:sz w:val="24"/>
          <w:szCs w:val="24"/>
        </w:rPr>
        <w:t>∆</w:t>
      </w:r>
      <w:r w:rsidR="008E1B27" w:rsidRPr="008269E4">
        <w:rPr>
          <w:rFonts w:ascii="Times New Roman" w:eastAsiaTheme="minorEastAsia" w:hAnsi="Times New Roman" w:cs="Times New Roman"/>
          <w:sz w:val="24"/>
          <w:szCs w:val="24"/>
        </w:rPr>
        <w:t xml:space="preserve">SWB </w:t>
      </w:r>
      <w:r w:rsidR="0070365B">
        <w:rPr>
          <w:rFonts w:ascii="Times New Roman" w:eastAsiaTheme="minorEastAsia" w:hAnsi="Times New Roman" w:cs="Times New Roman"/>
          <w:sz w:val="24"/>
          <w:szCs w:val="24"/>
        </w:rPr>
        <w:t>but</w:t>
      </w:r>
      <w:r w:rsidR="00FF7ED1">
        <w:rPr>
          <w:rFonts w:ascii="Times New Roman" w:eastAsiaTheme="minorEastAsia" w:hAnsi="Times New Roman" w:cs="Times New Roman"/>
          <w:sz w:val="24"/>
          <w:szCs w:val="24"/>
        </w:rPr>
        <w:t xml:space="preserve"> are </w:t>
      </w:r>
      <w:r w:rsidR="00FF7ED1" w:rsidRPr="00FF7ED1">
        <w:rPr>
          <w:rFonts w:ascii="Times New Roman" w:eastAsiaTheme="minorEastAsia" w:hAnsi="Times New Roman" w:cs="Times New Roman"/>
          <w:sz w:val="24"/>
          <w:szCs w:val="24"/>
        </w:rPr>
        <w:t>significant</w:t>
      </w:r>
      <w:r w:rsidR="00FF7ED1">
        <w:rPr>
          <w:rFonts w:ascii="Times New Roman" w:eastAsiaTheme="minorEastAsia" w:hAnsi="Times New Roman" w:cs="Times New Roman"/>
          <w:sz w:val="24"/>
          <w:szCs w:val="24"/>
        </w:rPr>
        <w:t xml:space="preserve">ly </w:t>
      </w:r>
      <w:r w:rsidR="00D40097">
        <w:rPr>
          <w:rFonts w:ascii="Times New Roman" w:eastAsiaTheme="minorEastAsia" w:hAnsi="Times New Roman" w:cs="Times New Roman"/>
          <w:sz w:val="24"/>
          <w:szCs w:val="24"/>
        </w:rPr>
        <w:t xml:space="preserve">and negatively </w:t>
      </w:r>
      <w:r w:rsidR="00FF7ED1">
        <w:rPr>
          <w:rFonts w:ascii="Times New Roman" w:eastAsiaTheme="minorEastAsia" w:hAnsi="Times New Roman" w:cs="Times New Roman"/>
          <w:sz w:val="24"/>
          <w:szCs w:val="24"/>
        </w:rPr>
        <w:t xml:space="preserve">associated with </w:t>
      </w:r>
      <w:r w:rsidR="00FF7ED1" w:rsidRPr="00FF7ED1">
        <w:rPr>
          <w:rFonts w:ascii="Times New Roman" w:eastAsiaTheme="minorEastAsia" w:hAnsi="Times New Roman" w:cs="Times New Roman"/>
          <w:sz w:val="24"/>
          <w:szCs w:val="24"/>
        </w:rPr>
        <w:t>∆</w:t>
      </w:r>
      <w:r w:rsidR="00FF7ED1">
        <w:rPr>
          <w:rFonts w:ascii="Times New Roman" w:eastAsiaTheme="minorEastAsia" w:hAnsi="Times New Roman" w:cs="Times New Roman"/>
          <w:sz w:val="24"/>
          <w:szCs w:val="24"/>
        </w:rPr>
        <w:t>OWB (Tables 2 and 3)</w:t>
      </w:r>
      <w:r w:rsidR="008E1B27" w:rsidRPr="008269E4">
        <w:rPr>
          <w:rFonts w:ascii="Times New Roman" w:eastAsiaTheme="minorEastAsia" w:hAnsi="Times New Roman" w:cs="Times New Roman"/>
          <w:sz w:val="24"/>
          <w:szCs w:val="24"/>
        </w:rPr>
        <w:t xml:space="preserve">. </w:t>
      </w:r>
      <w:r w:rsidR="0070365B">
        <w:rPr>
          <w:rFonts w:ascii="Times New Roman" w:eastAsiaTheme="minorEastAsia" w:hAnsi="Times New Roman" w:cs="Times New Roman"/>
          <w:sz w:val="24"/>
          <w:szCs w:val="24"/>
        </w:rPr>
        <w:t xml:space="preserve">A definitive result would have been obtained if the value of stolen items </w:t>
      </w:r>
      <w:r w:rsidR="003F67FA">
        <w:rPr>
          <w:rFonts w:ascii="Times New Roman" w:eastAsiaTheme="minorEastAsia" w:hAnsi="Times New Roman" w:cs="Times New Roman"/>
          <w:sz w:val="24"/>
          <w:szCs w:val="24"/>
        </w:rPr>
        <w:t xml:space="preserve">were </w:t>
      </w:r>
      <w:r w:rsidR="0070365B">
        <w:rPr>
          <w:rFonts w:ascii="Times New Roman" w:eastAsiaTheme="minorEastAsia" w:hAnsi="Times New Roman" w:cs="Times New Roman"/>
          <w:sz w:val="24"/>
          <w:szCs w:val="24"/>
        </w:rPr>
        <w:t>given.</w:t>
      </w:r>
    </w:p>
    <w:p w14:paraId="560878D4" w14:textId="77777777" w:rsidR="00684B1B" w:rsidRDefault="00D47959" w:rsidP="00684B1B">
      <w:pPr>
        <w:jc w:val="both"/>
        <w:rPr>
          <w:rFonts w:ascii="Times New Roman" w:eastAsiaTheme="minorEastAsia" w:hAnsi="Times New Roman" w:cs="Times New Roman"/>
          <w:sz w:val="24"/>
          <w:szCs w:val="24"/>
          <w:lang w:val="en-GB"/>
        </w:rPr>
      </w:pPr>
      <w:r w:rsidRPr="008269E4">
        <w:rPr>
          <w:rFonts w:ascii="Times New Roman" w:eastAsiaTheme="minorEastAsia" w:hAnsi="Times New Roman" w:cs="Times New Roman"/>
          <w:sz w:val="24"/>
          <w:szCs w:val="24"/>
          <w:lang w:val="en-GB"/>
        </w:rPr>
        <w:t xml:space="preserve">Participation in social networks such as self-help groups, women’s associations, and producers’ associations is potentially beneficial during illness, loss of livelihood, and other contingencies such as accidents and the death of the primary bread winner (Dolan et al. 2008; </w:t>
      </w:r>
      <w:proofErr w:type="spellStart"/>
      <w:r w:rsidRPr="008269E4">
        <w:rPr>
          <w:rFonts w:ascii="Times New Roman" w:eastAsiaTheme="minorEastAsia" w:hAnsi="Times New Roman" w:cs="Times New Roman"/>
          <w:sz w:val="24"/>
          <w:szCs w:val="24"/>
          <w:lang w:val="en-GB"/>
        </w:rPr>
        <w:t>Birkman</w:t>
      </w:r>
      <w:proofErr w:type="spellEnd"/>
      <w:r w:rsidRPr="008269E4">
        <w:rPr>
          <w:rFonts w:ascii="Times New Roman" w:eastAsiaTheme="minorEastAsia" w:hAnsi="Times New Roman" w:cs="Times New Roman"/>
          <w:sz w:val="24"/>
          <w:szCs w:val="24"/>
          <w:lang w:val="en-GB"/>
        </w:rPr>
        <w:t xml:space="preserve"> et al. 2012; Deaton 2018). However, in the absence of information on density of these networks and people’s frequency of participation, their importance in enhancing SWB may be inconclusive. There are </w:t>
      </w:r>
      <w:r w:rsidR="006C1F83" w:rsidRPr="008269E4">
        <w:rPr>
          <w:rFonts w:ascii="Times New Roman" w:eastAsiaTheme="minorEastAsia" w:hAnsi="Times New Roman" w:cs="Times New Roman"/>
          <w:sz w:val="24"/>
          <w:szCs w:val="24"/>
          <w:lang w:val="en-GB"/>
        </w:rPr>
        <w:t>four</w:t>
      </w:r>
      <w:r w:rsidRPr="008269E4">
        <w:rPr>
          <w:rFonts w:ascii="Times New Roman" w:eastAsiaTheme="minorEastAsia" w:hAnsi="Times New Roman" w:cs="Times New Roman"/>
          <w:sz w:val="24"/>
          <w:szCs w:val="24"/>
          <w:lang w:val="en-GB"/>
        </w:rPr>
        <w:t xml:space="preserve"> categories of participation in networks: 0, 1, 2 and </w:t>
      </w:r>
      <w:r w:rsidR="006C1F83" w:rsidRPr="008269E4">
        <w:rPr>
          <w:rFonts w:ascii="Times New Roman" w:eastAsiaTheme="minorEastAsia" w:hAnsi="Times New Roman" w:cs="Times New Roman"/>
          <w:sz w:val="24"/>
          <w:szCs w:val="24"/>
          <w:lang w:val="en-GB"/>
        </w:rPr>
        <w:t>&gt;</w:t>
      </w:r>
      <w:r w:rsidRPr="008269E4">
        <w:rPr>
          <w:rFonts w:ascii="Times New Roman" w:eastAsiaTheme="minorEastAsia" w:hAnsi="Times New Roman" w:cs="Times New Roman"/>
          <w:sz w:val="24"/>
          <w:szCs w:val="24"/>
          <w:lang w:val="en-GB"/>
        </w:rPr>
        <w:t xml:space="preserve"> 2. As households not affiliated to any social </w:t>
      </w:r>
      <w:r w:rsidR="00CB2192" w:rsidRPr="008269E4">
        <w:rPr>
          <w:rFonts w:ascii="Times New Roman" w:eastAsiaTheme="minorEastAsia" w:hAnsi="Times New Roman" w:cs="Times New Roman"/>
          <w:sz w:val="24"/>
          <w:szCs w:val="24"/>
          <w:lang w:val="en-GB"/>
        </w:rPr>
        <w:t xml:space="preserve">network are the largest group, it is omitted. So relative to this group, the only significant </w:t>
      </w:r>
      <w:r w:rsidR="00174404">
        <w:rPr>
          <w:rFonts w:ascii="Times New Roman" w:eastAsiaTheme="minorEastAsia" w:hAnsi="Times New Roman" w:cs="Times New Roman"/>
          <w:sz w:val="24"/>
          <w:szCs w:val="24"/>
          <w:lang w:val="en-GB"/>
        </w:rPr>
        <w:t xml:space="preserve">positive </w:t>
      </w:r>
      <w:r w:rsidR="00CB2192" w:rsidRPr="008269E4">
        <w:rPr>
          <w:rFonts w:ascii="Times New Roman" w:eastAsiaTheme="minorEastAsia" w:hAnsi="Times New Roman" w:cs="Times New Roman"/>
          <w:sz w:val="24"/>
          <w:szCs w:val="24"/>
          <w:lang w:val="en-GB"/>
        </w:rPr>
        <w:t xml:space="preserve">association is between change in </w:t>
      </w:r>
      <w:r w:rsidR="00FF7ED1">
        <w:rPr>
          <w:rFonts w:ascii="Times New Roman" w:eastAsiaTheme="minorEastAsia" w:hAnsi="Times New Roman" w:cs="Times New Roman"/>
          <w:sz w:val="24"/>
          <w:szCs w:val="24"/>
          <w:lang w:val="en-GB"/>
        </w:rPr>
        <w:t>∆</w:t>
      </w:r>
      <w:r w:rsidR="00CB2192" w:rsidRPr="008269E4">
        <w:rPr>
          <w:rFonts w:ascii="Times New Roman" w:eastAsiaTheme="minorEastAsia" w:hAnsi="Times New Roman" w:cs="Times New Roman"/>
          <w:sz w:val="24"/>
          <w:szCs w:val="24"/>
          <w:lang w:val="en-GB"/>
        </w:rPr>
        <w:t xml:space="preserve">SWB </w:t>
      </w:r>
      <w:r w:rsidR="00174404">
        <w:rPr>
          <w:rFonts w:ascii="Times New Roman" w:eastAsiaTheme="minorEastAsia" w:hAnsi="Times New Roman" w:cs="Times New Roman"/>
          <w:sz w:val="24"/>
          <w:szCs w:val="24"/>
          <w:lang w:val="en-GB"/>
        </w:rPr>
        <w:t xml:space="preserve">and </w:t>
      </w:r>
      <w:r w:rsidR="00F1527A">
        <w:rPr>
          <w:rFonts w:ascii="Times New Roman" w:eastAsiaTheme="minorEastAsia" w:hAnsi="Times New Roman" w:cs="Times New Roman"/>
          <w:sz w:val="24"/>
          <w:szCs w:val="24"/>
          <w:lang w:val="en-GB"/>
        </w:rPr>
        <w:t xml:space="preserve">∆OWB </w:t>
      </w:r>
      <w:r w:rsidR="00CB2192" w:rsidRPr="008269E4">
        <w:rPr>
          <w:rFonts w:ascii="Times New Roman" w:eastAsiaTheme="minorEastAsia" w:hAnsi="Times New Roman" w:cs="Times New Roman"/>
          <w:sz w:val="24"/>
          <w:szCs w:val="24"/>
          <w:lang w:val="en-GB"/>
        </w:rPr>
        <w:t>and households belonging to 2 networks</w:t>
      </w:r>
      <w:r w:rsidR="00F1527A">
        <w:rPr>
          <w:rFonts w:ascii="Times New Roman" w:eastAsiaTheme="minorEastAsia" w:hAnsi="Times New Roman" w:cs="Times New Roman"/>
          <w:sz w:val="24"/>
          <w:szCs w:val="24"/>
          <w:lang w:val="en-GB"/>
        </w:rPr>
        <w:t xml:space="preserve"> (Table 2)</w:t>
      </w:r>
      <w:r w:rsidR="00CB2192" w:rsidRPr="008269E4">
        <w:rPr>
          <w:rFonts w:ascii="Times New Roman" w:eastAsiaTheme="minorEastAsia" w:hAnsi="Times New Roman" w:cs="Times New Roman"/>
          <w:sz w:val="24"/>
          <w:szCs w:val="24"/>
          <w:lang w:val="en-GB"/>
        </w:rPr>
        <w:t xml:space="preserve">. </w:t>
      </w:r>
      <w:r w:rsidR="00174404">
        <w:rPr>
          <w:rFonts w:ascii="Times New Roman" w:eastAsiaTheme="minorEastAsia" w:hAnsi="Times New Roman" w:cs="Times New Roman"/>
          <w:sz w:val="24"/>
          <w:szCs w:val="24"/>
          <w:lang w:val="en-GB"/>
        </w:rPr>
        <w:t>However, in Table 3 the signs are reversed which is counter-intuitive.</w:t>
      </w:r>
    </w:p>
    <w:p w14:paraId="1E102E77" w14:textId="77777777" w:rsidR="00F1527A" w:rsidRDefault="003D05AC" w:rsidP="00684B1B">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Piketty (2014) drew attention to growth in developed countries over a long period leading to a rise in income inequality. In another study, Chancel and Piketty (2017) point to a rise in income inequality in India since 1922. The important contribution of these studies is to shift the attention away from conventional measures of income inequality (say, the Gini coefficient) to income disparity between the top 1 % and the bottom 50 %. We find that the association between well-being and the Piketty measure of extreme income inequality is positive and significant. This suggests that </w:t>
      </w:r>
      <w:r w:rsidR="00174404">
        <w:rPr>
          <w:rFonts w:ascii="Times New Roman" w:eastAsiaTheme="minorEastAsia" w:hAnsi="Times New Roman" w:cs="Times New Roman"/>
          <w:sz w:val="24"/>
          <w:szCs w:val="24"/>
        </w:rPr>
        <w:t xml:space="preserve">the </w:t>
      </w:r>
      <w:r w:rsidRPr="008269E4">
        <w:rPr>
          <w:rFonts w:ascii="Times New Roman" w:eastAsiaTheme="minorEastAsia" w:hAnsi="Times New Roman" w:cs="Times New Roman"/>
          <w:sz w:val="24"/>
          <w:szCs w:val="24"/>
        </w:rPr>
        <w:t xml:space="preserve">higher the ratio of share of the top 1% in total income to that of the bottom 50 %, the higher is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SWB. This is counter-intuitive as the income accumulation of multi-millionaires is driven by speculative gains in the stock market and real estate. </w:t>
      </w:r>
    </w:p>
    <w:p w14:paraId="6DD34FB6" w14:textId="77777777" w:rsidR="00AC217F" w:rsidRDefault="00AC217F" w:rsidP="00684B1B">
      <w:pPr>
        <w:jc w:val="both"/>
        <w:rPr>
          <w:rFonts w:ascii="Times New Roman" w:eastAsiaTheme="minorEastAsia" w:hAnsi="Times New Roman" w:cs="Times New Roman"/>
          <w:sz w:val="24"/>
          <w:szCs w:val="24"/>
        </w:rPr>
      </w:pPr>
    </w:p>
    <w:p w14:paraId="5EA5FA11" w14:textId="77777777" w:rsidR="00E95D90" w:rsidRPr="008269E4" w:rsidRDefault="00E95D90" w:rsidP="00E95D90">
      <w:pPr>
        <w:jc w:val="center"/>
        <w:rPr>
          <w:rFonts w:ascii="Times New Roman" w:eastAsiaTheme="minorEastAsia" w:hAnsi="Times New Roman" w:cs="Times New Roman"/>
          <w:b/>
          <w:sz w:val="24"/>
          <w:szCs w:val="24"/>
        </w:rPr>
      </w:pPr>
      <w:r w:rsidRPr="008269E4">
        <w:rPr>
          <w:rFonts w:ascii="Times New Roman" w:eastAsiaTheme="minorEastAsia" w:hAnsi="Times New Roman" w:cs="Times New Roman"/>
          <w:b/>
          <w:sz w:val="24"/>
          <w:szCs w:val="24"/>
        </w:rPr>
        <w:lastRenderedPageBreak/>
        <w:t>6. Discussion and Policy Challenges</w:t>
      </w:r>
    </w:p>
    <w:p w14:paraId="20774F3F" w14:textId="6633B3EB" w:rsidR="00E95D90" w:rsidRPr="00D10A97" w:rsidRDefault="00E95D90" w:rsidP="00E95D90">
      <w:pPr>
        <w:jc w:val="both"/>
        <w:rPr>
          <w:rFonts w:ascii="Times New Roman" w:eastAsiaTheme="minorEastAsia" w:hAnsi="Times New Roman" w:cs="Times New Roman"/>
          <w:sz w:val="24"/>
          <w:szCs w:val="24"/>
        </w:rPr>
      </w:pPr>
      <w:r w:rsidRPr="00D10A97">
        <w:rPr>
          <w:rFonts w:ascii="Times New Roman" w:eastAsiaTheme="minorEastAsia" w:hAnsi="Times New Roman" w:cs="Times New Roman"/>
          <w:sz w:val="24"/>
          <w:szCs w:val="24"/>
        </w:rPr>
        <w:t>Although there is abundant literature on SWB, there is virtually none for India</w:t>
      </w:r>
      <w:r w:rsidRPr="00D10A97">
        <w:rPr>
          <w:rStyle w:val="FootnoteReference"/>
          <w:rFonts w:ascii="Times New Roman" w:eastAsiaTheme="minorEastAsia" w:hAnsi="Times New Roman" w:cs="Times New Roman"/>
          <w:sz w:val="24"/>
          <w:szCs w:val="24"/>
        </w:rPr>
        <w:footnoteReference w:id="18"/>
      </w:r>
      <w:r w:rsidRPr="00D10A97">
        <w:rPr>
          <w:rFonts w:ascii="Times New Roman" w:eastAsiaTheme="minorEastAsia" w:hAnsi="Times New Roman" w:cs="Times New Roman"/>
          <w:sz w:val="24"/>
          <w:szCs w:val="24"/>
        </w:rPr>
        <w:t xml:space="preserve">. Growing recognition of the validity and accuracy of measures of SWB vis-à-vis objective measure of well-being (based on real income) underlies the rapid growth of literature on SWB in recent decades. As prominent studies in the SWB literature, such as Deaton (2018), </w:t>
      </w:r>
      <w:proofErr w:type="spellStart"/>
      <w:r w:rsidRPr="00D10A97">
        <w:rPr>
          <w:rFonts w:ascii="Times New Roman" w:eastAsiaTheme="minorEastAsia" w:hAnsi="Times New Roman" w:cs="Times New Roman"/>
          <w:sz w:val="24"/>
          <w:szCs w:val="24"/>
        </w:rPr>
        <w:t>Kahneman</w:t>
      </w:r>
      <w:proofErr w:type="spellEnd"/>
      <w:r w:rsidRPr="00D10A97">
        <w:rPr>
          <w:rFonts w:ascii="Times New Roman" w:eastAsiaTheme="minorEastAsia" w:hAnsi="Times New Roman" w:cs="Times New Roman"/>
          <w:sz w:val="24"/>
          <w:szCs w:val="24"/>
        </w:rPr>
        <w:t xml:space="preserve"> and Krueger (2006), </w:t>
      </w:r>
      <w:proofErr w:type="spellStart"/>
      <w:r w:rsidRPr="00D10A97">
        <w:rPr>
          <w:rFonts w:ascii="Times New Roman" w:eastAsiaTheme="minorEastAsia" w:hAnsi="Times New Roman" w:cs="Times New Roman"/>
          <w:sz w:val="24"/>
          <w:szCs w:val="24"/>
        </w:rPr>
        <w:t>Kahneman</w:t>
      </w:r>
      <w:proofErr w:type="spellEnd"/>
      <w:r w:rsidRPr="00D10A97">
        <w:rPr>
          <w:rFonts w:ascii="Times New Roman" w:eastAsiaTheme="minorEastAsia" w:hAnsi="Times New Roman" w:cs="Times New Roman"/>
          <w:sz w:val="24"/>
          <w:szCs w:val="24"/>
        </w:rPr>
        <w:t xml:space="preserve"> and Deaton (2010), </w:t>
      </w:r>
      <w:proofErr w:type="spellStart"/>
      <w:r w:rsidRPr="00D10A97">
        <w:rPr>
          <w:rFonts w:ascii="Times New Roman" w:eastAsiaTheme="minorEastAsia" w:hAnsi="Times New Roman" w:cs="Times New Roman"/>
          <w:sz w:val="24"/>
          <w:szCs w:val="24"/>
        </w:rPr>
        <w:t>Blanchflower</w:t>
      </w:r>
      <w:proofErr w:type="spellEnd"/>
      <w:r w:rsidRPr="00D10A97">
        <w:rPr>
          <w:rFonts w:ascii="Times New Roman" w:eastAsiaTheme="minorEastAsia" w:hAnsi="Times New Roman" w:cs="Times New Roman"/>
          <w:sz w:val="24"/>
          <w:szCs w:val="24"/>
        </w:rPr>
        <w:t xml:space="preserve"> and Oswald, (2007), </w:t>
      </w:r>
      <w:r w:rsidR="00823595">
        <w:rPr>
          <w:rFonts w:ascii="Times New Roman" w:eastAsiaTheme="minorEastAsia" w:hAnsi="Times New Roman" w:cs="Times New Roman"/>
          <w:sz w:val="24"/>
          <w:szCs w:val="24"/>
        </w:rPr>
        <w:t xml:space="preserve">and </w:t>
      </w:r>
      <w:proofErr w:type="spellStart"/>
      <w:r w:rsidRPr="00D10A97">
        <w:rPr>
          <w:rFonts w:ascii="Times New Roman" w:eastAsiaTheme="minorEastAsia" w:hAnsi="Times New Roman" w:cs="Times New Roman"/>
          <w:sz w:val="24"/>
          <w:szCs w:val="24"/>
        </w:rPr>
        <w:t>Diener</w:t>
      </w:r>
      <w:proofErr w:type="spellEnd"/>
      <w:r w:rsidRPr="00D10A97">
        <w:rPr>
          <w:rFonts w:ascii="Times New Roman" w:eastAsiaTheme="minorEastAsia" w:hAnsi="Times New Roman" w:cs="Times New Roman"/>
          <w:sz w:val="24"/>
          <w:szCs w:val="24"/>
        </w:rPr>
        <w:t xml:space="preserve"> et al. (2013),</w:t>
      </w:r>
      <w:r w:rsidR="00823595">
        <w:rPr>
          <w:rFonts w:ascii="Times New Roman" w:eastAsiaTheme="minorEastAsia" w:hAnsi="Times New Roman" w:cs="Times New Roman"/>
          <w:sz w:val="24"/>
          <w:szCs w:val="24"/>
        </w:rPr>
        <w:t xml:space="preserve"> among others,</w:t>
      </w:r>
      <w:r w:rsidRPr="00D10A97">
        <w:rPr>
          <w:rFonts w:ascii="Times New Roman" w:eastAsiaTheme="minorEastAsia" w:hAnsi="Times New Roman" w:cs="Times New Roman"/>
          <w:sz w:val="24"/>
          <w:szCs w:val="24"/>
        </w:rPr>
        <w:t xml:space="preserve"> have emphatically endorsed the case for SWB both conceptually and empirically, and drawn attention to its policy importance, we were motivated to examine the relationship between SWB and its covariates in the Indian context. However, our measure of SWB relates to change</w:t>
      </w:r>
      <w:r w:rsidR="002D43A2">
        <w:rPr>
          <w:rFonts w:ascii="Times New Roman" w:eastAsiaTheme="minorEastAsia" w:hAnsi="Times New Roman" w:cs="Times New Roman"/>
          <w:sz w:val="24"/>
          <w:szCs w:val="24"/>
        </w:rPr>
        <w:t>s</w:t>
      </w:r>
      <w:r w:rsidRPr="00D10A97">
        <w:rPr>
          <w:rFonts w:ascii="Times New Roman" w:eastAsiaTheme="minorEastAsia" w:hAnsi="Times New Roman" w:cs="Times New Roman"/>
          <w:sz w:val="24"/>
          <w:szCs w:val="24"/>
        </w:rPr>
        <w:t xml:space="preserve"> and </w:t>
      </w:r>
      <w:r w:rsidR="002D43A2">
        <w:rPr>
          <w:rFonts w:ascii="Times New Roman" w:eastAsiaTheme="minorEastAsia" w:hAnsi="Times New Roman" w:cs="Times New Roman"/>
          <w:sz w:val="24"/>
          <w:szCs w:val="24"/>
        </w:rPr>
        <w:t xml:space="preserve">is </w:t>
      </w:r>
      <w:r w:rsidRPr="00D10A97">
        <w:rPr>
          <w:rFonts w:ascii="Times New Roman" w:eastAsiaTheme="minorEastAsia" w:hAnsi="Times New Roman" w:cs="Times New Roman"/>
          <w:sz w:val="24"/>
          <w:szCs w:val="24"/>
        </w:rPr>
        <w:t xml:space="preserve">confined to perceived economic well-being. Hence, arguably our analysis is </w:t>
      </w:r>
      <w:r w:rsidR="002D43A2">
        <w:rPr>
          <w:rFonts w:ascii="Times New Roman" w:eastAsiaTheme="minorEastAsia" w:hAnsi="Times New Roman" w:cs="Times New Roman"/>
          <w:sz w:val="24"/>
          <w:szCs w:val="24"/>
        </w:rPr>
        <w:t xml:space="preserve">both </w:t>
      </w:r>
      <w:r w:rsidRPr="00D10A97">
        <w:rPr>
          <w:rFonts w:ascii="Times New Roman" w:eastAsiaTheme="minorEastAsia" w:hAnsi="Times New Roman" w:cs="Times New Roman"/>
          <w:sz w:val="24"/>
          <w:szCs w:val="24"/>
        </w:rPr>
        <w:t xml:space="preserve">more challenging and </w:t>
      </w:r>
      <w:r w:rsidR="002D43A2">
        <w:rPr>
          <w:rFonts w:ascii="Times New Roman" w:eastAsiaTheme="minorEastAsia" w:hAnsi="Times New Roman" w:cs="Times New Roman"/>
          <w:sz w:val="24"/>
          <w:szCs w:val="24"/>
        </w:rPr>
        <w:t xml:space="preserve">more </w:t>
      </w:r>
      <w:r w:rsidRPr="00D10A97">
        <w:rPr>
          <w:rFonts w:ascii="Times New Roman" w:eastAsiaTheme="minorEastAsia" w:hAnsi="Times New Roman" w:cs="Times New Roman"/>
          <w:sz w:val="24"/>
          <w:szCs w:val="24"/>
        </w:rPr>
        <w:t>innovative.</w:t>
      </w:r>
      <w:r w:rsidR="008E65EF">
        <w:rPr>
          <w:rFonts w:ascii="Times New Roman" w:eastAsiaTheme="minorEastAsia" w:hAnsi="Times New Roman" w:cs="Times New Roman"/>
          <w:sz w:val="24"/>
          <w:szCs w:val="24"/>
        </w:rPr>
        <w:t xml:space="preserve"> Furthermore, we identified the household-level </w:t>
      </w:r>
      <w:r w:rsidR="0070365B">
        <w:rPr>
          <w:rFonts w:ascii="Times New Roman" w:eastAsiaTheme="minorEastAsia" w:hAnsi="Times New Roman" w:cs="Times New Roman"/>
          <w:sz w:val="24"/>
          <w:szCs w:val="24"/>
        </w:rPr>
        <w:t>covariates</w:t>
      </w:r>
      <w:r w:rsidR="008E65EF">
        <w:rPr>
          <w:rFonts w:ascii="Times New Roman" w:eastAsiaTheme="minorEastAsia" w:hAnsi="Times New Roman" w:cs="Times New Roman"/>
          <w:sz w:val="24"/>
          <w:szCs w:val="24"/>
        </w:rPr>
        <w:t xml:space="preserve"> of the perceived changes in SWB in comparison with the changes in OWB, objective well-being</w:t>
      </w:r>
      <w:r w:rsidR="00174404">
        <w:rPr>
          <w:rFonts w:ascii="Times New Roman" w:eastAsiaTheme="minorEastAsia" w:hAnsi="Times New Roman" w:cs="Times New Roman"/>
          <w:sz w:val="24"/>
          <w:szCs w:val="24"/>
        </w:rPr>
        <w:t>,</w:t>
      </w:r>
      <w:r w:rsidR="008E65EF">
        <w:rPr>
          <w:rFonts w:ascii="Times New Roman" w:eastAsiaTheme="minorEastAsia" w:hAnsi="Times New Roman" w:cs="Times New Roman"/>
          <w:sz w:val="24"/>
          <w:szCs w:val="24"/>
        </w:rPr>
        <w:t xml:space="preserve"> in the same period. To our knowledge, this has not been </w:t>
      </w:r>
      <w:r w:rsidR="0070365B">
        <w:rPr>
          <w:rFonts w:ascii="Times New Roman" w:eastAsiaTheme="minorEastAsia" w:hAnsi="Times New Roman" w:cs="Times New Roman"/>
          <w:sz w:val="24"/>
          <w:szCs w:val="24"/>
        </w:rPr>
        <w:t>studied</w:t>
      </w:r>
      <w:r w:rsidR="008E65EF">
        <w:rPr>
          <w:rFonts w:ascii="Times New Roman" w:eastAsiaTheme="minorEastAsia" w:hAnsi="Times New Roman" w:cs="Times New Roman"/>
          <w:sz w:val="24"/>
          <w:szCs w:val="24"/>
        </w:rPr>
        <w:t xml:space="preserve"> in the SWB literature.  </w:t>
      </w:r>
    </w:p>
    <w:p w14:paraId="1C27DB09" w14:textId="688A22B3" w:rsidR="00E95D90" w:rsidRPr="00262A6A" w:rsidRDefault="00E95D90" w:rsidP="00E95D90">
      <w:pPr>
        <w:jc w:val="both"/>
        <w:rPr>
          <w:rFonts w:ascii="Times New Roman" w:eastAsiaTheme="minorEastAsia" w:hAnsi="Times New Roman" w:cs="Times New Roman"/>
          <w:sz w:val="24"/>
          <w:szCs w:val="24"/>
        </w:rPr>
      </w:pPr>
      <w:r w:rsidRPr="00D10A97">
        <w:rPr>
          <w:rFonts w:ascii="Times New Roman" w:eastAsiaTheme="minorEastAsia" w:hAnsi="Times New Roman" w:cs="Times New Roman"/>
          <w:sz w:val="24"/>
          <w:szCs w:val="24"/>
        </w:rPr>
        <w:t xml:space="preserve">IHDS contains a measure of the perceived change of economic well-being at the household level compared with 7 years ago. Admittedly narrow, our SWB measure has advantages over the standard scale measures in econometric modelling because of its simplicity (e.g. being less subject to heterogeneity among different individuals in the level of their aspirations, or perception/interpretation of the survey questions on the scale of happiness). The measure is associated with income and related measures but also with other individual characteristics such as age, caste, religion, living arrangements, schooling, media exposure and state affluence and extreme income inequality. Hence this measure of well-being captures more than what is anticipated or implied by conventional measures of economic well-being. This imparts policy significance to analysis such as ours. As a broad statement, our discussion of the significance of the results highlights the importance of the context, model specifications and their implementation. </w:t>
      </w:r>
    </w:p>
    <w:p w14:paraId="400AB61F" w14:textId="16620F30" w:rsidR="00F1527A" w:rsidRDefault="00CA05DE" w:rsidP="00E95D90">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First, </w:t>
      </w:r>
      <w:r w:rsidR="00F1527A">
        <w:rPr>
          <w:rFonts w:ascii="Times New Roman" w:eastAsiaTheme="minorEastAsia" w:hAnsi="Times New Roman" w:cs="Times New Roman"/>
          <w:sz w:val="24"/>
          <w:szCs w:val="24"/>
        </w:rPr>
        <w:t xml:space="preserve">common factors associated with both ∆SWB and ∆OWB have been identified. We have found that </w:t>
      </w:r>
      <w:r w:rsidR="002D43A2">
        <w:rPr>
          <w:rFonts w:ascii="Times New Roman" w:eastAsiaTheme="minorEastAsia" w:hAnsi="Times New Roman" w:cs="Times New Roman"/>
          <w:sz w:val="24"/>
          <w:szCs w:val="24"/>
        </w:rPr>
        <w:t xml:space="preserve">larger </w:t>
      </w:r>
      <w:r w:rsidR="00F1527A">
        <w:rPr>
          <w:rFonts w:ascii="Times New Roman" w:eastAsiaTheme="minorEastAsia" w:hAnsi="Times New Roman" w:cs="Times New Roman"/>
          <w:sz w:val="24"/>
          <w:szCs w:val="24"/>
        </w:rPr>
        <w:t>h</w:t>
      </w:r>
      <w:r w:rsidR="00F1527A" w:rsidRPr="0070365B">
        <w:rPr>
          <w:rFonts w:ascii="Times New Roman" w:eastAsiaTheme="minorEastAsia" w:hAnsi="Times New Roman" w:cs="Times New Roman"/>
          <w:sz w:val="24"/>
          <w:szCs w:val="24"/>
        </w:rPr>
        <w:t>ouseholds with an old</w:t>
      </w:r>
      <w:r w:rsidR="008247BF">
        <w:rPr>
          <w:rFonts w:ascii="Times New Roman" w:eastAsiaTheme="minorEastAsia" w:hAnsi="Times New Roman" w:cs="Times New Roman"/>
          <w:sz w:val="24"/>
          <w:szCs w:val="24"/>
        </w:rPr>
        <w:t xml:space="preserve"> (70 years and above)</w:t>
      </w:r>
      <w:r w:rsidR="00F1527A" w:rsidRPr="0070365B">
        <w:rPr>
          <w:rFonts w:ascii="Times New Roman" w:eastAsiaTheme="minorEastAsia" w:hAnsi="Times New Roman" w:cs="Times New Roman"/>
          <w:sz w:val="24"/>
          <w:szCs w:val="24"/>
        </w:rPr>
        <w:t xml:space="preserve"> and </w:t>
      </w:r>
      <w:r w:rsidR="008247BF">
        <w:rPr>
          <w:rFonts w:ascii="Times New Roman" w:eastAsiaTheme="minorEastAsia" w:hAnsi="Times New Roman" w:cs="Times New Roman"/>
          <w:sz w:val="24"/>
          <w:szCs w:val="24"/>
        </w:rPr>
        <w:t>highly schooled</w:t>
      </w:r>
      <w:r w:rsidR="00F1527A" w:rsidRPr="0070365B">
        <w:rPr>
          <w:rFonts w:ascii="Times New Roman" w:eastAsiaTheme="minorEastAsia" w:hAnsi="Times New Roman" w:cs="Times New Roman"/>
          <w:sz w:val="24"/>
          <w:szCs w:val="24"/>
        </w:rPr>
        <w:t xml:space="preserve"> head, located in urban areas or affluent states in 2005 tended to experience further improvement in both SWB and OWB in 2005-2012.</w:t>
      </w:r>
    </w:p>
    <w:p w14:paraId="75F99288" w14:textId="109AFDF6" w:rsidR="00F1527A" w:rsidRDefault="00F1527A" w:rsidP="00F1527A">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From a life-cycle perspective, the relationship between SWB and age has received considerable attention. Some have reported a U-shaped SWB-age curve in Britain and USA (e.g., </w:t>
      </w:r>
      <w:proofErr w:type="spellStart"/>
      <w:r w:rsidRPr="008269E4">
        <w:rPr>
          <w:rFonts w:ascii="Times New Roman" w:eastAsiaTheme="minorEastAsia" w:hAnsi="Times New Roman" w:cs="Times New Roman"/>
          <w:sz w:val="24"/>
          <w:szCs w:val="24"/>
        </w:rPr>
        <w:t>Blanchflower</w:t>
      </w:r>
      <w:proofErr w:type="spellEnd"/>
      <w:r w:rsidRPr="008269E4">
        <w:rPr>
          <w:rFonts w:ascii="Times New Roman" w:eastAsiaTheme="minorEastAsia" w:hAnsi="Times New Roman" w:cs="Times New Roman"/>
          <w:sz w:val="24"/>
          <w:szCs w:val="24"/>
        </w:rPr>
        <w:t xml:space="preserve"> and Oswald, 2007), and others (notably, Deaton, 2018) report a U-shaped relationship in English speaking countries, and absence of an age pattern in low</w:t>
      </w:r>
      <w:r w:rsidR="002D43A2">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income countries in Africa and South Asia. A few studies have reported an inverted U-shape in the USA (e.g</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 </w:t>
      </w:r>
      <w:proofErr w:type="spellStart"/>
      <w:r w:rsidRPr="008269E4">
        <w:rPr>
          <w:rFonts w:ascii="Times New Roman" w:eastAsiaTheme="minorEastAsia" w:hAnsi="Times New Roman" w:cs="Times New Roman"/>
          <w:sz w:val="24"/>
          <w:szCs w:val="24"/>
        </w:rPr>
        <w:t>Easterlin</w:t>
      </w:r>
      <w:proofErr w:type="spellEnd"/>
      <w:r w:rsidRPr="008269E4">
        <w:rPr>
          <w:rFonts w:ascii="Times New Roman" w:eastAsiaTheme="minorEastAsia" w:hAnsi="Times New Roman" w:cs="Times New Roman"/>
          <w:sz w:val="24"/>
          <w:szCs w:val="24"/>
        </w:rPr>
        <w:t xml:space="preserve">, 2006). Our multiple regression analysis confirms a non-linear relationship between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SWB and age, with a positive coefficient of age and a negative coefficient of square of age. </w:t>
      </w:r>
      <w:r>
        <w:rPr>
          <w:rFonts w:ascii="Times New Roman" w:eastAsiaTheme="minorEastAsia" w:hAnsi="Times New Roman" w:cs="Times New Roman"/>
          <w:sz w:val="24"/>
          <w:szCs w:val="24"/>
        </w:rPr>
        <w:t xml:space="preserve">A similar relation is found for the relationship between ∆OWB and age. </w:t>
      </w:r>
      <w:r w:rsidRPr="008269E4">
        <w:rPr>
          <w:rFonts w:ascii="Times New Roman" w:eastAsiaTheme="minorEastAsia" w:hAnsi="Times New Roman" w:cs="Times New Roman"/>
          <w:sz w:val="24"/>
          <w:szCs w:val="24"/>
        </w:rPr>
        <w:t xml:space="preserve">A graphical illustration </w:t>
      </w:r>
      <w:r w:rsidR="00174404">
        <w:rPr>
          <w:rFonts w:ascii="Times New Roman" w:eastAsiaTheme="minorEastAsia" w:hAnsi="Times New Roman" w:cs="Times New Roman"/>
          <w:sz w:val="24"/>
          <w:szCs w:val="24"/>
        </w:rPr>
        <w:t xml:space="preserve">of </w:t>
      </w:r>
      <w:r w:rsidR="007478F3">
        <w:rPr>
          <w:rFonts w:ascii="Times New Roman" w:eastAsiaTheme="minorEastAsia" w:hAnsi="Times New Roman" w:cs="Times New Roman"/>
          <w:sz w:val="24"/>
          <w:szCs w:val="24"/>
        </w:rPr>
        <w:t xml:space="preserve">the relationship between the predicted ∆SWB and age is </w:t>
      </w:r>
      <w:r w:rsidR="007478F3">
        <w:rPr>
          <w:rFonts w:ascii="Times New Roman" w:eastAsiaTheme="minorEastAsia" w:hAnsi="Times New Roman" w:cs="Times New Roman"/>
          <w:sz w:val="24"/>
          <w:szCs w:val="24"/>
        </w:rPr>
        <w:lastRenderedPageBreak/>
        <w:t xml:space="preserve">shown </w:t>
      </w:r>
      <w:r w:rsidRPr="008269E4">
        <w:rPr>
          <w:rFonts w:ascii="Times New Roman" w:eastAsiaTheme="minorEastAsia" w:hAnsi="Times New Roman" w:cs="Times New Roman"/>
          <w:sz w:val="24"/>
          <w:szCs w:val="24"/>
        </w:rPr>
        <w:t>in Fig</w:t>
      </w:r>
      <w:r>
        <w:rPr>
          <w:rFonts w:ascii="Times New Roman" w:eastAsiaTheme="minorEastAsia" w:hAnsi="Times New Roman" w:cs="Times New Roman"/>
          <w:sz w:val="24"/>
          <w:szCs w:val="24"/>
        </w:rPr>
        <w:t>ure</w:t>
      </w:r>
      <w:r w:rsidRPr="008269E4">
        <w:rPr>
          <w:rFonts w:ascii="Times New Roman" w:eastAsiaTheme="minorEastAsia" w:hAnsi="Times New Roman" w:cs="Times New Roman"/>
          <w:sz w:val="24"/>
          <w:szCs w:val="24"/>
        </w:rPr>
        <w:t xml:space="preserve"> 2, </w:t>
      </w:r>
      <w:r w:rsidR="007478F3">
        <w:rPr>
          <w:rFonts w:ascii="Times New Roman" w:eastAsiaTheme="minorEastAsia" w:hAnsi="Times New Roman" w:cs="Times New Roman"/>
          <w:sz w:val="24"/>
          <w:szCs w:val="24"/>
        </w:rPr>
        <w:t>which is based on OLS predictions.</w:t>
      </w:r>
      <w:r w:rsidR="004D372C">
        <w:rPr>
          <w:rFonts w:ascii="Times New Roman" w:eastAsiaTheme="minorEastAsia" w:hAnsi="Times New Roman" w:cs="Times New Roman"/>
          <w:sz w:val="24"/>
          <w:szCs w:val="24"/>
        </w:rPr>
        <w:t xml:space="preserve"> </w:t>
      </w:r>
      <w:r w:rsidR="007478F3">
        <w:rPr>
          <w:rFonts w:ascii="Times New Roman" w:eastAsiaTheme="minorEastAsia" w:hAnsi="Times New Roman" w:cs="Times New Roman"/>
          <w:sz w:val="24"/>
          <w:szCs w:val="24"/>
        </w:rPr>
        <w:t xml:space="preserve">This figure </w:t>
      </w:r>
      <w:r>
        <w:rPr>
          <w:rFonts w:ascii="Times New Roman" w:eastAsiaTheme="minorEastAsia" w:hAnsi="Times New Roman" w:cs="Times New Roman"/>
          <w:sz w:val="24"/>
          <w:szCs w:val="24"/>
        </w:rPr>
        <w:t>suggests a complex relationship between ∆SWB and age. Th</w:t>
      </w:r>
      <w:r w:rsidRPr="008269E4">
        <w:rPr>
          <w:rFonts w:ascii="Times New Roman" w:eastAsiaTheme="minorEastAsia" w:hAnsi="Times New Roman" w:cs="Times New Roman"/>
          <w:sz w:val="24"/>
          <w:szCs w:val="24"/>
        </w:rPr>
        <w:t xml:space="preserve">ere is a slight rise in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SWB among 15-20 years old, with a large flat segment between 20</w:t>
      </w:r>
      <w:r w:rsidR="00823595">
        <w:rPr>
          <w:rFonts w:ascii="Times New Roman" w:eastAsiaTheme="minorEastAsia" w:hAnsi="Times New Roman" w:cs="Times New Roman"/>
          <w:sz w:val="24"/>
          <w:szCs w:val="24"/>
        </w:rPr>
        <w:t xml:space="preserve"> and </w:t>
      </w:r>
      <w:r w:rsidRPr="008269E4">
        <w:rPr>
          <w:rFonts w:ascii="Times New Roman" w:eastAsiaTheme="minorEastAsia" w:hAnsi="Times New Roman" w:cs="Times New Roman"/>
          <w:sz w:val="24"/>
          <w:szCs w:val="24"/>
        </w:rPr>
        <w:t xml:space="preserve">just </w:t>
      </w:r>
      <w:proofErr w:type="gramStart"/>
      <w:r w:rsidRPr="008269E4">
        <w:rPr>
          <w:rFonts w:ascii="Times New Roman" w:eastAsiaTheme="minorEastAsia" w:hAnsi="Times New Roman" w:cs="Times New Roman"/>
          <w:sz w:val="24"/>
          <w:szCs w:val="24"/>
        </w:rPr>
        <w:t>under</w:t>
      </w:r>
      <w:proofErr w:type="gramEnd"/>
      <w:r w:rsidRPr="008269E4">
        <w:rPr>
          <w:rFonts w:ascii="Times New Roman" w:eastAsiaTheme="minorEastAsia" w:hAnsi="Times New Roman" w:cs="Times New Roman"/>
          <w:sz w:val="24"/>
          <w:szCs w:val="24"/>
        </w:rPr>
        <w:t xml:space="preserve"> 45 years old, a sharp drop between the latter and 53 years old, and a slower decline for the older up to 58 years and then a rise up to 63 years and a</w:t>
      </w:r>
      <w:r>
        <w:rPr>
          <w:rFonts w:ascii="Times New Roman" w:eastAsiaTheme="minorEastAsia" w:hAnsi="Times New Roman" w:cs="Times New Roman"/>
          <w:sz w:val="24"/>
          <w:szCs w:val="24"/>
        </w:rPr>
        <w:t xml:space="preserve"> fall among the oldest. A broad </w:t>
      </w:r>
      <w:r w:rsidRPr="008269E4">
        <w:rPr>
          <w:rFonts w:ascii="Times New Roman" w:eastAsiaTheme="minorEastAsia" w:hAnsi="Times New Roman" w:cs="Times New Roman"/>
          <w:sz w:val="24"/>
          <w:szCs w:val="24"/>
        </w:rPr>
        <w:t>brush explanation is that</w:t>
      </w:r>
      <w:r>
        <w:rPr>
          <w:rFonts w:ascii="Times New Roman" w:eastAsiaTheme="minorEastAsia" w:hAnsi="Times New Roman" w:cs="Times New Roman"/>
          <w:sz w:val="24"/>
          <w:szCs w:val="24"/>
        </w:rPr>
        <w:t xml:space="preserve"> in India most of the age groups have experienced a steady rise in SWB as the average value </w:t>
      </w:r>
      <w:r w:rsidR="00174404">
        <w:rPr>
          <w:rFonts w:ascii="Times New Roman" w:eastAsiaTheme="minorEastAsia" w:hAnsi="Times New Roman" w:cs="Times New Roman"/>
          <w:sz w:val="24"/>
          <w:szCs w:val="24"/>
        </w:rPr>
        <w:t xml:space="preserve">is </w:t>
      </w:r>
      <w:r>
        <w:rPr>
          <w:rFonts w:ascii="Times New Roman" w:eastAsiaTheme="minorEastAsia" w:hAnsi="Times New Roman" w:cs="Times New Roman"/>
          <w:sz w:val="24"/>
          <w:szCs w:val="24"/>
        </w:rPr>
        <w:t>above 1.15. That is, there were more households on average whose household head reported perceived improvement in SWB than those whose head reported perceived deteriorations in SWB</w:t>
      </w:r>
      <w:r w:rsidR="005E4A56">
        <w:rPr>
          <w:rFonts w:ascii="Times New Roman" w:eastAsiaTheme="minorEastAsia" w:hAnsi="Times New Roman" w:cs="Times New Roman"/>
          <w:sz w:val="24"/>
          <w:szCs w:val="24"/>
        </w:rPr>
        <w:t>,</w:t>
      </w:r>
      <w:r w:rsidR="004D372C">
        <w:rPr>
          <w:rFonts w:ascii="Times New Roman" w:eastAsiaTheme="minorEastAsia" w:hAnsi="Times New Roman" w:cs="Times New Roman"/>
          <w:sz w:val="24"/>
          <w:szCs w:val="24"/>
        </w:rPr>
        <w:t xml:space="preserve"> </w:t>
      </w:r>
      <w:r w:rsidR="005E4A56" w:rsidRPr="005E4A56">
        <w:rPr>
          <w:rFonts w:ascii="Times New Roman" w:eastAsiaTheme="minorEastAsia" w:hAnsi="Times New Roman" w:cs="Times New Roman"/>
          <w:sz w:val="24"/>
          <w:szCs w:val="24"/>
        </w:rPr>
        <w:t>controlling for other covariates</w:t>
      </w:r>
      <w:r>
        <w:rPr>
          <w:rFonts w:ascii="Times New Roman" w:eastAsiaTheme="minorEastAsia" w:hAnsi="Times New Roman" w:cs="Times New Roman"/>
          <w:sz w:val="24"/>
          <w:szCs w:val="24"/>
        </w:rPr>
        <w:t xml:space="preserve">. </w:t>
      </w:r>
      <w:r w:rsidR="007478F3">
        <w:rPr>
          <w:rFonts w:ascii="Times New Roman" w:eastAsiaTheme="minorEastAsia" w:hAnsi="Times New Roman" w:cs="Times New Roman"/>
          <w:sz w:val="24"/>
          <w:szCs w:val="24"/>
        </w:rPr>
        <w:t xml:space="preserve">Overall, a household with an older household head experienced a higher level in ∆SWB, but the magnitude of increase started to fall after the peak of 45 years of age. </w:t>
      </w:r>
    </w:p>
    <w:p w14:paraId="0277725B" w14:textId="77777777" w:rsidR="00F1527A" w:rsidRDefault="00F1527A" w:rsidP="00262A6A">
      <w:pPr>
        <w:jc w:val="both"/>
        <w:rPr>
          <w:rFonts w:ascii="Times New Roman" w:eastAsiaTheme="minorEastAsia" w:hAnsi="Times New Roman" w:cs="Times New Roman"/>
          <w:sz w:val="24"/>
          <w:szCs w:val="24"/>
        </w:rPr>
      </w:pPr>
      <w:r w:rsidRPr="001C1D0E">
        <w:rPr>
          <w:rFonts w:ascii="Times New Roman" w:eastAsiaTheme="minorEastAsia" w:hAnsi="Times New Roman" w:cs="Times New Roman"/>
          <w:noProof/>
          <w:lang w:eastAsia="en-IN"/>
        </w:rPr>
        <w:drawing>
          <wp:inline distT="0" distB="0" distL="0" distR="0" wp14:anchorId="72B9E17D" wp14:editId="600C7936">
            <wp:extent cx="3699510" cy="2603500"/>
            <wp:effectExtent l="0" t="0" r="15240" b="635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B6AC5C8" w14:textId="77777777" w:rsidR="007A4441" w:rsidRPr="007A4441" w:rsidRDefault="007A4441" w:rsidP="00262A6A">
      <w:pPr>
        <w:jc w:val="both"/>
        <w:rPr>
          <w:rFonts w:ascii="Times New Roman" w:eastAsiaTheme="minorEastAsia" w:hAnsi="Times New Roman" w:cs="Times New Roman"/>
          <w:sz w:val="20"/>
          <w:szCs w:val="20"/>
        </w:rPr>
      </w:pPr>
      <w:r w:rsidRPr="007A4441">
        <w:rPr>
          <w:rFonts w:ascii="Times New Roman" w:eastAsiaTheme="minorEastAsia" w:hAnsi="Times New Roman" w:cs="Times New Roman"/>
          <w:sz w:val="20"/>
          <w:szCs w:val="20"/>
        </w:rPr>
        <w:t>Source: Authors’ computations</w:t>
      </w:r>
    </w:p>
    <w:p w14:paraId="0A325065" w14:textId="250D8A68" w:rsidR="00262A6A" w:rsidRDefault="00262A6A" w:rsidP="00262A6A">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On </w:t>
      </w:r>
      <w:r w:rsidR="008247BF">
        <w:rPr>
          <w:rFonts w:ascii="Times New Roman" w:eastAsiaTheme="minorEastAsia" w:hAnsi="Times New Roman" w:cs="Times New Roman"/>
          <w:sz w:val="24"/>
          <w:szCs w:val="24"/>
        </w:rPr>
        <w:t>schooling</w:t>
      </w:r>
      <w:r>
        <w:rPr>
          <w:rFonts w:ascii="Times New Roman" w:eastAsiaTheme="minorEastAsia" w:hAnsi="Times New Roman" w:cs="Times New Roman"/>
          <w:sz w:val="24"/>
          <w:szCs w:val="24"/>
        </w:rPr>
        <w:t>, r</w:t>
      </w:r>
      <w:r w:rsidRPr="008269E4">
        <w:rPr>
          <w:rFonts w:ascii="Times New Roman" w:eastAsiaTheme="minorEastAsia" w:hAnsi="Times New Roman" w:cs="Times New Roman"/>
          <w:sz w:val="24"/>
          <w:szCs w:val="24"/>
        </w:rPr>
        <w:t>elative to illiterates, t</w:t>
      </w:r>
      <w:r w:rsidR="00F1527A">
        <w:rPr>
          <w:rFonts w:ascii="Times New Roman" w:eastAsiaTheme="minorEastAsia" w:hAnsi="Times New Roman" w:cs="Times New Roman"/>
          <w:sz w:val="24"/>
          <w:szCs w:val="24"/>
        </w:rPr>
        <w:t>hose with second</w:t>
      </w:r>
      <w:r w:rsidR="002D43A2">
        <w:rPr>
          <w:rFonts w:ascii="Times New Roman" w:eastAsiaTheme="minorEastAsia" w:hAnsi="Times New Roman" w:cs="Times New Roman"/>
          <w:sz w:val="24"/>
          <w:szCs w:val="24"/>
        </w:rPr>
        <w:t>ar</w:t>
      </w:r>
      <w:r w:rsidR="00F1527A">
        <w:rPr>
          <w:rFonts w:ascii="Times New Roman" w:eastAsiaTheme="minorEastAsia" w:hAnsi="Times New Roman" w:cs="Times New Roman"/>
          <w:sz w:val="24"/>
          <w:szCs w:val="24"/>
        </w:rPr>
        <w:t xml:space="preserve">y school or </w:t>
      </w:r>
      <w:r w:rsidRPr="008269E4">
        <w:rPr>
          <w:rFonts w:ascii="Times New Roman" w:eastAsiaTheme="minorEastAsia" w:hAnsi="Times New Roman" w:cs="Times New Roman"/>
          <w:sz w:val="24"/>
          <w:szCs w:val="24"/>
        </w:rPr>
        <w:t xml:space="preserve">higher levels of schooling are associated with significantly higher </w:t>
      </w:r>
      <w:r>
        <w:rPr>
          <w:rFonts w:ascii="Times New Roman" w:eastAsiaTheme="minorEastAsia" w:hAnsi="Times New Roman" w:cs="Times New Roman"/>
          <w:sz w:val="24"/>
          <w:szCs w:val="24"/>
        </w:rPr>
        <w:t>∆</w:t>
      </w:r>
      <w:r w:rsidR="00F1527A">
        <w:rPr>
          <w:rFonts w:ascii="Times New Roman" w:eastAsiaTheme="minorEastAsia" w:hAnsi="Times New Roman" w:cs="Times New Roman"/>
          <w:sz w:val="24"/>
          <w:szCs w:val="24"/>
        </w:rPr>
        <w:t xml:space="preserve">SWB and </w:t>
      </w:r>
      <w:r>
        <w:rPr>
          <w:rFonts w:ascii="Times New Roman" w:eastAsiaTheme="minorEastAsia" w:hAnsi="Times New Roman" w:cs="Times New Roman"/>
          <w:sz w:val="24"/>
          <w:szCs w:val="24"/>
        </w:rPr>
        <w:t>∆OWB. While h</w:t>
      </w:r>
      <w:r w:rsidRPr="008269E4">
        <w:rPr>
          <w:rFonts w:ascii="Times New Roman" w:eastAsiaTheme="minorEastAsia" w:hAnsi="Times New Roman" w:cs="Times New Roman"/>
          <w:sz w:val="24"/>
          <w:szCs w:val="24"/>
        </w:rPr>
        <w:t>igher levels of schooling open avenues of more rem</w:t>
      </w:r>
      <w:r>
        <w:rPr>
          <w:rFonts w:ascii="Times New Roman" w:eastAsiaTheme="minorEastAsia" w:hAnsi="Times New Roman" w:cs="Times New Roman"/>
          <w:sz w:val="24"/>
          <w:szCs w:val="24"/>
        </w:rPr>
        <w:t xml:space="preserve">unerative and secure employment, </w:t>
      </w:r>
      <w:r w:rsidRPr="008269E4">
        <w:rPr>
          <w:rFonts w:ascii="Times New Roman" w:eastAsiaTheme="minorEastAsia" w:hAnsi="Times New Roman" w:cs="Times New Roman"/>
          <w:sz w:val="24"/>
          <w:szCs w:val="24"/>
        </w:rPr>
        <w:t xml:space="preserve">no less important are the non-economic reasons: better awareness of rights, entitlements and obligations. Schooling is in fact </w:t>
      </w:r>
      <w:proofErr w:type="gramStart"/>
      <w:r w:rsidRPr="008269E4">
        <w:rPr>
          <w:rFonts w:ascii="Times New Roman" w:eastAsiaTheme="minorEastAsia" w:hAnsi="Times New Roman" w:cs="Times New Roman"/>
          <w:i/>
          <w:sz w:val="24"/>
          <w:szCs w:val="24"/>
        </w:rPr>
        <w:t>key</w:t>
      </w:r>
      <w:proofErr w:type="gramEnd"/>
      <w:r w:rsidRPr="008269E4">
        <w:rPr>
          <w:rFonts w:ascii="Times New Roman" w:eastAsiaTheme="minorEastAsia" w:hAnsi="Times New Roman" w:cs="Times New Roman"/>
          <w:sz w:val="24"/>
          <w:szCs w:val="24"/>
        </w:rPr>
        <w:t xml:space="preserve"> to women’s empowerment. As </w:t>
      </w:r>
      <w:proofErr w:type="spellStart"/>
      <w:r w:rsidRPr="008269E4">
        <w:rPr>
          <w:rFonts w:ascii="Times New Roman" w:eastAsiaTheme="minorEastAsia" w:hAnsi="Times New Roman" w:cs="Times New Roman"/>
          <w:sz w:val="24"/>
          <w:szCs w:val="24"/>
        </w:rPr>
        <w:t>Kabeer</w:t>
      </w:r>
      <w:proofErr w:type="spellEnd"/>
      <w:r w:rsidRPr="008269E4">
        <w:rPr>
          <w:rFonts w:ascii="Times New Roman" w:eastAsiaTheme="minorEastAsia" w:hAnsi="Times New Roman" w:cs="Times New Roman"/>
          <w:sz w:val="24"/>
          <w:szCs w:val="24"/>
        </w:rPr>
        <w:t xml:space="preserve"> (2005) observes, better-schooled women in Tamil Nadu scored higher </w:t>
      </w:r>
      <w:r w:rsidR="008247BF">
        <w:rPr>
          <w:rFonts w:ascii="Times New Roman" w:eastAsiaTheme="minorEastAsia" w:hAnsi="Times New Roman" w:cs="Times New Roman"/>
          <w:sz w:val="24"/>
          <w:szCs w:val="24"/>
        </w:rPr>
        <w:t>on</w:t>
      </w:r>
      <w:r w:rsidRPr="008269E4">
        <w:rPr>
          <w:rFonts w:ascii="Times New Roman" w:eastAsiaTheme="minorEastAsia" w:hAnsi="Times New Roman" w:cs="Times New Roman"/>
          <w:sz w:val="24"/>
          <w:szCs w:val="24"/>
        </w:rPr>
        <w:t xml:space="preserve"> a composite index measuring their access to, and control over resources, as well as their role in economic decision-making. Both OLS and OP results show consistent results.</w:t>
      </w:r>
    </w:p>
    <w:p w14:paraId="4742E8CA" w14:textId="77777777" w:rsidR="00262A6A" w:rsidRPr="008269E4" w:rsidRDefault="00262A6A" w:rsidP="00262A6A">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Urbanisation has grown rapidly with globalisation in developing countries in recent decades. While there are distinct signs of rapid growth of prosperity, massive rural-urban migration has also resulted in rapid growth of slums. 1 out of 4 urban residents live in slums. However, compared to rural areas, public provision of education, medical care, and basic amenities such as electricity, drinking water and drainage system is much better. Hence it is not surprising that those living in urban areas are more likely to have higher </w:t>
      </w:r>
      <w:r w:rsidR="00E71B38">
        <w:rPr>
          <w:rFonts w:ascii="Times New Roman" w:eastAsiaTheme="minorEastAsia" w:hAnsi="Times New Roman" w:cs="Times New Roman"/>
          <w:sz w:val="24"/>
          <w:szCs w:val="24"/>
        </w:rPr>
        <w:t>∆SWB</w:t>
      </w:r>
      <w:r w:rsidR="00B276BE">
        <w:rPr>
          <w:rFonts w:ascii="Times New Roman" w:eastAsiaTheme="minorEastAsia" w:hAnsi="Times New Roman" w:cs="Times New Roman"/>
          <w:sz w:val="24"/>
          <w:szCs w:val="24"/>
        </w:rPr>
        <w:t xml:space="preserve"> and ∆OWB, relative to rural areas. </w:t>
      </w:r>
    </w:p>
    <w:p w14:paraId="6CE96CC4" w14:textId="3AFB9611" w:rsidR="00C84F90" w:rsidRPr="008269E4" w:rsidRDefault="00C84F90" w:rsidP="00C84F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lastRenderedPageBreak/>
        <w:t xml:space="preserve">The macro context is significant too. Two aspects are considered. One is state affluence measured through NSDP per capita and its square. The second is the Piketty measure of extreme income inequality. As expected, the relationship between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SWB </w:t>
      </w:r>
      <w:r w:rsidR="00B276BE">
        <w:rPr>
          <w:rFonts w:ascii="Times New Roman" w:eastAsiaTheme="minorEastAsia" w:hAnsi="Times New Roman" w:cs="Times New Roman"/>
          <w:sz w:val="24"/>
          <w:szCs w:val="24"/>
        </w:rPr>
        <w:t xml:space="preserve">or ∆OWB </w:t>
      </w:r>
      <w:r w:rsidRPr="008269E4">
        <w:rPr>
          <w:rFonts w:ascii="Times New Roman" w:eastAsiaTheme="minorEastAsia" w:hAnsi="Times New Roman" w:cs="Times New Roman"/>
          <w:sz w:val="24"/>
          <w:szCs w:val="24"/>
        </w:rPr>
        <w:t>and state affluence is positive and significant</w:t>
      </w:r>
      <w:r>
        <w:rPr>
          <w:rFonts w:ascii="Times New Roman" w:eastAsiaTheme="minorEastAsia" w:hAnsi="Times New Roman" w:cs="Times New Roman"/>
          <w:sz w:val="24"/>
          <w:szCs w:val="24"/>
        </w:rPr>
        <w:t>. We have also found that the relationship between ∆SWB</w:t>
      </w:r>
      <w:r w:rsidR="00B276BE">
        <w:rPr>
          <w:rFonts w:ascii="Times New Roman" w:eastAsiaTheme="minorEastAsia" w:hAnsi="Times New Roman" w:cs="Times New Roman"/>
          <w:sz w:val="24"/>
          <w:szCs w:val="24"/>
        </w:rPr>
        <w:t xml:space="preserve"> or ∆OWB</w:t>
      </w:r>
      <w:r w:rsidRPr="008269E4">
        <w:rPr>
          <w:rFonts w:ascii="Times New Roman" w:eastAsiaTheme="minorEastAsia" w:hAnsi="Times New Roman" w:cs="Times New Roman"/>
          <w:sz w:val="24"/>
          <w:szCs w:val="24"/>
        </w:rPr>
        <w:t xml:space="preserve"> and the square of NSDP per capita is negative and significant. It follows therefore that well-being rises in association with state affluence but at a diminishing rate. One conjecture is that state affluence is linked to better </w:t>
      </w:r>
      <w:r>
        <w:rPr>
          <w:rFonts w:ascii="Times New Roman" w:eastAsiaTheme="minorEastAsia" w:hAnsi="Times New Roman" w:cs="Times New Roman"/>
          <w:sz w:val="24"/>
          <w:szCs w:val="24"/>
        </w:rPr>
        <w:t>infrastructure (</w:t>
      </w:r>
      <w:r w:rsidRPr="008269E4">
        <w:rPr>
          <w:rFonts w:ascii="Times New Roman" w:eastAsiaTheme="minorEastAsia" w:hAnsi="Times New Roman" w:cs="Times New Roman"/>
          <w:sz w:val="24"/>
          <w:szCs w:val="24"/>
        </w:rPr>
        <w:t>public health</w:t>
      </w:r>
      <w:r>
        <w:rPr>
          <w:rFonts w:ascii="Times New Roman" w:eastAsiaTheme="minorEastAsia" w:hAnsi="Times New Roman" w:cs="Times New Roman"/>
          <w:sz w:val="24"/>
          <w:szCs w:val="24"/>
        </w:rPr>
        <w:t xml:space="preserve">, transportation, and telecommunication) and </w:t>
      </w:r>
      <w:r w:rsidRPr="008269E4">
        <w:rPr>
          <w:rFonts w:ascii="Times New Roman" w:eastAsiaTheme="minorEastAsia" w:hAnsi="Times New Roman" w:cs="Times New Roman"/>
          <w:sz w:val="24"/>
          <w:szCs w:val="24"/>
        </w:rPr>
        <w:t>schooling quality. In such a context, well-being is likely to be higher in more affluent states. However, the diminution of this association at higher levels of affluence suggests that provision of public goods does not grow apace with state affluence because of special interest groups pursuing their own agenda</w:t>
      </w:r>
      <w:r w:rsidR="00823595">
        <w:rPr>
          <w:rFonts w:ascii="Times New Roman" w:eastAsiaTheme="minorEastAsia" w:hAnsi="Times New Roman" w:cs="Times New Roman"/>
          <w:sz w:val="24"/>
          <w:szCs w:val="24"/>
        </w:rPr>
        <w:t xml:space="preserve"> and/or diminishing marginal effects of public goods</w:t>
      </w:r>
      <w:r w:rsidRPr="008269E4">
        <w:rPr>
          <w:rFonts w:ascii="Times New Roman" w:eastAsiaTheme="minorEastAsia" w:hAnsi="Times New Roman" w:cs="Times New Roman"/>
          <w:sz w:val="24"/>
          <w:szCs w:val="24"/>
        </w:rPr>
        <w:t>. Besides, while lobbying is inevitable, it is not clear how to regulate it or, who regulates the regulator (Stigler, 1971).</w:t>
      </w:r>
    </w:p>
    <w:p w14:paraId="51FE7DCF" w14:textId="2B69A9F5" w:rsidR="00F1527A" w:rsidRDefault="00CA05DE" w:rsidP="00E95D90">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Secondly, </w:t>
      </w:r>
      <w:r w:rsidR="00B276BE" w:rsidRPr="00B276BE">
        <w:rPr>
          <w:rFonts w:ascii="Times New Roman" w:eastAsiaTheme="minorEastAsia" w:hAnsi="Times New Roman" w:cs="Times New Roman"/>
          <w:sz w:val="24"/>
          <w:szCs w:val="24"/>
        </w:rPr>
        <w:t>we have identified the factors significantly associated with ∆SWB, but not ∆OWB.</w:t>
      </w:r>
      <w:r w:rsidR="00B276BE">
        <w:rPr>
          <w:rFonts w:ascii="Times New Roman" w:eastAsiaTheme="minorEastAsia" w:hAnsi="Times New Roman" w:cs="Times New Roman"/>
          <w:sz w:val="24"/>
          <w:szCs w:val="24"/>
        </w:rPr>
        <w:t xml:space="preserve"> We have found that </w:t>
      </w:r>
      <w:r w:rsidR="00B276BE" w:rsidRPr="00B276BE">
        <w:rPr>
          <w:rFonts w:ascii="Times New Roman" w:eastAsiaTheme="minorEastAsia" w:hAnsi="Times New Roman" w:cs="Times New Roman"/>
          <w:sz w:val="24"/>
          <w:szCs w:val="24"/>
        </w:rPr>
        <w:t xml:space="preserve">households with </w:t>
      </w:r>
      <w:r w:rsidR="00B276BE">
        <w:rPr>
          <w:rFonts w:ascii="Times New Roman" w:eastAsiaTheme="minorEastAsia" w:hAnsi="Times New Roman" w:cs="Times New Roman"/>
          <w:sz w:val="24"/>
          <w:szCs w:val="24"/>
        </w:rPr>
        <w:t xml:space="preserve">a female household head, </w:t>
      </w:r>
      <w:r w:rsidR="00B276BE" w:rsidRPr="00B276BE">
        <w:rPr>
          <w:rFonts w:ascii="Times New Roman" w:eastAsiaTheme="minorEastAsia" w:hAnsi="Times New Roman" w:cs="Times New Roman"/>
          <w:sz w:val="24"/>
          <w:szCs w:val="24"/>
        </w:rPr>
        <w:t xml:space="preserve">more male members in the labour market, with </w:t>
      </w:r>
      <w:r w:rsidR="00F06FBB">
        <w:rPr>
          <w:rFonts w:ascii="Times New Roman" w:eastAsiaTheme="minorEastAsia" w:hAnsi="Times New Roman" w:cs="Times New Roman"/>
          <w:sz w:val="24"/>
          <w:szCs w:val="24"/>
        </w:rPr>
        <w:t xml:space="preserve">regular </w:t>
      </w:r>
      <w:r w:rsidR="005E4A56">
        <w:rPr>
          <w:rFonts w:ascii="Times New Roman" w:eastAsiaTheme="minorEastAsia" w:hAnsi="Times New Roman" w:cs="Times New Roman"/>
          <w:sz w:val="24"/>
          <w:szCs w:val="24"/>
        </w:rPr>
        <w:t>exposure</w:t>
      </w:r>
      <w:r w:rsidR="004D372C">
        <w:rPr>
          <w:rFonts w:ascii="Times New Roman" w:eastAsiaTheme="minorEastAsia" w:hAnsi="Times New Roman" w:cs="Times New Roman"/>
          <w:sz w:val="24"/>
          <w:szCs w:val="24"/>
        </w:rPr>
        <w:t xml:space="preserve"> </w:t>
      </w:r>
      <w:r w:rsidR="00B276BE" w:rsidRPr="00B276BE">
        <w:rPr>
          <w:rFonts w:ascii="Times New Roman" w:eastAsiaTheme="minorEastAsia" w:hAnsi="Times New Roman" w:cs="Times New Roman"/>
          <w:sz w:val="24"/>
          <w:szCs w:val="24"/>
        </w:rPr>
        <w:t xml:space="preserve">to mass media, without members suffering from non-communicable diseases or disability </w:t>
      </w:r>
      <w:r w:rsidR="008247BF">
        <w:rPr>
          <w:rFonts w:ascii="Times New Roman" w:eastAsiaTheme="minorEastAsia" w:hAnsi="Times New Roman" w:cs="Times New Roman"/>
          <w:sz w:val="24"/>
          <w:szCs w:val="24"/>
        </w:rPr>
        <w:t>are</w:t>
      </w:r>
      <w:r w:rsidR="00B276BE" w:rsidRPr="00B276BE">
        <w:rPr>
          <w:rFonts w:ascii="Times New Roman" w:eastAsiaTheme="minorEastAsia" w:hAnsi="Times New Roman" w:cs="Times New Roman"/>
          <w:sz w:val="24"/>
          <w:szCs w:val="24"/>
        </w:rPr>
        <w:t xml:space="preserve"> more likely to be better</w:t>
      </w:r>
      <w:r w:rsidR="0095689A">
        <w:rPr>
          <w:rFonts w:ascii="Times New Roman" w:eastAsiaTheme="minorEastAsia" w:hAnsi="Times New Roman" w:cs="Times New Roman"/>
          <w:sz w:val="24"/>
          <w:szCs w:val="24"/>
        </w:rPr>
        <w:t>-</w:t>
      </w:r>
      <w:r w:rsidR="00B276BE" w:rsidRPr="00B276BE">
        <w:rPr>
          <w:rFonts w:ascii="Times New Roman" w:eastAsiaTheme="minorEastAsia" w:hAnsi="Times New Roman" w:cs="Times New Roman"/>
          <w:sz w:val="24"/>
          <w:szCs w:val="24"/>
        </w:rPr>
        <w:t xml:space="preserve"> off subjectively without experiencing corresponding improvement in OWB.</w:t>
      </w:r>
    </w:p>
    <w:p w14:paraId="2B2D498A" w14:textId="77777777" w:rsidR="007478F3" w:rsidRPr="008269E4" w:rsidRDefault="007478F3" w:rsidP="007478F3">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Relative to men, women </w:t>
      </w:r>
      <w:r>
        <w:rPr>
          <w:rFonts w:ascii="Times New Roman" w:eastAsiaTheme="minorEastAsia" w:hAnsi="Times New Roman" w:cs="Times New Roman"/>
          <w:sz w:val="24"/>
          <w:szCs w:val="24"/>
        </w:rPr>
        <w:t xml:space="preserve">are more likely to perceive a better change in SWB. </w:t>
      </w:r>
      <w:r w:rsidRPr="008269E4">
        <w:rPr>
          <w:rFonts w:ascii="Times New Roman" w:eastAsiaTheme="minorEastAsia" w:hAnsi="Times New Roman" w:cs="Times New Roman"/>
          <w:sz w:val="24"/>
          <w:szCs w:val="24"/>
        </w:rPr>
        <w:t xml:space="preserve">Available evidence points to women being better-off in specific contexts (Deaton, 2011, 2018, Dolan et al. 2008, among others). However, women in India-especially in the north- are subject to widespread abuse, violence and discrimination in employment. It is thus highly improbable that they enjoy higher well-being unless there is diminution of abuse and violence (Kulkarni et al. 2013). </w:t>
      </w:r>
    </w:p>
    <w:p w14:paraId="036AF6B9" w14:textId="20BC9E86" w:rsidR="007478F3" w:rsidRPr="008269E4" w:rsidRDefault="007478F3" w:rsidP="007478F3">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Religion is </w:t>
      </w:r>
      <w:r w:rsidR="0095689A">
        <w:rPr>
          <w:rFonts w:ascii="Times New Roman" w:eastAsiaTheme="minorEastAsia" w:hAnsi="Times New Roman" w:cs="Times New Roman"/>
          <w:sz w:val="24"/>
          <w:szCs w:val="24"/>
        </w:rPr>
        <w:t>important</w:t>
      </w:r>
      <w:proofErr w:type="gramStart"/>
      <w:r w:rsidR="0095689A">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w:t>
      </w:r>
      <w:proofErr w:type="gramEnd"/>
      <w:r w:rsidRPr="008269E4">
        <w:rPr>
          <w:rFonts w:ascii="Times New Roman" w:eastAsiaTheme="minorEastAsia" w:hAnsi="Times New Roman" w:cs="Times New Roman"/>
          <w:sz w:val="24"/>
          <w:szCs w:val="24"/>
        </w:rPr>
        <w:t xml:space="preserve"> While Dolan et al. (2008) is an early review of evidence on religion and its practice, Deaton (2011, 2018) offer a richer and more insightful review of the relationship between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SWB, religion and religiosity. Our analysis is confined to the relationship between change in well-being and major religious groups. Relative to Hindus, Muslims and Others (belonging to Jainism, Buddhism) are less likely to be worse-off and just the same and more likely to be better-off. The OLS results are similar in as much as change in SWB is significantly higher among these religions. Two observations are pertinent. One is that Hinduism has no specific beliefs that must be adhered to by every Hindu. Instead, it is inclusive of many different beliefs of which some are contradictory (e.g., hidden within Hinduism are both theistic and semi-theistic philosophies). Besides, in Hinduism today there exists, on the one hand, faith in the efficacy of ritual and desire for its worldly fruits and, on the other, disregard for all external practices and material results (</w:t>
      </w:r>
      <w:r w:rsidRPr="008269E4">
        <w:rPr>
          <w:rFonts w:ascii="Times New Roman" w:eastAsiaTheme="minorEastAsia" w:hAnsi="Times New Roman" w:cs="Times New Roman"/>
          <w:i/>
          <w:sz w:val="24"/>
          <w:szCs w:val="24"/>
        </w:rPr>
        <w:t>Encyclopaedia Britannica</w:t>
      </w:r>
      <w:r w:rsidRPr="008269E4">
        <w:rPr>
          <w:rFonts w:ascii="Times New Roman" w:eastAsiaTheme="minorEastAsia" w:hAnsi="Times New Roman" w:cs="Times New Roman"/>
          <w:sz w:val="24"/>
          <w:szCs w:val="24"/>
        </w:rPr>
        <w:t>, 2021). On the broader question of why religion matters is that belief in God enables the followers to be calm, generous, sensitive to pain and suffering of others and helps imbibe the virtues of integrity and forbearance (Dolan et al. 2008, Deaton, 2011, 2018). That this is not entirely true is manifested by communal riots except that more often than not these are caused by miscreants. Maintaining religious harmony is thus essential.</w:t>
      </w:r>
    </w:p>
    <w:p w14:paraId="3987C48A" w14:textId="77777777" w:rsidR="007478F3" w:rsidRPr="008269E4" w:rsidRDefault="007478F3" w:rsidP="007478F3">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lastRenderedPageBreak/>
        <w:t>Inherent in the caste-system is a socio-economic hierarchy, with Brahmins and High Castes at the top and SCs/Dalits and STs/</w:t>
      </w:r>
      <w:proofErr w:type="spellStart"/>
      <w:r w:rsidRPr="008269E4">
        <w:rPr>
          <w:rFonts w:ascii="Times New Roman" w:eastAsiaTheme="minorEastAsia" w:hAnsi="Times New Roman" w:cs="Times New Roman"/>
          <w:i/>
          <w:sz w:val="24"/>
          <w:szCs w:val="24"/>
        </w:rPr>
        <w:t>Adivasis</w:t>
      </w:r>
      <w:proofErr w:type="spellEnd"/>
      <w:r w:rsidRPr="008269E4">
        <w:rPr>
          <w:rFonts w:ascii="Times New Roman" w:eastAsiaTheme="minorEastAsia" w:hAnsi="Times New Roman" w:cs="Times New Roman"/>
          <w:sz w:val="24"/>
          <w:szCs w:val="24"/>
        </w:rPr>
        <w:t xml:space="preserve"> at the bottom. Inter-caste marriages are abhorred and, despite affirmative action (reservations in </w:t>
      </w:r>
      <w:r w:rsidR="004076FA">
        <w:rPr>
          <w:rFonts w:ascii="Times New Roman" w:eastAsiaTheme="minorEastAsia" w:hAnsi="Times New Roman" w:cs="Times New Roman"/>
          <w:sz w:val="24"/>
          <w:szCs w:val="24"/>
        </w:rPr>
        <w:t>schools and colleges,</w:t>
      </w:r>
      <w:r w:rsidRPr="008269E4">
        <w:rPr>
          <w:rFonts w:ascii="Times New Roman" w:eastAsiaTheme="minorEastAsia" w:hAnsi="Times New Roman" w:cs="Times New Roman"/>
          <w:sz w:val="24"/>
          <w:szCs w:val="24"/>
        </w:rPr>
        <w:t xml:space="preserve"> and public employment), the fate of lower castes has not significantly improved. Discrimination against lower castes in employment is rampant as the legislation against discrimination is largely ineffective (Deshpande, 2013). So the associations between improvement in perceived well-being </w:t>
      </w:r>
      <w:r>
        <w:rPr>
          <w:rFonts w:ascii="Times New Roman" w:eastAsiaTheme="minorEastAsia" w:hAnsi="Times New Roman" w:cs="Times New Roman"/>
          <w:sz w:val="24"/>
          <w:szCs w:val="24"/>
        </w:rPr>
        <w:t xml:space="preserve">(∆SWB) </w:t>
      </w:r>
      <w:r w:rsidRPr="008269E4">
        <w:rPr>
          <w:rFonts w:ascii="Times New Roman" w:eastAsiaTheme="minorEastAsia" w:hAnsi="Times New Roman" w:cs="Times New Roman"/>
          <w:sz w:val="24"/>
          <w:szCs w:val="24"/>
        </w:rPr>
        <w:t xml:space="preserve">and caste are not in consonance with the hierarchy. In comparison with OBCs (a low caste group but higher ranked than </w:t>
      </w:r>
      <w:r w:rsidRPr="008269E4">
        <w:rPr>
          <w:rFonts w:ascii="Times New Roman" w:eastAsiaTheme="minorEastAsia" w:hAnsi="Times New Roman" w:cs="Times New Roman"/>
          <w:i/>
          <w:sz w:val="24"/>
          <w:szCs w:val="24"/>
        </w:rPr>
        <w:t>Dalits</w:t>
      </w:r>
      <w:r w:rsidRPr="008269E4">
        <w:rPr>
          <w:rFonts w:ascii="Times New Roman" w:eastAsiaTheme="minorEastAsia" w:hAnsi="Times New Roman" w:cs="Times New Roman"/>
          <w:sz w:val="24"/>
          <w:szCs w:val="24"/>
        </w:rPr>
        <w:t xml:space="preserve"> and </w:t>
      </w:r>
      <w:proofErr w:type="spellStart"/>
      <w:r w:rsidRPr="008269E4">
        <w:rPr>
          <w:rFonts w:ascii="Times New Roman" w:eastAsiaTheme="minorEastAsia" w:hAnsi="Times New Roman" w:cs="Times New Roman"/>
          <w:i/>
          <w:sz w:val="24"/>
          <w:szCs w:val="24"/>
        </w:rPr>
        <w:t>Adivasis</w:t>
      </w:r>
      <w:proofErr w:type="spellEnd"/>
      <w:r w:rsidRPr="008269E4">
        <w:rPr>
          <w:rFonts w:ascii="Times New Roman" w:eastAsiaTheme="minorEastAsia" w:hAnsi="Times New Roman" w:cs="Times New Roman"/>
          <w:sz w:val="24"/>
          <w:szCs w:val="24"/>
        </w:rPr>
        <w:t xml:space="preserve">), Brahmins </w:t>
      </w:r>
      <w:r w:rsidR="00F241F4">
        <w:rPr>
          <w:rFonts w:ascii="Times New Roman" w:eastAsiaTheme="minorEastAsia" w:hAnsi="Times New Roman" w:cs="Times New Roman"/>
          <w:sz w:val="24"/>
          <w:szCs w:val="24"/>
        </w:rPr>
        <w:t xml:space="preserve">do not </w:t>
      </w:r>
      <w:r w:rsidRPr="008269E4">
        <w:rPr>
          <w:rFonts w:ascii="Times New Roman" w:eastAsiaTheme="minorEastAsia" w:hAnsi="Times New Roman" w:cs="Times New Roman"/>
          <w:sz w:val="24"/>
          <w:szCs w:val="24"/>
        </w:rPr>
        <w:t xml:space="preserve">display a significantly </w:t>
      </w:r>
      <w:r w:rsidR="005E4A56">
        <w:rPr>
          <w:rFonts w:ascii="Times New Roman" w:eastAsiaTheme="minorEastAsia" w:hAnsi="Times New Roman" w:cs="Times New Roman"/>
          <w:sz w:val="24"/>
          <w:szCs w:val="24"/>
        </w:rPr>
        <w:t>higher</w:t>
      </w:r>
      <w:r w:rsidR="004D372C">
        <w:rPr>
          <w:rFonts w:ascii="Times New Roman" w:eastAsiaTheme="minorEastAsia" w:hAnsi="Times New Roman" w:cs="Times New Roman"/>
          <w:sz w:val="24"/>
          <w:szCs w:val="24"/>
        </w:rPr>
        <w:t xml:space="preserve"> </w:t>
      </w:r>
      <w:r w:rsidR="006B0320">
        <w:rPr>
          <w:rFonts w:ascii="Times New Roman" w:eastAsiaTheme="minorEastAsia" w:hAnsi="Times New Roman" w:cs="Times New Roman"/>
          <w:sz w:val="24"/>
          <w:szCs w:val="24"/>
        </w:rPr>
        <w:t>increase</w:t>
      </w:r>
      <w:r w:rsidR="004D372C">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 xml:space="preserve">in </w:t>
      </w:r>
      <w:r>
        <w:rPr>
          <w:rFonts w:ascii="Times New Roman" w:eastAsiaTheme="minorEastAsia" w:hAnsi="Times New Roman" w:cs="Times New Roman"/>
          <w:sz w:val="24"/>
          <w:szCs w:val="24"/>
        </w:rPr>
        <w:t xml:space="preserve">SWB. </w:t>
      </w:r>
      <w:r w:rsidRPr="008269E4">
        <w:rPr>
          <w:rFonts w:ascii="Times New Roman" w:eastAsiaTheme="minorEastAsia" w:hAnsi="Times New Roman" w:cs="Times New Roman"/>
          <w:sz w:val="24"/>
          <w:szCs w:val="24"/>
        </w:rPr>
        <w:t>SCs/</w:t>
      </w:r>
      <w:r w:rsidRPr="008269E4">
        <w:rPr>
          <w:rFonts w:ascii="Times New Roman" w:eastAsiaTheme="minorEastAsia" w:hAnsi="Times New Roman" w:cs="Times New Roman"/>
          <w:i/>
          <w:sz w:val="24"/>
          <w:szCs w:val="24"/>
        </w:rPr>
        <w:t>Dalits</w:t>
      </w:r>
      <w:r w:rsidRPr="008269E4">
        <w:rPr>
          <w:rFonts w:ascii="Times New Roman" w:eastAsiaTheme="minorEastAsia" w:hAnsi="Times New Roman" w:cs="Times New Roman"/>
          <w:sz w:val="24"/>
          <w:szCs w:val="24"/>
        </w:rPr>
        <w:t xml:space="preserve"> display </w:t>
      </w:r>
      <w:r>
        <w:rPr>
          <w:rFonts w:ascii="Times New Roman" w:eastAsiaTheme="minorEastAsia" w:hAnsi="Times New Roman" w:cs="Times New Roman"/>
          <w:sz w:val="24"/>
          <w:szCs w:val="24"/>
        </w:rPr>
        <w:t xml:space="preserve">a significantly </w:t>
      </w:r>
      <w:r w:rsidR="006B0320">
        <w:rPr>
          <w:rFonts w:ascii="Times New Roman" w:eastAsiaTheme="minorEastAsia" w:hAnsi="Times New Roman" w:cs="Times New Roman"/>
          <w:sz w:val="24"/>
          <w:szCs w:val="24"/>
        </w:rPr>
        <w:t xml:space="preserve">higher </w:t>
      </w:r>
      <w:r>
        <w:rPr>
          <w:rFonts w:ascii="Times New Roman" w:eastAsiaTheme="minorEastAsia" w:hAnsi="Times New Roman" w:cs="Times New Roman"/>
          <w:sz w:val="24"/>
          <w:szCs w:val="24"/>
        </w:rPr>
        <w:t>∆SWB</w:t>
      </w:r>
      <w:r w:rsidR="00463762">
        <w:rPr>
          <w:rFonts w:ascii="Times New Roman" w:eastAsiaTheme="minorEastAsia" w:hAnsi="Times New Roman" w:cs="Times New Roman"/>
          <w:sz w:val="24"/>
          <w:szCs w:val="24"/>
        </w:rPr>
        <w:t xml:space="preserve"> and ∆OWB</w:t>
      </w:r>
      <w:r w:rsidRPr="008269E4">
        <w:rPr>
          <w:rFonts w:ascii="Times New Roman" w:eastAsiaTheme="minorEastAsia" w:hAnsi="Times New Roman" w:cs="Times New Roman"/>
          <w:sz w:val="24"/>
          <w:szCs w:val="24"/>
        </w:rPr>
        <w:t xml:space="preserve"> while STs/</w:t>
      </w:r>
      <w:proofErr w:type="spellStart"/>
      <w:r w:rsidRPr="008269E4">
        <w:rPr>
          <w:rFonts w:ascii="Times New Roman" w:eastAsiaTheme="minorEastAsia" w:hAnsi="Times New Roman" w:cs="Times New Roman"/>
          <w:i/>
          <w:sz w:val="24"/>
          <w:szCs w:val="24"/>
        </w:rPr>
        <w:t>Adivasis</w:t>
      </w:r>
      <w:proofErr w:type="spellEnd"/>
      <w:r w:rsidRPr="008269E4">
        <w:rPr>
          <w:rFonts w:ascii="Times New Roman" w:eastAsiaTheme="minorEastAsia" w:hAnsi="Times New Roman" w:cs="Times New Roman"/>
          <w:i/>
          <w:sz w:val="24"/>
          <w:szCs w:val="24"/>
        </w:rPr>
        <w:t xml:space="preserve"> </w:t>
      </w:r>
      <w:r w:rsidRPr="008269E4">
        <w:rPr>
          <w:rFonts w:ascii="Times New Roman" w:eastAsiaTheme="minorEastAsia" w:hAnsi="Times New Roman" w:cs="Times New Roman"/>
          <w:sz w:val="24"/>
          <w:szCs w:val="24"/>
        </w:rPr>
        <w:t>record a significant positive relationship</w:t>
      </w:r>
      <w:r w:rsidR="00463762">
        <w:rPr>
          <w:rFonts w:ascii="Times New Roman" w:eastAsiaTheme="minorEastAsia" w:hAnsi="Times New Roman" w:cs="Times New Roman"/>
          <w:sz w:val="24"/>
          <w:szCs w:val="24"/>
        </w:rPr>
        <w:t xml:space="preserve"> with respect to ∆SWB and a negative relationship to ∆OWB</w:t>
      </w:r>
      <w:r w:rsidR="00463762">
        <w:rPr>
          <w:rStyle w:val="FootnoteReference"/>
          <w:rFonts w:ascii="Times New Roman" w:eastAsiaTheme="minorEastAsia" w:hAnsi="Times New Roman" w:cs="Times New Roman"/>
          <w:sz w:val="24"/>
          <w:szCs w:val="24"/>
        </w:rPr>
        <w:footnoteReference w:id="19"/>
      </w:r>
      <w:r>
        <w:rPr>
          <w:rFonts w:ascii="Times New Roman" w:eastAsiaTheme="minorEastAsia" w:hAnsi="Times New Roman" w:cs="Times New Roman"/>
          <w:sz w:val="24"/>
          <w:szCs w:val="24"/>
        </w:rPr>
        <w:t xml:space="preserve">. Others - a mixed </w:t>
      </w:r>
      <w:r w:rsidRPr="008269E4">
        <w:rPr>
          <w:rFonts w:ascii="Times New Roman" w:eastAsiaTheme="minorEastAsia" w:hAnsi="Times New Roman" w:cs="Times New Roman"/>
          <w:sz w:val="24"/>
          <w:szCs w:val="24"/>
        </w:rPr>
        <w:t>but more affluent group- show a significantly lower</w:t>
      </w:r>
      <w:r w:rsidR="00F241F4">
        <w:rPr>
          <w:rFonts w:ascii="Times New Roman" w:eastAsiaTheme="minorEastAsia" w:hAnsi="Times New Roman" w:cs="Times New Roman"/>
          <w:sz w:val="24"/>
          <w:szCs w:val="24"/>
        </w:rPr>
        <w:t xml:space="preserve"> ∆SWB</w:t>
      </w:r>
      <w:r w:rsidRPr="008269E4">
        <w:rPr>
          <w:rFonts w:ascii="Times New Roman" w:eastAsiaTheme="minorEastAsia" w:hAnsi="Times New Roman" w:cs="Times New Roman"/>
          <w:sz w:val="24"/>
          <w:szCs w:val="24"/>
        </w:rPr>
        <w:t xml:space="preserve">. It is thus implied that poverty and well-being do not necessarily move in tandem. </w:t>
      </w:r>
    </w:p>
    <w:p w14:paraId="288BB7DA" w14:textId="7F1A4574" w:rsidR="007478F3" w:rsidRDefault="007478F3" w:rsidP="007478F3">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Another income</w:t>
      </w:r>
      <w:r w:rsidR="00446207">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related variable is employment. The larger the number of adult male workers in a household, the greater is improvement in SWB</w:t>
      </w:r>
      <w:r w:rsidR="00B276BE">
        <w:rPr>
          <w:rFonts w:ascii="Times New Roman" w:eastAsiaTheme="minorEastAsia" w:hAnsi="Times New Roman" w:cs="Times New Roman"/>
          <w:sz w:val="24"/>
          <w:szCs w:val="24"/>
        </w:rPr>
        <w:t>, but not OWB.</w:t>
      </w:r>
      <w:r w:rsidRPr="008269E4">
        <w:rPr>
          <w:rFonts w:ascii="Times New Roman" w:eastAsiaTheme="minorEastAsia" w:hAnsi="Times New Roman" w:cs="Times New Roman"/>
          <w:sz w:val="24"/>
          <w:szCs w:val="24"/>
        </w:rPr>
        <w:t xml:space="preserve"> It has been emphasised that short-term unemployment is not </w:t>
      </w:r>
      <w:proofErr w:type="gramStart"/>
      <w:r w:rsidRPr="008269E4">
        <w:rPr>
          <w:rFonts w:ascii="Times New Roman" w:eastAsiaTheme="minorEastAsia" w:hAnsi="Times New Roman" w:cs="Times New Roman"/>
          <w:sz w:val="24"/>
          <w:szCs w:val="24"/>
        </w:rPr>
        <w:t>so</w:t>
      </w:r>
      <w:proofErr w:type="gramEnd"/>
      <w:r w:rsidRPr="008269E4">
        <w:rPr>
          <w:rFonts w:ascii="Times New Roman" w:eastAsiaTheme="minorEastAsia" w:hAnsi="Times New Roman" w:cs="Times New Roman"/>
          <w:sz w:val="24"/>
          <w:szCs w:val="24"/>
        </w:rPr>
        <w:t xml:space="preserve"> demoralising as longer-term unemployment. We are unable to test this hypothesis. However, as noted in the previous two sub-sections, the estimates of duration of employment /hours worked in a year are not sufficiently disaggregated to identify number of hours at which work-leisure choice occurs. In any case, available evidence for other developing countries is mixed (Dolan et al. 2008). </w:t>
      </w:r>
    </w:p>
    <w:p w14:paraId="1318F83F" w14:textId="2DE77DFC" w:rsidR="007478F3" w:rsidRPr="008269E4" w:rsidRDefault="007478F3" w:rsidP="007478F3">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Chronic diseases and disabilities have long</w:t>
      </w:r>
      <w:r w:rsidR="00446207">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lasting effects. Stroke, osteoporosis, cancer, mental disorder, vision impairment, difficulty in walking, and dressing not only act as impediments to remunerative employment but also are a financial burden on the family. Besides, it is demeaning to be dependent on others in carrying out activities of daily living. So it is not surprising that a negative association between SWB and ill-health across different regions and countries is observed (e.g., Deaton 2011, 2018). Data constraints restricted our analysis to 4 major NCDS: hypertension, cardio-vascular diseases, diabetes and cancer and change in SWB.  However, the coverage of disabilities or limitations of ADL is more detailed. Our results confirm a robust negative relationship between lower </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SWB</w:t>
      </w:r>
      <w:r w:rsidR="004D372C">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and N</w:t>
      </w:r>
      <w:r w:rsidR="004010EE">
        <w:rPr>
          <w:rFonts w:ascii="Times New Roman" w:eastAsiaTheme="minorEastAsia" w:hAnsi="Times New Roman" w:cs="Times New Roman"/>
          <w:sz w:val="24"/>
          <w:szCs w:val="24"/>
        </w:rPr>
        <w:t xml:space="preserve">CDs in both OLS and OP results, but this is not found for ∆OWB. </w:t>
      </w:r>
      <w:r w:rsidRPr="008269E4">
        <w:rPr>
          <w:rFonts w:ascii="Times New Roman" w:eastAsiaTheme="minorEastAsia" w:hAnsi="Times New Roman" w:cs="Times New Roman"/>
          <w:sz w:val="24"/>
          <w:szCs w:val="24"/>
        </w:rPr>
        <w:t xml:space="preserve">An equally robust negative association is observed between lower </w:t>
      </w:r>
      <w:r>
        <w:rPr>
          <w:rFonts w:ascii="Times New Roman" w:eastAsiaTheme="minorEastAsia" w:hAnsi="Times New Roman" w:cs="Times New Roman"/>
          <w:sz w:val="24"/>
          <w:szCs w:val="24"/>
        </w:rPr>
        <w:t>∆</w:t>
      </w:r>
      <w:r w:rsidR="004010EE">
        <w:rPr>
          <w:rFonts w:ascii="Times New Roman" w:eastAsiaTheme="minorEastAsia" w:hAnsi="Times New Roman" w:cs="Times New Roman"/>
          <w:sz w:val="24"/>
          <w:szCs w:val="24"/>
        </w:rPr>
        <w:t xml:space="preserve">SWB and disabilities, but this is not found for ∆OWB. </w:t>
      </w:r>
      <w:r w:rsidRPr="008269E4">
        <w:rPr>
          <w:rFonts w:ascii="Times New Roman" w:eastAsiaTheme="minorEastAsia" w:hAnsi="Times New Roman" w:cs="Times New Roman"/>
          <w:sz w:val="24"/>
          <w:szCs w:val="24"/>
        </w:rPr>
        <w:t xml:space="preserve">Whether individuals adjust to disability is confirmed in a few studies (Dolan et al. 2008, Deaton, 2018). Due to the lack of data on adaptation to disabilities, we are unable to throw new light. </w:t>
      </w:r>
    </w:p>
    <w:p w14:paraId="3FF83864" w14:textId="77777777" w:rsidR="007478F3" w:rsidRPr="008269E4" w:rsidRDefault="007478F3" w:rsidP="007478F3">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Exposure of men and women to mass media highlights the role of information in improvement in</w:t>
      </w:r>
      <w:r w:rsidR="004010EE">
        <w:rPr>
          <w:rFonts w:ascii="Times New Roman" w:eastAsiaTheme="minorEastAsia" w:hAnsi="Times New Roman" w:cs="Times New Roman"/>
          <w:sz w:val="24"/>
          <w:szCs w:val="24"/>
        </w:rPr>
        <w:t xml:space="preserve"> well-being</w:t>
      </w:r>
      <w:r w:rsidRPr="008269E4">
        <w:rPr>
          <w:rFonts w:ascii="Times New Roman" w:eastAsiaTheme="minorEastAsia" w:hAnsi="Times New Roman" w:cs="Times New Roman"/>
          <w:sz w:val="24"/>
          <w:szCs w:val="24"/>
        </w:rPr>
        <w:t xml:space="preserve">. The results are striking. </w:t>
      </w:r>
      <w:r w:rsidR="004010EE">
        <w:rPr>
          <w:rFonts w:ascii="Times New Roman" w:eastAsiaTheme="minorEastAsia" w:hAnsi="Times New Roman" w:cs="Times New Roman"/>
          <w:sz w:val="24"/>
          <w:szCs w:val="24"/>
        </w:rPr>
        <w:t xml:space="preserve">Mass media access is particularly important for improvement in SWB, but not much in OWB. </w:t>
      </w:r>
      <w:r w:rsidRPr="008269E4">
        <w:rPr>
          <w:rFonts w:ascii="Times New Roman" w:eastAsiaTheme="minorEastAsia" w:hAnsi="Times New Roman" w:cs="Times New Roman"/>
          <w:sz w:val="24"/>
          <w:szCs w:val="24"/>
        </w:rPr>
        <w:t xml:space="preserve">For men, there is a significant positive association between </w:t>
      </w:r>
      <w:r w:rsidR="004010EE">
        <w:rPr>
          <w:rFonts w:ascii="Times New Roman" w:eastAsiaTheme="minorEastAsia" w:hAnsi="Times New Roman" w:cs="Times New Roman"/>
          <w:sz w:val="24"/>
          <w:szCs w:val="24"/>
        </w:rPr>
        <w:t>∆SWB</w:t>
      </w:r>
      <w:r w:rsidRPr="008269E4">
        <w:rPr>
          <w:rFonts w:ascii="Times New Roman" w:eastAsiaTheme="minorEastAsia" w:hAnsi="Times New Roman" w:cs="Times New Roman"/>
          <w:sz w:val="24"/>
          <w:szCs w:val="24"/>
        </w:rPr>
        <w:t xml:space="preserve"> and regular exposure to radio and newspapers but not TV. While women listening regularly to radio do not show a higher </w:t>
      </w:r>
      <w:r w:rsidR="004010EE">
        <w:rPr>
          <w:rFonts w:ascii="Times New Roman" w:eastAsiaTheme="minorEastAsia" w:hAnsi="Times New Roman" w:cs="Times New Roman"/>
          <w:sz w:val="24"/>
          <w:szCs w:val="24"/>
        </w:rPr>
        <w:t>∆SWB</w:t>
      </w:r>
      <w:r w:rsidRPr="008269E4">
        <w:rPr>
          <w:rFonts w:ascii="Times New Roman" w:eastAsiaTheme="minorEastAsia" w:hAnsi="Times New Roman" w:cs="Times New Roman"/>
          <w:sz w:val="24"/>
          <w:szCs w:val="24"/>
        </w:rPr>
        <w:t xml:space="preserve">, those regularly reading newspapers and watching TV experience higher </w:t>
      </w:r>
      <w:r w:rsidR="004010EE">
        <w:rPr>
          <w:rFonts w:ascii="Times New Roman" w:eastAsiaTheme="minorEastAsia" w:hAnsi="Times New Roman" w:cs="Times New Roman"/>
          <w:sz w:val="24"/>
          <w:szCs w:val="24"/>
        </w:rPr>
        <w:t>∆SWB</w:t>
      </w:r>
      <w:r w:rsidRPr="008269E4">
        <w:rPr>
          <w:rFonts w:ascii="Times New Roman" w:eastAsiaTheme="minorEastAsia" w:hAnsi="Times New Roman" w:cs="Times New Roman"/>
          <w:sz w:val="24"/>
          <w:szCs w:val="24"/>
        </w:rPr>
        <w:t>.</w:t>
      </w:r>
      <w:r w:rsidR="004010EE">
        <w:rPr>
          <w:rFonts w:ascii="Times New Roman" w:eastAsiaTheme="minorEastAsia" w:hAnsi="Times New Roman" w:cs="Times New Roman"/>
          <w:sz w:val="24"/>
          <w:szCs w:val="24"/>
        </w:rPr>
        <w:t xml:space="preserve"> Only women’s regular </w:t>
      </w:r>
      <w:r w:rsidR="004010EE">
        <w:rPr>
          <w:rFonts w:ascii="Times New Roman" w:eastAsiaTheme="minorEastAsia" w:hAnsi="Times New Roman" w:cs="Times New Roman"/>
          <w:sz w:val="24"/>
          <w:szCs w:val="24"/>
        </w:rPr>
        <w:lastRenderedPageBreak/>
        <w:t xml:space="preserve">access to radio significantly improved OWB. </w:t>
      </w:r>
      <w:r w:rsidRPr="008269E4">
        <w:rPr>
          <w:rFonts w:ascii="Times New Roman" w:eastAsiaTheme="minorEastAsia" w:hAnsi="Times New Roman" w:cs="Times New Roman"/>
          <w:sz w:val="24"/>
          <w:szCs w:val="24"/>
        </w:rPr>
        <w:t>Does information content vary from one medium to another? Do men and women react differently to news coverage of, say, rapes, sexual harassment, violence against women, high food prices, health risks and mortality</w:t>
      </w:r>
      <w:r>
        <w:rPr>
          <w:rFonts w:ascii="Times New Roman" w:eastAsiaTheme="minorEastAsia" w:hAnsi="Times New Roman" w:cs="Times New Roman"/>
          <w:sz w:val="24"/>
          <w:szCs w:val="24"/>
        </w:rPr>
        <w:t>?</w:t>
      </w:r>
      <w:r w:rsidRPr="008269E4">
        <w:rPr>
          <w:rFonts w:ascii="Times New Roman" w:eastAsiaTheme="minorEastAsia" w:hAnsi="Times New Roman" w:cs="Times New Roman"/>
          <w:sz w:val="24"/>
          <w:szCs w:val="24"/>
        </w:rPr>
        <w:t xml:space="preserve"> These questions can only be answered through a more detailed investigation which is not feasible with IHDS. So, a common presumption that wider dissemination of information is necessarily a good thing is not consistent with our findings. More attention to its content is necessary. While self-regulation by the media has not been successful, there is a real risk that government intervention may suppress freedom of expression.</w:t>
      </w:r>
    </w:p>
    <w:p w14:paraId="30983450" w14:textId="77777777" w:rsidR="00E95D90" w:rsidRPr="008269E4" w:rsidRDefault="00B92C46" w:rsidP="00E95D90">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On the relationship between income/consumption and SWB, o</w:t>
      </w:r>
      <w:r w:rsidR="00E95D90" w:rsidRPr="008269E4">
        <w:rPr>
          <w:rFonts w:ascii="Times New Roman" w:eastAsiaTheme="minorEastAsia" w:hAnsi="Times New Roman" w:cs="Times New Roman"/>
          <w:sz w:val="24"/>
          <w:szCs w:val="24"/>
        </w:rPr>
        <w:t>ur literature review in Section</w:t>
      </w:r>
      <w:r w:rsidR="00CA05DE">
        <w:rPr>
          <w:rFonts w:ascii="Times New Roman" w:eastAsiaTheme="minorEastAsia" w:hAnsi="Times New Roman" w:cs="Times New Roman"/>
          <w:sz w:val="24"/>
          <w:szCs w:val="24"/>
        </w:rPr>
        <w:t xml:space="preserve"> 2</w:t>
      </w:r>
      <w:r w:rsidR="00E95D90" w:rsidRPr="008269E4">
        <w:rPr>
          <w:rFonts w:ascii="Times New Roman" w:eastAsiaTheme="minorEastAsia" w:hAnsi="Times New Roman" w:cs="Times New Roman"/>
          <w:sz w:val="24"/>
          <w:szCs w:val="24"/>
        </w:rPr>
        <w:t xml:space="preserve"> points to a divergence in the empirical evidence. As documented in Deaton (2018) and others, either the two are unrelated or there is a positive relationship, with the magnitude varying by region and even with the same data. We find that there is a robust </w:t>
      </w:r>
      <w:r w:rsidR="00E95D90">
        <w:rPr>
          <w:rFonts w:ascii="Times New Roman" w:eastAsiaTheme="minorEastAsia" w:hAnsi="Times New Roman" w:cs="Times New Roman"/>
          <w:sz w:val="24"/>
          <w:szCs w:val="24"/>
        </w:rPr>
        <w:t xml:space="preserve">positive </w:t>
      </w:r>
      <w:r w:rsidR="00E95D90" w:rsidRPr="008269E4">
        <w:rPr>
          <w:rFonts w:ascii="Times New Roman" w:eastAsiaTheme="minorEastAsia" w:hAnsi="Times New Roman" w:cs="Times New Roman"/>
          <w:sz w:val="24"/>
          <w:szCs w:val="24"/>
        </w:rPr>
        <w:t>relationship betw</w:t>
      </w:r>
      <w:r w:rsidR="004010EE">
        <w:rPr>
          <w:rFonts w:ascii="Times New Roman" w:eastAsiaTheme="minorEastAsia" w:hAnsi="Times New Roman" w:cs="Times New Roman"/>
          <w:sz w:val="24"/>
          <w:szCs w:val="24"/>
        </w:rPr>
        <w:t>een ∆</w:t>
      </w:r>
      <w:r w:rsidR="00E95D90" w:rsidRPr="008269E4">
        <w:rPr>
          <w:rFonts w:ascii="Times New Roman" w:eastAsiaTheme="minorEastAsia" w:hAnsi="Times New Roman" w:cs="Times New Roman"/>
          <w:sz w:val="24"/>
          <w:szCs w:val="24"/>
        </w:rPr>
        <w:t>SWB and log of per capita expenditure</w:t>
      </w:r>
      <w:r w:rsidR="00E95D90">
        <w:rPr>
          <w:rFonts w:ascii="Times New Roman" w:eastAsiaTheme="minorEastAsia" w:hAnsi="Times New Roman" w:cs="Times New Roman"/>
          <w:sz w:val="24"/>
          <w:szCs w:val="24"/>
        </w:rPr>
        <w:t xml:space="preserve"> in the initial year</w:t>
      </w:r>
      <w:r w:rsidR="00E95D90" w:rsidRPr="008269E4">
        <w:rPr>
          <w:rFonts w:ascii="Times New Roman" w:eastAsiaTheme="minorEastAsia" w:hAnsi="Times New Roman" w:cs="Times New Roman"/>
          <w:sz w:val="24"/>
          <w:szCs w:val="24"/>
        </w:rPr>
        <w:t xml:space="preserve">. </w:t>
      </w:r>
      <w:r w:rsidR="004010EE">
        <w:rPr>
          <w:rFonts w:ascii="Times New Roman" w:eastAsiaTheme="minorEastAsia" w:hAnsi="Times New Roman" w:cs="Times New Roman"/>
          <w:sz w:val="24"/>
          <w:szCs w:val="24"/>
        </w:rPr>
        <w:t>This is not found for ∆OWB.</w:t>
      </w:r>
    </w:p>
    <w:p w14:paraId="5A1BAEB0" w14:textId="77777777" w:rsidR="00CA05DE" w:rsidRDefault="00CA05DE" w:rsidP="00E95D90">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Finally, we have examined in detail whether other factors are associated with ∆SWB by including them as covariates in OLS and ordered </w:t>
      </w:r>
      <w:proofErr w:type="spellStart"/>
      <w:r>
        <w:rPr>
          <w:rFonts w:ascii="Times New Roman" w:eastAsiaTheme="minorEastAsia" w:hAnsi="Times New Roman" w:cs="Times New Roman"/>
          <w:sz w:val="24"/>
          <w:szCs w:val="24"/>
        </w:rPr>
        <w:t>probit</w:t>
      </w:r>
      <w:proofErr w:type="spellEnd"/>
      <w:r>
        <w:rPr>
          <w:rFonts w:ascii="Times New Roman" w:eastAsiaTheme="minorEastAsia" w:hAnsi="Times New Roman" w:cs="Times New Roman"/>
          <w:sz w:val="24"/>
          <w:szCs w:val="24"/>
        </w:rPr>
        <w:t xml:space="preserve"> models. </w:t>
      </w:r>
    </w:p>
    <w:p w14:paraId="730976AB" w14:textId="5EC9D92D"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Whether SWB and marital status are linked has been widely studied, with the evidence favouring the married (e.g., Deaton, 2018, </w:t>
      </w:r>
      <w:proofErr w:type="spellStart"/>
      <w:r w:rsidRPr="008269E4">
        <w:rPr>
          <w:rFonts w:ascii="Times New Roman" w:eastAsiaTheme="minorEastAsia" w:hAnsi="Times New Roman" w:cs="Times New Roman"/>
          <w:sz w:val="24"/>
          <w:szCs w:val="24"/>
        </w:rPr>
        <w:t>Diener</w:t>
      </w:r>
      <w:proofErr w:type="spellEnd"/>
      <w:r w:rsidRPr="008269E4">
        <w:rPr>
          <w:rFonts w:ascii="Times New Roman" w:eastAsiaTheme="minorEastAsia" w:hAnsi="Times New Roman" w:cs="Times New Roman"/>
          <w:sz w:val="24"/>
          <w:szCs w:val="24"/>
        </w:rPr>
        <w:t xml:space="preserve"> et al. 2013, Dolan et al. 2008, among others). However, our multiple regression results do not show a significant difference </w:t>
      </w:r>
      <w:r w:rsidR="00F241F4">
        <w:rPr>
          <w:rFonts w:ascii="Times New Roman" w:eastAsiaTheme="minorEastAsia" w:hAnsi="Times New Roman" w:cs="Times New Roman"/>
          <w:sz w:val="24"/>
          <w:szCs w:val="24"/>
        </w:rPr>
        <w:t xml:space="preserve">in </w:t>
      </w:r>
      <w:r w:rsidRPr="008269E4">
        <w:rPr>
          <w:rFonts w:ascii="Times New Roman" w:eastAsiaTheme="minorEastAsia" w:hAnsi="Times New Roman" w:cs="Times New Roman"/>
          <w:sz w:val="24"/>
          <w:szCs w:val="24"/>
        </w:rPr>
        <w:t xml:space="preserve">change in </w:t>
      </w:r>
      <w:r w:rsidR="00F241F4">
        <w:rPr>
          <w:rFonts w:ascii="Times New Roman" w:eastAsiaTheme="minorEastAsia" w:hAnsi="Times New Roman" w:cs="Times New Roman"/>
          <w:sz w:val="24"/>
          <w:szCs w:val="24"/>
        </w:rPr>
        <w:t xml:space="preserve">subjective </w:t>
      </w:r>
      <w:r w:rsidRPr="008269E4">
        <w:rPr>
          <w:rFonts w:ascii="Times New Roman" w:eastAsiaTheme="minorEastAsia" w:hAnsi="Times New Roman" w:cs="Times New Roman"/>
          <w:sz w:val="24"/>
          <w:szCs w:val="24"/>
        </w:rPr>
        <w:t xml:space="preserve">well-being </w:t>
      </w:r>
      <w:r w:rsidR="00F241F4">
        <w:rPr>
          <w:rFonts w:ascii="Times New Roman" w:eastAsiaTheme="minorEastAsia" w:hAnsi="Times New Roman" w:cs="Times New Roman"/>
          <w:sz w:val="24"/>
          <w:szCs w:val="24"/>
        </w:rPr>
        <w:t xml:space="preserve">between </w:t>
      </w:r>
      <w:r w:rsidRPr="008269E4">
        <w:rPr>
          <w:rFonts w:ascii="Times New Roman" w:eastAsiaTheme="minorEastAsia" w:hAnsi="Times New Roman" w:cs="Times New Roman"/>
          <w:sz w:val="24"/>
          <w:szCs w:val="24"/>
        </w:rPr>
        <w:t xml:space="preserve">the unmarried, </w:t>
      </w:r>
      <w:proofErr w:type="gramStart"/>
      <w:r w:rsidRPr="008269E4">
        <w:rPr>
          <w:rFonts w:ascii="Times New Roman" w:eastAsiaTheme="minorEastAsia" w:hAnsi="Times New Roman" w:cs="Times New Roman"/>
          <w:sz w:val="24"/>
          <w:szCs w:val="24"/>
        </w:rPr>
        <w:t>or</w:t>
      </w:r>
      <w:proofErr w:type="gramEnd"/>
      <w:r w:rsidRPr="008269E4">
        <w:rPr>
          <w:rFonts w:ascii="Times New Roman" w:eastAsiaTheme="minorEastAsia" w:hAnsi="Times New Roman" w:cs="Times New Roman"/>
          <w:sz w:val="24"/>
          <w:szCs w:val="24"/>
        </w:rPr>
        <w:t xml:space="preserve"> the widowed/divorced</w:t>
      </w:r>
      <w:r w:rsidR="00F241F4">
        <w:rPr>
          <w:rFonts w:ascii="Times New Roman" w:eastAsiaTheme="minorEastAsia" w:hAnsi="Times New Roman" w:cs="Times New Roman"/>
          <w:sz w:val="24"/>
          <w:szCs w:val="24"/>
        </w:rPr>
        <w:t xml:space="preserve">, </w:t>
      </w:r>
      <w:r w:rsidR="00463762">
        <w:rPr>
          <w:rFonts w:ascii="Times New Roman" w:eastAsiaTheme="minorEastAsia" w:hAnsi="Times New Roman" w:cs="Times New Roman"/>
          <w:sz w:val="24"/>
          <w:szCs w:val="24"/>
        </w:rPr>
        <w:t xml:space="preserve">relative to </w:t>
      </w:r>
      <w:r w:rsidR="00F241F4">
        <w:rPr>
          <w:rFonts w:ascii="Times New Roman" w:eastAsiaTheme="minorEastAsia" w:hAnsi="Times New Roman" w:cs="Times New Roman"/>
          <w:sz w:val="24"/>
          <w:szCs w:val="24"/>
        </w:rPr>
        <w:t xml:space="preserve">the married.  </w:t>
      </w:r>
      <w:r w:rsidRPr="008269E4">
        <w:rPr>
          <w:rFonts w:ascii="Times New Roman" w:eastAsiaTheme="minorEastAsia" w:hAnsi="Times New Roman" w:cs="Times New Roman"/>
          <w:sz w:val="24"/>
          <w:szCs w:val="24"/>
        </w:rPr>
        <w:t>These are plausible findings as married women are subject to intimate partner violence-including marital ‘rape’</w:t>
      </w:r>
      <w:r w:rsidR="0095689A">
        <w:rPr>
          <w:rFonts w:ascii="Times New Roman" w:eastAsiaTheme="minorEastAsia" w:hAnsi="Times New Roman" w:cs="Times New Roman"/>
          <w:sz w:val="24"/>
          <w:szCs w:val="24"/>
        </w:rPr>
        <w:t>,</w:t>
      </w:r>
      <w:r w:rsidR="0095689A" w:rsidRPr="008269E4">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 xml:space="preserve">discrimination in intra-household allocation of food and resources for medical care and restrictions on ‘outside’ employment. </w:t>
      </w:r>
    </w:p>
    <w:p w14:paraId="4D1A6B11" w14:textId="381B1B9D"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The significant positive rel</w:t>
      </w:r>
      <w:r w:rsidR="006405A4">
        <w:rPr>
          <w:rFonts w:ascii="Times New Roman" w:eastAsiaTheme="minorEastAsia" w:hAnsi="Times New Roman" w:cs="Times New Roman"/>
          <w:sz w:val="24"/>
          <w:szCs w:val="24"/>
        </w:rPr>
        <w:t>ationship between ∆</w:t>
      </w:r>
      <w:r w:rsidRPr="008269E4">
        <w:rPr>
          <w:rFonts w:ascii="Times New Roman" w:eastAsiaTheme="minorEastAsia" w:hAnsi="Times New Roman" w:cs="Times New Roman"/>
          <w:sz w:val="24"/>
          <w:szCs w:val="24"/>
        </w:rPr>
        <w:t xml:space="preserve">SWB and the Piketty measure of extreme income inequality is intriguing-especially when the income gains of millionaires and billionaires are driven by speculative gains in the stock market and real estate. This is what Chancel and Piketty (2017) demonstrated with their meticulous research of income tax records and other sources in India. If their portfolio is more diversified and labour intensive, it cannot be ruled out that the income gains will be more widely distributed. At the same time, vigorous promotion of micro, small and medium enterprises/MSMEs is likely to expand employment and generate income on a large-scale. </w:t>
      </w:r>
      <w:r w:rsidR="006405A4">
        <w:rPr>
          <w:rFonts w:ascii="Times New Roman" w:eastAsiaTheme="minorEastAsia" w:hAnsi="Times New Roman" w:cs="Times New Roman"/>
          <w:sz w:val="24"/>
          <w:szCs w:val="24"/>
        </w:rPr>
        <w:t xml:space="preserve">In contrast, </w:t>
      </w:r>
      <w:r w:rsidR="00FF49CA">
        <w:rPr>
          <w:rFonts w:ascii="Times New Roman" w:eastAsiaTheme="minorEastAsia" w:hAnsi="Times New Roman" w:cs="Times New Roman"/>
          <w:sz w:val="24"/>
          <w:szCs w:val="24"/>
        </w:rPr>
        <w:t xml:space="preserve">a </w:t>
      </w:r>
      <w:r w:rsidR="006405A4">
        <w:rPr>
          <w:rFonts w:ascii="Times New Roman" w:eastAsiaTheme="minorEastAsia" w:hAnsi="Times New Roman" w:cs="Times New Roman"/>
          <w:sz w:val="24"/>
          <w:szCs w:val="24"/>
        </w:rPr>
        <w:t xml:space="preserve">significantly negative association is found between ∆OWB and </w:t>
      </w:r>
      <w:r w:rsidR="006405A4" w:rsidRPr="008269E4">
        <w:rPr>
          <w:rFonts w:ascii="Times New Roman" w:eastAsiaTheme="minorEastAsia" w:hAnsi="Times New Roman" w:cs="Times New Roman"/>
          <w:sz w:val="24"/>
          <w:szCs w:val="24"/>
        </w:rPr>
        <w:t>the Piketty measure</w:t>
      </w:r>
      <w:r w:rsidR="006405A4">
        <w:rPr>
          <w:rFonts w:ascii="Times New Roman" w:eastAsiaTheme="minorEastAsia" w:hAnsi="Times New Roman" w:cs="Times New Roman"/>
          <w:sz w:val="24"/>
          <w:szCs w:val="24"/>
        </w:rPr>
        <w:t xml:space="preserve">. </w:t>
      </w:r>
    </w:p>
    <w:p w14:paraId="098A4937" w14:textId="7A304FAB" w:rsidR="00E95D90"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A major limitation of our analyses is that with just two waves of the panel data in IHDS we are unable to capture household heterogeneity through experiments with random and fixed effects. </w:t>
      </w:r>
      <w:r w:rsidR="00FB7198">
        <w:rPr>
          <w:rFonts w:ascii="Times New Roman" w:eastAsiaTheme="minorEastAsia" w:hAnsi="Times New Roman" w:cs="Times New Roman"/>
          <w:sz w:val="24"/>
          <w:szCs w:val="24"/>
        </w:rPr>
        <w:t>This may be feasible when the third wave of IHDS is available,</w:t>
      </w:r>
    </w:p>
    <w:p w14:paraId="192774E3" w14:textId="6A928158" w:rsidR="00FF49CA" w:rsidRPr="008269E4" w:rsidRDefault="00FB7198" w:rsidP="00E95D90">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w:t>
      </w:r>
      <w:r>
        <w:rPr>
          <w:rFonts w:ascii="Times New Roman" w:eastAsiaTheme="minorEastAsia" w:hAnsi="Times New Roman" w:cs="Times New Roman"/>
          <w:sz w:val="24"/>
          <w:szCs w:val="24"/>
        </w:rPr>
        <w:t xml:space="preserve">hanks </w:t>
      </w:r>
      <w:r w:rsidR="00FF49CA">
        <w:rPr>
          <w:rFonts w:ascii="Times New Roman" w:eastAsiaTheme="minorEastAsia" w:hAnsi="Times New Roman" w:cs="Times New Roman"/>
          <w:sz w:val="24"/>
          <w:szCs w:val="24"/>
        </w:rPr>
        <w:t>to the important contributions of Sen (</w:t>
      </w:r>
      <w:r w:rsidR="00C3161E">
        <w:rPr>
          <w:rFonts w:ascii="Times New Roman" w:eastAsiaTheme="minorEastAsia" w:hAnsi="Times New Roman" w:cs="Times New Roman"/>
          <w:sz w:val="24"/>
          <w:szCs w:val="24"/>
        </w:rPr>
        <w:t xml:space="preserve">1985) and Deaton’s (2018) </w:t>
      </w:r>
      <w:r w:rsidR="002D097F">
        <w:rPr>
          <w:rFonts w:ascii="Times New Roman" w:eastAsiaTheme="minorEastAsia" w:hAnsi="Times New Roman" w:cs="Times New Roman"/>
          <w:sz w:val="24"/>
          <w:szCs w:val="24"/>
        </w:rPr>
        <w:t>emphasising</w:t>
      </w:r>
      <w:r w:rsidR="00C3161E">
        <w:rPr>
          <w:rFonts w:ascii="Times New Roman" w:eastAsiaTheme="minorEastAsia" w:hAnsi="Times New Roman" w:cs="Times New Roman"/>
          <w:sz w:val="24"/>
          <w:szCs w:val="24"/>
        </w:rPr>
        <w:t xml:space="preserve"> in different ways a broadening of the focus for assessing well-being-specifically, looking beyond per capita income as a measure-there is growing consensus that perceptions of well-being matter a great deal. Although our analysis of change in SWB is narrowly focused on perceived change in economic well-being, its comparison with </w:t>
      </w:r>
      <w:r w:rsidR="007F09D0">
        <w:rPr>
          <w:rFonts w:ascii="Times New Roman" w:eastAsiaTheme="minorEastAsia" w:hAnsi="Times New Roman" w:cs="Times New Roman"/>
          <w:sz w:val="24"/>
          <w:szCs w:val="24"/>
        </w:rPr>
        <w:t xml:space="preserve">changes in </w:t>
      </w:r>
      <w:r w:rsidR="00C3161E">
        <w:rPr>
          <w:rFonts w:ascii="Times New Roman" w:eastAsiaTheme="minorEastAsia" w:hAnsi="Times New Roman" w:cs="Times New Roman"/>
          <w:sz w:val="24"/>
          <w:szCs w:val="24"/>
        </w:rPr>
        <w:t xml:space="preserve">OBW yields </w:t>
      </w:r>
      <w:r w:rsidR="00C3161E">
        <w:rPr>
          <w:rFonts w:ascii="Times New Roman" w:eastAsiaTheme="minorEastAsia" w:hAnsi="Times New Roman" w:cs="Times New Roman"/>
          <w:sz w:val="24"/>
          <w:szCs w:val="24"/>
        </w:rPr>
        <w:lastRenderedPageBreak/>
        <w:t>important insights into the commonalities and divergences between them.</w:t>
      </w:r>
      <w:r w:rsidR="00A2569F">
        <w:rPr>
          <w:rFonts w:ascii="Times New Roman" w:eastAsiaTheme="minorEastAsia" w:hAnsi="Times New Roman" w:cs="Times New Roman"/>
          <w:sz w:val="24"/>
          <w:szCs w:val="24"/>
        </w:rPr>
        <w:t xml:space="preserve"> For example, the lack of consonance between the socio-economic hierarchy and change in SWB is revealing. While Brahmins are at the top of this hierarchy, they fare worse than the lower rungs comprising SCs and STs in this measure of well-being.</w:t>
      </w:r>
      <w:r w:rsidR="004D372C">
        <w:rPr>
          <w:rFonts w:ascii="Times New Roman" w:eastAsiaTheme="minorEastAsia" w:hAnsi="Times New Roman" w:cs="Times New Roman"/>
          <w:sz w:val="24"/>
          <w:szCs w:val="24"/>
        </w:rPr>
        <w:t xml:space="preserve"> </w:t>
      </w:r>
      <w:r w:rsidR="00A2569F">
        <w:rPr>
          <w:rFonts w:ascii="Times New Roman" w:eastAsiaTheme="minorEastAsia" w:hAnsi="Times New Roman" w:cs="Times New Roman"/>
          <w:sz w:val="24"/>
          <w:szCs w:val="24"/>
        </w:rPr>
        <w:t>Despite their greater vulnerability to poverty and other deprivations, they are more likely to move up the ranks of ∆SWB</w:t>
      </w:r>
      <w:r w:rsidR="00EE1A54">
        <w:rPr>
          <w:rFonts w:ascii="Times New Roman" w:eastAsiaTheme="minorEastAsia" w:hAnsi="Times New Roman" w:cs="Times New Roman"/>
          <w:sz w:val="24"/>
          <w:szCs w:val="24"/>
        </w:rPr>
        <w:t>.</w:t>
      </w:r>
      <w:r w:rsidR="004D372C">
        <w:rPr>
          <w:rFonts w:ascii="Times New Roman" w:eastAsiaTheme="minorEastAsia" w:hAnsi="Times New Roman" w:cs="Times New Roman"/>
          <w:sz w:val="24"/>
          <w:szCs w:val="24"/>
        </w:rPr>
        <w:t xml:space="preserve"> </w:t>
      </w:r>
      <w:r w:rsidR="00372CE5">
        <w:rPr>
          <w:rFonts w:ascii="Times New Roman" w:eastAsiaTheme="minorEastAsia" w:hAnsi="Times New Roman" w:cs="Times New Roman"/>
          <w:sz w:val="24"/>
          <w:szCs w:val="24"/>
        </w:rPr>
        <w:t xml:space="preserve">To borrow Sen’s powerful terminology, </w:t>
      </w:r>
      <w:r w:rsidR="00EE1A54">
        <w:rPr>
          <w:rFonts w:ascii="Times New Roman" w:eastAsiaTheme="minorEastAsia" w:hAnsi="Times New Roman" w:cs="Times New Roman"/>
          <w:sz w:val="24"/>
          <w:szCs w:val="24"/>
        </w:rPr>
        <w:t>this is compatible with these deprived groups’ better functioning (</w:t>
      </w:r>
      <w:proofErr w:type="spellStart"/>
      <w:r w:rsidR="00EE1A54">
        <w:rPr>
          <w:rFonts w:ascii="Times New Roman" w:eastAsiaTheme="minorEastAsia" w:hAnsi="Times New Roman" w:cs="Times New Roman"/>
          <w:sz w:val="24"/>
          <w:szCs w:val="24"/>
        </w:rPr>
        <w:t>eg</w:t>
      </w:r>
      <w:proofErr w:type="spellEnd"/>
      <w:r w:rsidR="00EE1A54">
        <w:rPr>
          <w:rFonts w:ascii="Times New Roman" w:eastAsiaTheme="minorEastAsia" w:hAnsi="Times New Roman" w:cs="Times New Roman"/>
          <w:sz w:val="24"/>
          <w:szCs w:val="24"/>
        </w:rPr>
        <w:t>, easier access to education, healthcare)</w:t>
      </w:r>
      <w:r w:rsidR="00372CE5">
        <w:rPr>
          <w:rFonts w:ascii="Times New Roman" w:eastAsiaTheme="minorEastAsia" w:hAnsi="Times New Roman" w:cs="Times New Roman"/>
          <w:sz w:val="24"/>
          <w:szCs w:val="24"/>
        </w:rPr>
        <w:t xml:space="preserve">. As Deaton emphasised, </w:t>
      </w:r>
      <w:r w:rsidR="00EE1A54">
        <w:rPr>
          <w:rFonts w:ascii="Times New Roman" w:eastAsiaTheme="minorEastAsia" w:hAnsi="Times New Roman" w:cs="Times New Roman"/>
          <w:sz w:val="24"/>
          <w:szCs w:val="24"/>
        </w:rPr>
        <w:t xml:space="preserve">in a similar vein, </w:t>
      </w:r>
      <w:r w:rsidR="00FE7D7F">
        <w:rPr>
          <w:rFonts w:ascii="Times New Roman" w:eastAsiaTheme="minorEastAsia" w:hAnsi="Times New Roman" w:cs="Times New Roman"/>
          <w:sz w:val="24"/>
          <w:szCs w:val="24"/>
        </w:rPr>
        <w:t>measures such as SWB may enable individuals to live better lives while policy makers design and implement appropriate policies.</w:t>
      </w:r>
    </w:p>
    <w:p w14:paraId="19BBDAE5"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Although some policy concerns are briefly referred to in the preceding discussion, a more integrated perspective is delineated below. </w:t>
      </w:r>
    </w:p>
    <w:p w14:paraId="56C94008" w14:textId="1178F18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As income and its growth are closely related to improvement in SWB, a fiscal stimulus that generates incomes through strengthening of infrastructure-roads, transportation, power generation, irrigation, schools, </w:t>
      </w:r>
      <w:r w:rsidR="00446207">
        <w:rPr>
          <w:rFonts w:ascii="Times New Roman" w:eastAsiaTheme="minorEastAsia" w:hAnsi="Times New Roman" w:cs="Times New Roman"/>
          <w:sz w:val="24"/>
          <w:szCs w:val="24"/>
        </w:rPr>
        <w:t xml:space="preserve">and </w:t>
      </w:r>
      <w:r w:rsidRPr="008269E4">
        <w:rPr>
          <w:rFonts w:ascii="Times New Roman" w:eastAsiaTheme="minorEastAsia" w:hAnsi="Times New Roman" w:cs="Times New Roman"/>
          <w:sz w:val="24"/>
          <w:szCs w:val="24"/>
        </w:rPr>
        <w:t>hospitals</w:t>
      </w:r>
      <w:r w:rsidR="00446207">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sz w:val="24"/>
          <w:szCs w:val="24"/>
        </w:rPr>
        <w:t>is a priority. But there are challenges within</w:t>
      </w:r>
      <w:r w:rsidR="00C84F90">
        <w:rPr>
          <w:rFonts w:ascii="Times New Roman" w:eastAsiaTheme="minorEastAsia" w:hAnsi="Times New Roman" w:cs="Times New Roman"/>
          <w:sz w:val="24"/>
          <w:szCs w:val="24"/>
        </w:rPr>
        <w:t xml:space="preserve"> these components. Whether the s</w:t>
      </w:r>
      <w:r w:rsidRPr="008269E4">
        <w:rPr>
          <w:rFonts w:ascii="Times New Roman" w:eastAsiaTheme="minorEastAsia" w:hAnsi="Times New Roman" w:cs="Times New Roman"/>
          <w:sz w:val="24"/>
          <w:szCs w:val="24"/>
        </w:rPr>
        <w:t xml:space="preserve">tate alone can finance massive investment in infrastructure is doubtful. Public-private partnerships are </w:t>
      </w:r>
      <w:proofErr w:type="gramStart"/>
      <w:r w:rsidRPr="008269E4">
        <w:rPr>
          <w:rFonts w:ascii="Times New Roman" w:eastAsiaTheme="minorEastAsia" w:hAnsi="Times New Roman" w:cs="Times New Roman"/>
          <w:sz w:val="24"/>
          <w:szCs w:val="24"/>
        </w:rPr>
        <w:t>key</w:t>
      </w:r>
      <w:proofErr w:type="gramEnd"/>
      <w:r w:rsidRPr="008269E4">
        <w:rPr>
          <w:rFonts w:ascii="Times New Roman" w:eastAsiaTheme="minorEastAsia" w:hAnsi="Times New Roman" w:cs="Times New Roman"/>
          <w:sz w:val="24"/>
          <w:szCs w:val="24"/>
        </w:rPr>
        <w:t xml:space="preserve"> but an environment that promotes such partnerships –while the public sector designs these interventions and commits financially in the MOU, incentives in the form of assured returns must be provided for the private sector. At the same time, regulation by the public sector must not stifle private participation through avoidable bureaucratisation. </w:t>
      </w:r>
    </w:p>
    <w:p w14:paraId="01AA5FA2" w14:textId="67D67260"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To illustrate challenges for public policies within specific areas, a few examples suffice. Positive externalities of building roads in rural areas-especially those that do not get washed away during the monsoon-are likely to be greater than building highways and strengthening inter-city connectivity. Limited allocations to solar energy development and continued heavy reliance on thermal energy are  lop-sided given high levels of pollution and rising incidence of respiratory ailments and certain types of cancer such as breast, liver, and pancreatic, and high risk of mortality. In irrigation, as opposed to large-scale projects, higher priority should be given to small-scale projects that pool local water resources (ponds, streams) and are shared equitably through community networks (Wade, 1988). A substantial increase in public investment for schooling is of course imperative but alongside greater attention must be given to upgrading its quality. Rampant absenteeism of teachers, their lack of training, shortage of text books, and absence of toilets for female students to which pointed attention was drawn by Sen and </w:t>
      </w:r>
      <w:proofErr w:type="spellStart"/>
      <w:r w:rsidRPr="008269E4">
        <w:rPr>
          <w:rFonts w:ascii="Times New Roman" w:eastAsiaTheme="minorEastAsia" w:hAnsi="Times New Roman" w:cs="Times New Roman"/>
          <w:sz w:val="24"/>
          <w:szCs w:val="24"/>
        </w:rPr>
        <w:t>Dreze</w:t>
      </w:r>
      <w:proofErr w:type="spellEnd"/>
      <w:r w:rsidRPr="008269E4">
        <w:rPr>
          <w:rFonts w:ascii="Times New Roman" w:eastAsiaTheme="minorEastAsia" w:hAnsi="Times New Roman" w:cs="Times New Roman"/>
          <w:sz w:val="24"/>
          <w:szCs w:val="24"/>
        </w:rPr>
        <w:t xml:space="preserve"> (1995) are still as relevant and cry out for reform. A National Health Policy was announced in 2017. It proposed raising public health expenditure progressively to 2.5% of the GDP by 2025 and advocated a major chunk of resources to primary health care, followed by secondary and tertiary health care. This policy together with the NITI </w:t>
      </w:r>
      <w:proofErr w:type="spellStart"/>
      <w:r w:rsidRPr="008269E4">
        <w:rPr>
          <w:rFonts w:ascii="Times New Roman" w:eastAsiaTheme="minorEastAsia" w:hAnsi="Times New Roman" w:cs="Times New Roman"/>
          <w:sz w:val="24"/>
          <w:szCs w:val="24"/>
        </w:rPr>
        <w:t>Aayog</w:t>
      </w:r>
      <w:proofErr w:type="spellEnd"/>
      <w:r w:rsidRPr="008269E4">
        <w:rPr>
          <w:rFonts w:ascii="Times New Roman" w:eastAsiaTheme="minorEastAsia" w:hAnsi="Times New Roman" w:cs="Times New Roman"/>
          <w:sz w:val="24"/>
          <w:szCs w:val="24"/>
        </w:rPr>
        <w:t xml:space="preserve"> action agenda have set targets for reduction of premature death and morbidity due to major NCDs in India. There are two serious concerns, however. One is that scant attention is given to where the resources will come from. Another glaring omission is that little is said about the rapid rise in the share of the old in the total population and associated multi-morbidities of NCDs. Besides, continuing neglect and failure to anticipate these demographic and epidemiological shifts-from infectious diseases to NCDs-may result in enormously costlier </w:t>
      </w:r>
      <w:r w:rsidRPr="008269E4">
        <w:rPr>
          <w:rFonts w:ascii="Times New Roman" w:eastAsiaTheme="minorEastAsia" w:hAnsi="Times New Roman" w:cs="Times New Roman"/>
          <w:sz w:val="24"/>
          <w:szCs w:val="24"/>
        </w:rPr>
        <w:lastRenderedPageBreak/>
        <w:t xml:space="preserve">policy challenges (Jan et al. 2018, Bloom et al. 2020). Given the rapid deterioration in the quality of public healthcare and rising life expectancy and expectations of good quality health care, the supply - demand imbalance is likely to widen sharply. So a priority is to </w:t>
      </w:r>
      <w:r w:rsidR="00446207">
        <w:rPr>
          <w:rFonts w:ascii="Times New Roman" w:eastAsiaTheme="minorEastAsia" w:hAnsi="Times New Roman" w:cs="Times New Roman"/>
          <w:sz w:val="24"/>
          <w:szCs w:val="24"/>
        </w:rPr>
        <w:t xml:space="preserve">increase </w:t>
      </w:r>
      <w:r w:rsidRPr="008269E4">
        <w:rPr>
          <w:rFonts w:ascii="Times New Roman" w:eastAsiaTheme="minorEastAsia" w:hAnsi="Times New Roman" w:cs="Times New Roman"/>
          <w:sz w:val="24"/>
          <w:szCs w:val="24"/>
        </w:rPr>
        <w:t>substantially expenditure on health. But more important than higher financial allocation is reorganisation of the health care system and effective regulation. As argued emphatically in an important study (Patel et al. 2015), it is imperative to develop a fully integrated population-based healthcare system that brings together the public and private sectors and the allopathic and indigenous systems, and is well-coordinated at different levels of service delivery platforms-primary, secondary and tertiary. Moreover, a case is made for a shift from a standard health insurance model to an entitlement-based model.</w:t>
      </w:r>
    </w:p>
    <w:p w14:paraId="00236C79" w14:textId="6A1942A3"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India enacted the Rights of Persons with Disabilities Act, 2016 (the “New Act”) and the rules thereunder (the “Rules”) in 2017. The New Act replaced the Persons with Disabilities (Equal Opportunity Protection of Rights and Full Participation) Act, 1995 (the ‘previous Act’), which covered only seven disabilities. The New Act covers more than 15 disabilities including dwarfism, acid attack victims, intellectual disability and specific learning </w:t>
      </w:r>
      <w:r w:rsidR="00BF51D7" w:rsidRPr="008269E4">
        <w:rPr>
          <w:rFonts w:ascii="Times New Roman" w:eastAsiaTheme="minorEastAsia" w:hAnsi="Times New Roman" w:cs="Times New Roman"/>
          <w:sz w:val="24"/>
          <w:szCs w:val="24"/>
        </w:rPr>
        <w:t>disabilit</w:t>
      </w:r>
      <w:r w:rsidR="00BF51D7">
        <w:rPr>
          <w:rFonts w:ascii="Times New Roman" w:eastAsiaTheme="minorEastAsia" w:hAnsi="Times New Roman" w:cs="Times New Roman"/>
          <w:sz w:val="24"/>
          <w:szCs w:val="24"/>
        </w:rPr>
        <w:t>ies</w:t>
      </w:r>
      <w:r w:rsidRPr="008269E4">
        <w:rPr>
          <w:rFonts w:ascii="Times New Roman" w:eastAsiaTheme="minorEastAsia" w:hAnsi="Times New Roman" w:cs="Times New Roman"/>
          <w:sz w:val="24"/>
          <w:szCs w:val="24"/>
        </w:rPr>
        <w:t xml:space="preserve">. It defines a ‘person with disability’ as someone with long term physical, mental, intellectual or sensory impairment which, in interaction with barriers, hinders his / her full and effective participation in society equally with others. </w:t>
      </w:r>
    </w:p>
    <w:p w14:paraId="6A050E49"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Yet discrimination persists in various forms - in employment, access to financial services, health services-specifically, against women, elderly and tribal communities (Kulkarni et al. 2020). </w:t>
      </w:r>
    </w:p>
    <w:p w14:paraId="5F01FD6C" w14:textId="661E5475"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Behavioural changes are no less important and perhaps also no less challenging. A few important contributions using evidence from LMICs and from India yield useful insights (</w:t>
      </w:r>
      <w:proofErr w:type="spellStart"/>
      <w:r w:rsidRPr="008269E4">
        <w:rPr>
          <w:rFonts w:ascii="Times New Roman" w:eastAsiaTheme="minorEastAsia" w:hAnsi="Times New Roman" w:cs="Times New Roman"/>
          <w:sz w:val="24"/>
          <w:szCs w:val="24"/>
        </w:rPr>
        <w:t>Gaiha</w:t>
      </w:r>
      <w:proofErr w:type="spellEnd"/>
      <w:r w:rsidRPr="008269E4">
        <w:rPr>
          <w:rFonts w:ascii="Times New Roman" w:eastAsiaTheme="minorEastAsia" w:hAnsi="Times New Roman" w:cs="Times New Roman"/>
          <w:sz w:val="24"/>
          <w:szCs w:val="24"/>
        </w:rPr>
        <w:t xml:space="preserve"> et al. 2020). </w:t>
      </w:r>
      <w:r w:rsidR="00BF51D7">
        <w:rPr>
          <w:rFonts w:ascii="Times New Roman" w:eastAsiaTheme="minorEastAsia" w:hAnsi="Times New Roman" w:cs="Times New Roman"/>
          <w:sz w:val="24"/>
          <w:szCs w:val="24"/>
        </w:rPr>
        <w:t>Inadequate</w:t>
      </w:r>
      <w:r w:rsidRPr="008269E4">
        <w:rPr>
          <w:rFonts w:ascii="Times New Roman" w:eastAsiaTheme="minorEastAsia" w:hAnsi="Times New Roman" w:cs="Times New Roman"/>
          <w:sz w:val="24"/>
          <w:szCs w:val="24"/>
        </w:rPr>
        <w:t xml:space="preserve"> physical activity and unbalanced high-calorie diet</w:t>
      </w:r>
      <w:r w:rsidR="00BF51D7">
        <w:rPr>
          <w:rFonts w:ascii="Times New Roman" w:eastAsiaTheme="minorEastAsia" w:hAnsi="Times New Roman" w:cs="Times New Roman"/>
          <w:sz w:val="24"/>
          <w:szCs w:val="24"/>
        </w:rPr>
        <w:t>s</w:t>
      </w:r>
      <w:r w:rsidRPr="008269E4">
        <w:rPr>
          <w:rFonts w:ascii="Times New Roman" w:eastAsiaTheme="minorEastAsia" w:hAnsi="Times New Roman" w:cs="Times New Roman"/>
          <w:sz w:val="24"/>
          <w:szCs w:val="24"/>
        </w:rPr>
        <w:t xml:space="preserve"> promote weight gains. Obesity is a risk factor for cardiovascular and diabetes and can aggravate symptoms of CVD such as emphysema and bronchitis (Academy of Medical Sciences, 2018). Limiting tobacco consumption is expected to benefit at the individual level but wider reduction in multi-morbidity prevalence requires taxation on unhealthy products. For example, there is evidence that tobacco taxation reduces smoking and such benefits might also lead to a reduction in certain multi-morbidity clusters (</w:t>
      </w:r>
      <w:proofErr w:type="spellStart"/>
      <w:r w:rsidRPr="008269E4">
        <w:rPr>
          <w:rFonts w:ascii="Times New Roman" w:eastAsiaTheme="minorEastAsia" w:hAnsi="Times New Roman" w:cs="Times New Roman"/>
          <w:sz w:val="24"/>
          <w:szCs w:val="24"/>
        </w:rPr>
        <w:t>Sassi</w:t>
      </w:r>
      <w:proofErr w:type="spellEnd"/>
      <w:r w:rsidRPr="008269E4">
        <w:rPr>
          <w:rFonts w:ascii="Times New Roman" w:eastAsiaTheme="minorEastAsia" w:hAnsi="Times New Roman" w:cs="Times New Roman"/>
          <w:sz w:val="24"/>
          <w:szCs w:val="24"/>
        </w:rPr>
        <w:t xml:space="preserve"> et al. 2018). It is reassuring therefore that taxation of </w:t>
      </w:r>
      <w:proofErr w:type="spellStart"/>
      <w:r w:rsidRPr="008269E4">
        <w:rPr>
          <w:rFonts w:ascii="Times New Roman" w:eastAsiaTheme="minorEastAsia" w:hAnsi="Times New Roman" w:cs="Times New Roman"/>
          <w:i/>
          <w:iCs/>
          <w:sz w:val="24"/>
          <w:szCs w:val="24"/>
        </w:rPr>
        <w:t>beedis</w:t>
      </w:r>
      <w:proofErr w:type="spellEnd"/>
      <w:r w:rsidRPr="008269E4">
        <w:rPr>
          <w:rFonts w:ascii="Times New Roman" w:eastAsiaTheme="minorEastAsia" w:hAnsi="Times New Roman" w:cs="Times New Roman"/>
          <w:i/>
          <w:iCs/>
          <w:sz w:val="24"/>
          <w:szCs w:val="24"/>
        </w:rPr>
        <w:t xml:space="preserve"> </w:t>
      </w:r>
      <w:r w:rsidRPr="008269E4">
        <w:rPr>
          <w:rFonts w:ascii="Times New Roman" w:eastAsiaTheme="minorEastAsia" w:hAnsi="Times New Roman" w:cs="Times New Roman"/>
          <w:sz w:val="24"/>
          <w:szCs w:val="24"/>
        </w:rPr>
        <w:t xml:space="preserve">and smokeless tobacco (SLT) has </w:t>
      </w:r>
      <w:proofErr w:type="gramStart"/>
      <w:r w:rsidRPr="008269E4">
        <w:rPr>
          <w:rFonts w:ascii="Times New Roman" w:eastAsiaTheme="minorEastAsia" w:hAnsi="Times New Roman" w:cs="Times New Roman"/>
          <w:sz w:val="24"/>
          <w:szCs w:val="24"/>
        </w:rPr>
        <w:t>risen</w:t>
      </w:r>
      <w:proofErr w:type="gramEnd"/>
      <w:r w:rsidRPr="008269E4">
        <w:rPr>
          <w:rFonts w:ascii="Times New Roman" w:eastAsiaTheme="minorEastAsia" w:hAnsi="Times New Roman" w:cs="Times New Roman"/>
          <w:sz w:val="24"/>
          <w:szCs w:val="24"/>
        </w:rPr>
        <w:t xml:space="preserve"> sharply in the recent Goods and Services Tax (GST).</w:t>
      </w:r>
    </w:p>
    <w:p w14:paraId="6A64124A"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Information through mass-media adds to awareness of healthy living, entitlements, social safety nets, and discriminatory behaviour. While the links between improvement in well-being and mass-media vary between men and women, it is plausible that some information content is more offensive to women. That self-censorship by the media has been shrouded in corruption is common knowledge while government regulation is oversensitive to any criticism and frequently authoritarian. It is thus a challenge that defies any resolution. </w:t>
      </w:r>
    </w:p>
    <w:p w14:paraId="1C1E9CF7" w14:textId="349B0643" w:rsidR="00E95D90" w:rsidRPr="008269E4" w:rsidRDefault="00BF51D7" w:rsidP="00E95D90">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s</w:t>
      </w:r>
      <w:r w:rsidR="00E95D90" w:rsidRPr="008269E4">
        <w:rPr>
          <w:rFonts w:ascii="Times New Roman" w:eastAsiaTheme="minorEastAsia" w:hAnsi="Times New Roman" w:cs="Times New Roman"/>
          <w:sz w:val="24"/>
          <w:szCs w:val="24"/>
        </w:rPr>
        <w:t xml:space="preserve">ocio-economic hierarchy inherent in the caste system is not reflected in change in SWB. Indeed, relative to OBCs, upper castes do not display significantly </w:t>
      </w:r>
      <w:r w:rsidR="00EE1A54">
        <w:rPr>
          <w:rFonts w:ascii="Times New Roman" w:eastAsiaTheme="minorEastAsia" w:hAnsi="Times New Roman" w:cs="Times New Roman"/>
          <w:sz w:val="24"/>
          <w:szCs w:val="24"/>
        </w:rPr>
        <w:t xml:space="preserve">higher </w:t>
      </w:r>
      <w:r w:rsidR="00E95D90" w:rsidRPr="008269E4">
        <w:rPr>
          <w:rFonts w:ascii="Times New Roman" w:eastAsiaTheme="minorEastAsia" w:hAnsi="Times New Roman" w:cs="Times New Roman"/>
          <w:sz w:val="24"/>
          <w:szCs w:val="24"/>
        </w:rPr>
        <w:t xml:space="preserve">changes in SWB </w:t>
      </w:r>
      <w:r w:rsidR="00E95D90" w:rsidRPr="008269E4">
        <w:rPr>
          <w:rFonts w:ascii="Times New Roman" w:eastAsiaTheme="minorEastAsia" w:hAnsi="Times New Roman" w:cs="Times New Roman"/>
          <w:sz w:val="24"/>
          <w:szCs w:val="24"/>
        </w:rPr>
        <w:lastRenderedPageBreak/>
        <w:t xml:space="preserve">while among SCs on the lower rung change in well-being is significantly </w:t>
      </w:r>
      <w:r w:rsidR="00EE1A54">
        <w:rPr>
          <w:rFonts w:ascii="Times New Roman" w:eastAsiaTheme="minorEastAsia" w:hAnsi="Times New Roman" w:cs="Times New Roman"/>
          <w:sz w:val="24"/>
          <w:szCs w:val="24"/>
        </w:rPr>
        <w:t>higher</w:t>
      </w:r>
      <w:r w:rsidR="00E95D90" w:rsidRPr="008269E4">
        <w:rPr>
          <w:rFonts w:ascii="Times New Roman" w:eastAsiaTheme="minorEastAsia" w:hAnsi="Times New Roman" w:cs="Times New Roman"/>
          <w:sz w:val="24"/>
          <w:szCs w:val="24"/>
        </w:rPr>
        <w:t xml:space="preserve">. Despite affirmative action, caste inequities and discrimination against lower castes have persisted. While a case could be made for lower castes catching up with upper castes though more equitable opportunities of schooling, employment and personal advancement, it is arguable that upper castes might resent it unless their attitudes towards lower castes change drastically. As legislation has limited potential because of weak enforcement, it has been argued that, since mere exhortations to change attitudes are likely to be ignored, carefully framed persuasion can work. For instance, people conform to others they perceive to be in their reference group. These effects are quite powerful messages that are framed to appeal to self-interest or moral commitments usually lead to less behavioural (and attitude) change than those that are framed to make the recipients believe that others just like them are behaving in the desired way. For example, rates of tax compliance go up, and deductions go down, when citizens believe </w:t>
      </w:r>
      <w:r w:rsidR="00E95D90" w:rsidRPr="008269E4">
        <w:rPr>
          <w:rFonts w:ascii="Times New Roman" w:eastAsiaTheme="minorEastAsia" w:hAnsi="Times New Roman" w:cs="Times New Roman"/>
          <w:i/>
          <w:iCs/>
          <w:sz w:val="24"/>
          <w:szCs w:val="24"/>
        </w:rPr>
        <w:t xml:space="preserve">other </w:t>
      </w:r>
      <w:r w:rsidR="00E95D90" w:rsidRPr="008269E4">
        <w:rPr>
          <w:rFonts w:ascii="Times New Roman" w:eastAsiaTheme="minorEastAsia" w:hAnsi="Times New Roman" w:cs="Times New Roman"/>
          <w:sz w:val="24"/>
          <w:szCs w:val="24"/>
        </w:rPr>
        <w:t>citizens are paying their fair share (</w:t>
      </w:r>
      <w:proofErr w:type="spellStart"/>
      <w:r w:rsidR="00E95D90" w:rsidRPr="008269E4">
        <w:rPr>
          <w:rFonts w:ascii="Times New Roman" w:eastAsiaTheme="minorEastAsia" w:hAnsi="Times New Roman" w:cs="Times New Roman"/>
          <w:sz w:val="24"/>
          <w:szCs w:val="24"/>
        </w:rPr>
        <w:t>Bilz</w:t>
      </w:r>
      <w:proofErr w:type="spellEnd"/>
      <w:r w:rsidR="00E95D90" w:rsidRPr="008269E4">
        <w:rPr>
          <w:rFonts w:ascii="Times New Roman" w:eastAsiaTheme="minorEastAsia" w:hAnsi="Times New Roman" w:cs="Times New Roman"/>
          <w:sz w:val="24"/>
          <w:szCs w:val="24"/>
        </w:rPr>
        <w:t xml:space="preserve"> and Nadler, 2014). </w:t>
      </w:r>
    </w:p>
    <w:p w14:paraId="5D7881C7" w14:textId="0E7315B5"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The fact that Muslims and Others, relative to Hindus, are associated with higher levels of improvement in SWB is not surprising as Hinduism is ‘more a way of life than a religion’. It lacks a code of beliefs and religious practices are flexible. Moreover, the caste system- an integral part of Hinduism- is iniquitous and exclusionary. Religious harmony is vital for </w:t>
      </w:r>
      <w:bookmarkStart w:id="0" w:name="_GoBack"/>
      <w:r w:rsidR="00BF51D7">
        <w:rPr>
          <w:rFonts w:ascii="Times New Roman" w:eastAsiaTheme="minorEastAsia" w:hAnsi="Times New Roman" w:cs="Times New Roman"/>
          <w:sz w:val="24"/>
          <w:szCs w:val="24"/>
        </w:rPr>
        <w:t>improvements in</w:t>
      </w:r>
      <w:r w:rsidRPr="008269E4">
        <w:rPr>
          <w:rFonts w:ascii="Times New Roman" w:eastAsiaTheme="minorEastAsia" w:hAnsi="Times New Roman" w:cs="Times New Roman"/>
          <w:sz w:val="24"/>
          <w:szCs w:val="24"/>
        </w:rPr>
        <w:t xml:space="preserve"> </w:t>
      </w:r>
      <w:bookmarkEnd w:id="0"/>
      <w:r w:rsidRPr="008269E4">
        <w:rPr>
          <w:rFonts w:ascii="Times New Roman" w:eastAsiaTheme="minorEastAsia" w:hAnsi="Times New Roman" w:cs="Times New Roman"/>
          <w:sz w:val="24"/>
          <w:szCs w:val="24"/>
        </w:rPr>
        <w:t>SWB.</w:t>
      </w:r>
    </w:p>
    <w:p w14:paraId="73178528"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Inequality in income/wealth distribution at different levels is yet another challenge, as it is tied up with incentives to invest and grow. While there is no question about progressive taxation of inherited wealth, progressive taxation of income is likely to be resisted as it affects negatively investment behaviour. So the policy challenge is to ensure that the trade-off between income tax and investment is not unacceptably high. Our analysis suggests that high disparity between personal incomes within a primary sampling unit (a cluster of villages/small towns) is linked to the gap between aspiration and achievement and thus breeds resentment and frustration, and a negative association with well-being. Expansion of more remunerative employment opportunities may narrow this gap and enhance well-being. Reduction of disparity in affluence between states through larger allocations of revenues through the Finance Commission without compromising their incentive to raise more revenue is an option. But this must be complemented with larger investments by the Centre and state governments. </w:t>
      </w:r>
    </w:p>
    <w:p w14:paraId="685C55E0"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Finally, the positive association between well-being and the Piketty measure of extreme inequality is puzzling especially if the latter is driven mainly by speculative gains in the stock market and real estate. So there is a case for a more diversified investment portfolio. Whether speculative gains could be curbed through taxation is moot. Combined with promotion of small and medium enterprises through tax exemption in the initial phase and easier financing of their loans could promote more inclusive growth and perhaps substantial gains in SWB. </w:t>
      </w:r>
    </w:p>
    <w:p w14:paraId="39576671" w14:textId="77777777" w:rsidR="003D05AC"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In brief, there are many policy challenges that are daunting and some that seem unresolvable.</w:t>
      </w:r>
      <w:r w:rsidR="003D05AC">
        <w:rPr>
          <w:rFonts w:ascii="Times New Roman" w:eastAsiaTheme="minorEastAsia" w:hAnsi="Times New Roman" w:cs="Times New Roman"/>
          <w:sz w:val="24"/>
          <w:szCs w:val="24"/>
        </w:rPr>
        <w:br w:type="page"/>
      </w:r>
    </w:p>
    <w:p w14:paraId="6901BE63" w14:textId="77777777" w:rsidR="00E95D90" w:rsidRPr="008269E4" w:rsidRDefault="00E95D90" w:rsidP="00E95D90">
      <w:pPr>
        <w:jc w:val="center"/>
        <w:rPr>
          <w:rFonts w:ascii="Times New Roman" w:eastAsiaTheme="minorEastAsia" w:hAnsi="Times New Roman" w:cs="Times New Roman"/>
          <w:b/>
          <w:bCs/>
          <w:sz w:val="24"/>
          <w:szCs w:val="24"/>
        </w:rPr>
      </w:pPr>
      <w:r w:rsidRPr="008269E4">
        <w:rPr>
          <w:rFonts w:ascii="Times New Roman" w:eastAsiaTheme="minorEastAsia" w:hAnsi="Times New Roman" w:cs="Times New Roman"/>
          <w:b/>
          <w:bCs/>
          <w:sz w:val="24"/>
          <w:szCs w:val="24"/>
        </w:rPr>
        <w:lastRenderedPageBreak/>
        <w:t>References</w:t>
      </w:r>
    </w:p>
    <w:p w14:paraId="02F1C4CB"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Academy of Medical Sciences (2018)</w:t>
      </w:r>
      <w:proofErr w:type="gramStart"/>
      <w:r w:rsidRPr="008269E4">
        <w:rPr>
          <w:rFonts w:ascii="Times New Roman" w:eastAsiaTheme="minorEastAsia" w:hAnsi="Times New Roman" w:cs="Times New Roman"/>
          <w:bCs/>
          <w:sz w:val="24"/>
          <w:szCs w:val="24"/>
        </w:rPr>
        <w:t>.“Multi-morbidity: A Priority for Global Health Research,” London.</w:t>
      </w:r>
      <w:proofErr w:type="gramEnd"/>
    </w:p>
    <w:p w14:paraId="101757A5"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Akay</w:t>
      </w:r>
      <w:proofErr w:type="spellEnd"/>
      <w:r w:rsidRPr="008269E4">
        <w:rPr>
          <w:rFonts w:ascii="Times New Roman" w:eastAsiaTheme="minorEastAsia" w:hAnsi="Times New Roman" w:cs="Times New Roman"/>
          <w:bCs/>
          <w:sz w:val="24"/>
          <w:szCs w:val="24"/>
        </w:rPr>
        <w:t xml:space="preserve">, A. O. B. Bargain, &amp;H. X. </w:t>
      </w:r>
      <w:proofErr w:type="spellStart"/>
      <w:r w:rsidRPr="008269E4">
        <w:rPr>
          <w:rFonts w:ascii="Times New Roman" w:eastAsiaTheme="minorEastAsia" w:hAnsi="Times New Roman" w:cs="Times New Roman"/>
          <w:bCs/>
          <w:sz w:val="24"/>
          <w:szCs w:val="24"/>
        </w:rPr>
        <w:t>Jara</w:t>
      </w:r>
      <w:proofErr w:type="spellEnd"/>
      <w:r w:rsidRPr="008269E4">
        <w:rPr>
          <w:rFonts w:ascii="Times New Roman" w:eastAsiaTheme="minorEastAsia" w:hAnsi="Times New Roman" w:cs="Times New Roman"/>
          <w:bCs/>
          <w:sz w:val="24"/>
          <w:szCs w:val="24"/>
        </w:rPr>
        <w:t xml:space="preserve"> (2017) “Back to Bentham, Should We? </w:t>
      </w:r>
      <w:proofErr w:type="gramStart"/>
      <w:r w:rsidRPr="008269E4">
        <w:rPr>
          <w:rFonts w:ascii="Times New Roman" w:eastAsiaTheme="minorEastAsia" w:hAnsi="Times New Roman" w:cs="Times New Roman"/>
          <w:bCs/>
          <w:sz w:val="24"/>
          <w:szCs w:val="24"/>
        </w:rPr>
        <w:t>Large-Scale Comparison of Experienced versus Decision Utility”, IZA DP No. 10907, Bonn.</w:t>
      </w:r>
      <w:proofErr w:type="gramEnd"/>
    </w:p>
    <w:p w14:paraId="6A8A1BC0"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lang w:val="it-IT"/>
        </w:rPr>
        <w:t xml:space="preserve">Alesina, A., Di Tella, R., &amp; MacCulloch, R. (2004). </w:t>
      </w:r>
      <w:r w:rsidRPr="008269E4">
        <w:rPr>
          <w:rFonts w:ascii="Times New Roman" w:eastAsiaTheme="minorEastAsia" w:hAnsi="Times New Roman" w:cs="Times New Roman"/>
          <w:bCs/>
          <w:sz w:val="24"/>
          <w:szCs w:val="24"/>
        </w:rPr>
        <w:t xml:space="preserve">Inequality and happiness: Are Europeans and Americans different? </w:t>
      </w:r>
      <w:r w:rsidRPr="008269E4">
        <w:rPr>
          <w:rFonts w:ascii="Times New Roman" w:eastAsiaTheme="minorEastAsia" w:hAnsi="Times New Roman" w:cs="Times New Roman"/>
          <w:bCs/>
          <w:i/>
          <w:sz w:val="24"/>
          <w:szCs w:val="24"/>
        </w:rPr>
        <w:t>Journal of Public Economics</w:t>
      </w:r>
      <w:r w:rsidRPr="008269E4">
        <w:rPr>
          <w:rFonts w:ascii="Times New Roman" w:eastAsiaTheme="minorEastAsia" w:hAnsi="Times New Roman" w:cs="Times New Roman"/>
          <w:bCs/>
          <w:sz w:val="24"/>
          <w:szCs w:val="24"/>
        </w:rPr>
        <w:t>, 88, 2009–2042.</w:t>
      </w:r>
    </w:p>
    <w:p w14:paraId="4F57782E"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Angrist, J. D., &amp; J. S. </w:t>
      </w:r>
      <w:proofErr w:type="spellStart"/>
      <w:r w:rsidRPr="008269E4">
        <w:rPr>
          <w:rFonts w:ascii="Times New Roman" w:eastAsiaTheme="minorEastAsia" w:hAnsi="Times New Roman" w:cs="Times New Roman"/>
          <w:bCs/>
          <w:sz w:val="24"/>
          <w:szCs w:val="24"/>
        </w:rPr>
        <w:t>Pischke</w:t>
      </w:r>
      <w:proofErr w:type="spellEnd"/>
      <w:r w:rsidRPr="008269E4">
        <w:rPr>
          <w:rFonts w:ascii="Times New Roman" w:eastAsiaTheme="minorEastAsia" w:hAnsi="Times New Roman" w:cs="Times New Roman"/>
          <w:bCs/>
          <w:sz w:val="24"/>
          <w:szCs w:val="24"/>
        </w:rPr>
        <w:t xml:space="preserve"> (2008).</w:t>
      </w:r>
      <w:r w:rsidRPr="008269E4">
        <w:rPr>
          <w:rFonts w:ascii="Times New Roman" w:eastAsiaTheme="minorEastAsia" w:hAnsi="Times New Roman" w:cs="Times New Roman"/>
          <w:bCs/>
          <w:i/>
          <w:sz w:val="24"/>
          <w:szCs w:val="24"/>
        </w:rPr>
        <w:t>Mostly harmless econometrics: An empiricist's companion</w:t>
      </w:r>
      <w:r w:rsidRPr="008269E4">
        <w:rPr>
          <w:rFonts w:ascii="Times New Roman" w:eastAsiaTheme="minorEastAsia" w:hAnsi="Times New Roman" w:cs="Times New Roman"/>
          <w:bCs/>
          <w:sz w:val="24"/>
          <w:szCs w:val="24"/>
        </w:rPr>
        <w:t>. Princeton university press, Princeton, NJ:</w:t>
      </w:r>
    </w:p>
    <w:p w14:paraId="69AA57F9"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lang w:val="en-GB"/>
        </w:rPr>
        <w:t xml:space="preserve">Berkman, L. F, T V </w:t>
      </w:r>
      <w:proofErr w:type="spellStart"/>
      <w:r w:rsidRPr="008269E4">
        <w:rPr>
          <w:rFonts w:ascii="Times New Roman" w:eastAsiaTheme="minorEastAsia" w:hAnsi="Times New Roman" w:cs="Times New Roman"/>
          <w:bCs/>
          <w:sz w:val="24"/>
          <w:szCs w:val="24"/>
          <w:lang w:val="en-GB"/>
        </w:rPr>
        <w:t>Sekher</w:t>
      </w:r>
      <w:proofErr w:type="spellEnd"/>
      <w:r w:rsidRPr="008269E4">
        <w:rPr>
          <w:rFonts w:ascii="Times New Roman" w:eastAsiaTheme="minorEastAsia" w:hAnsi="Times New Roman" w:cs="Times New Roman"/>
          <w:bCs/>
          <w:sz w:val="24"/>
          <w:szCs w:val="24"/>
          <w:lang w:val="en-GB"/>
        </w:rPr>
        <w:t xml:space="preserve">, B. </w:t>
      </w:r>
      <w:proofErr w:type="spellStart"/>
      <w:r w:rsidRPr="008269E4">
        <w:rPr>
          <w:rFonts w:ascii="Times New Roman" w:eastAsiaTheme="minorEastAsia" w:hAnsi="Times New Roman" w:cs="Times New Roman"/>
          <w:bCs/>
          <w:sz w:val="24"/>
          <w:szCs w:val="24"/>
          <w:lang w:val="en-GB"/>
        </w:rPr>
        <w:t>Capistrant</w:t>
      </w:r>
      <w:proofErr w:type="spellEnd"/>
      <w:r w:rsidRPr="008269E4">
        <w:rPr>
          <w:rFonts w:ascii="Times New Roman" w:eastAsiaTheme="minorEastAsia" w:hAnsi="Times New Roman" w:cs="Times New Roman"/>
          <w:bCs/>
          <w:sz w:val="24"/>
          <w:szCs w:val="24"/>
          <w:lang w:val="en-GB"/>
        </w:rPr>
        <w:t>, and Y. Zheng (2012): “Social Networks, Family, and Care Giving Among Older Adults in India,” </w:t>
      </w:r>
      <w:r w:rsidRPr="008269E4">
        <w:rPr>
          <w:rFonts w:ascii="Times New Roman" w:eastAsiaTheme="minorEastAsia" w:hAnsi="Times New Roman" w:cs="Times New Roman"/>
          <w:bCs/>
          <w:i/>
          <w:iCs/>
          <w:sz w:val="24"/>
          <w:szCs w:val="24"/>
          <w:lang w:val="en-GB"/>
        </w:rPr>
        <w:t>Aging in Asia: Findings from New and Emerging Data Initiatives</w:t>
      </w:r>
      <w:r w:rsidRPr="008269E4">
        <w:rPr>
          <w:rFonts w:ascii="Times New Roman" w:eastAsiaTheme="minorEastAsia" w:hAnsi="Times New Roman" w:cs="Times New Roman"/>
          <w:bCs/>
          <w:sz w:val="24"/>
          <w:szCs w:val="24"/>
          <w:lang w:val="en-GB"/>
        </w:rPr>
        <w:t xml:space="preserve">, J P Smith and M </w:t>
      </w:r>
      <w:proofErr w:type="spellStart"/>
      <w:r w:rsidRPr="008269E4">
        <w:rPr>
          <w:rFonts w:ascii="Times New Roman" w:eastAsiaTheme="minorEastAsia" w:hAnsi="Times New Roman" w:cs="Times New Roman"/>
          <w:bCs/>
          <w:sz w:val="24"/>
          <w:szCs w:val="24"/>
          <w:lang w:val="en-GB"/>
        </w:rPr>
        <w:t>Majmundar</w:t>
      </w:r>
      <w:proofErr w:type="spellEnd"/>
      <w:r w:rsidRPr="008269E4">
        <w:rPr>
          <w:rFonts w:ascii="Times New Roman" w:eastAsiaTheme="minorEastAsia" w:hAnsi="Times New Roman" w:cs="Times New Roman"/>
          <w:bCs/>
          <w:sz w:val="24"/>
          <w:szCs w:val="24"/>
          <w:lang w:val="en-GB"/>
        </w:rPr>
        <w:t xml:space="preserve"> (</w:t>
      </w:r>
      <w:proofErr w:type="spellStart"/>
      <w:r w:rsidRPr="008269E4">
        <w:rPr>
          <w:rFonts w:ascii="Times New Roman" w:eastAsiaTheme="minorEastAsia" w:hAnsi="Times New Roman" w:cs="Times New Roman"/>
          <w:bCs/>
          <w:sz w:val="24"/>
          <w:szCs w:val="24"/>
          <w:lang w:val="en-GB"/>
        </w:rPr>
        <w:t>eds</w:t>
      </w:r>
      <w:proofErr w:type="spellEnd"/>
      <w:r w:rsidRPr="008269E4">
        <w:rPr>
          <w:rFonts w:ascii="Times New Roman" w:eastAsiaTheme="minorEastAsia" w:hAnsi="Times New Roman" w:cs="Times New Roman"/>
          <w:bCs/>
          <w:sz w:val="24"/>
          <w:szCs w:val="24"/>
          <w:lang w:val="en-GB"/>
        </w:rPr>
        <w:t xml:space="preserve">), Washington, DC: National Research Council, pp . </w:t>
      </w:r>
      <w:proofErr w:type="gramStart"/>
      <w:r w:rsidRPr="008269E4">
        <w:rPr>
          <w:rFonts w:ascii="Times New Roman" w:eastAsiaTheme="minorEastAsia" w:hAnsi="Times New Roman" w:cs="Times New Roman"/>
          <w:bCs/>
          <w:sz w:val="24"/>
          <w:szCs w:val="24"/>
          <w:lang w:val="en-GB"/>
        </w:rPr>
        <w:t>261-278.</w:t>
      </w:r>
      <w:proofErr w:type="gramEnd"/>
    </w:p>
    <w:p w14:paraId="46FDCE70"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Bilz</w:t>
      </w:r>
      <w:proofErr w:type="spellEnd"/>
      <w:r w:rsidRPr="008269E4">
        <w:rPr>
          <w:rFonts w:ascii="Times New Roman" w:eastAsiaTheme="minorEastAsia" w:hAnsi="Times New Roman" w:cs="Times New Roman"/>
          <w:bCs/>
          <w:sz w:val="24"/>
          <w:szCs w:val="24"/>
        </w:rPr>
        <w:t xml:space="preserve">, K., &amp; J. Nadler (2014) “Law, Moral Attitudes, and Behavioural Change”, New York: Oxford University Press. </w:t>
      </w:r>
    </w:p>
    <w:p w14:paraId="11E57682" w14:textId="77777777" w:rsidR="00E95D90" w:rsidRPr="008269E4" w:rsidRDefault="00E95D90" w:rsidP="00E95D90">
      <w:pPr>
        <w:jc w:val="both"/>
        <w:rPr>
          <w:rFonts w:ascii="Times New Roman" w:eastAsiaTheme="minorEastAsia" w:hAnsi="Times New Roman" w:cs="Times New Roman"/>
          <w:sz w:val="24"/>
          <w:szCs w:val="24"/>
        </w:rPr>
      </w:pPr>
      <w:proofErr w:type="spellStart"/>
      <w:r w:rsidRPr="008269E4">
        <w:rPr>
          <w:rFonts w:ascii="Times New Roman" w:eastAsiaTheme="minorEastAsia" w:hAnsi="Times New Roman" w:cs="Times New Roman"/>
          <w:sz w:val="24"/>
          <w:szCs w:val="24"/>
        </w:rPr>
        <w:t>Blanchflower</w:t>
      </w:r>
      <w:proofErr w:type="spellEnd"/>
      <w:r w:rsidRPr="008269E4">
        <w:rPr>
          <w:rFonts w:ascii="Times New Roman" w:eastAsiaTheme="minorEastAsia" w:hAnsi="Times New Roman" w:cs="Times New Roman"/>
          <w:sz w:val="24"/>
          <w:szCs w:val="24"/>
        </w:rPr>
        <w:t xml:space="preserve">, D. G., &amp; Oswald, A. J. (2004). </w:t>
      </w:r>
      <w:proofErr w:type="gramStart"/>
      <w:r w:rsidRPr="008269E4">
        <w:rPr>
          <w:rFonts w:ascii="Times New Roman" w:eastAsiaTheme="minorEastAsia" w:hAnsi="Times New Roman" w:cs="Times New Roman"/>
          <w:sz w:val="24"/>
          <w:szCs w:val="24"/>
        </w:rPr>
        <w:t xml:space="preserve">“Well-being over time in Britain and the </w:t>
      </w:r>
      <w:proofErr w:type="spellStart"/>
      <w:r w:rsidRPr="008269E4">
        <w:rPr>
          <w:rFonts w:ascii="Times New Roman" w:eastAsiaTheme="minorEastAsia" w:hAnsi="Times New Roman" w:cs="Times New Roman"/>
          <w:sz w:val="24"/>
          <w:szCs w:val="24"/>
        </w:rPr>
        <w:t>USA”.</w:t>
      </w:r>
      <w:r w:rsidRPr="008269E4">
        <w:rPr>
          <w:rFonts w:ascii="Times New Roman" w:eastAsiaTheme="minorEastAsia" w:hAnsi="Times New Roman" w:cs="Times New Roman"/>
          <w:i/>
          <w:sz w:val="24"/>
          <w:szCs w:val="24"/>
        </w:rPr>
        <w:t>Journal</w:t>
      </w:r>
      <w:proofErr w:type="spellEnd"/>
      <w:r w:rsidRPr="008269E4">
        <w:rPr>
          <w:rFonts w:ascii="Times New Roman" w:eastAsiaTheme="minorEastAsia" w:hAnsi="Times New Roman" w:cs="Times New Roman"/>
          <w:i/>
          <w:sz w:val="24"/>
          <w:szCs w:val="24"/>
        </w:rPr>
        <w:t xml:space="preserve"> of Public Economics,</w:t>
      </w:r>
      <w:r w:rsidRPr="008269E4">
        <w:rPr>
          <w:rFonts w:ascii="Times New Roman" w:eastAsiaTheme="minorEastAsia" w:hAnsi="Times New Roman" w:cs="Times New Roman"/>
          <w:sz w:val="24"/>
          <w:szCs w:val="24"/>
        </w:rPr>
        <w:t xml:space="preserve"> 88, 1359–1386.</w:t>
      </w:r>
      <w:proofErr w:type="gramEnd"/>
    </w:p>
    <w:p w14:paraId="2B000835"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Blanchflower</w:t>
      </w:r>
      <w:proofErr w:type="spellEnd"/>
      <w:r w:rsidRPr="008269E4">
        <w:rPr>
          <w:rFonts w:ascii="Times New Roman" w:eastAsiaTheme="minorEastAsia" w:hAnsi="Times New Roman" w:cs="Times New Roman"/>
          <w:bCs/>
          <w:sz w:val="24"/>
          <w:szCs w:val="24"/>
        </w:rPr>
        <w:t>, D.G., &amp; A. Oswald (2007) “Is Well-Being U-Shaped Over The Life Cycle?</w:t>
      </w:r>
      <w:proofErr w:type="gramStart"/>
      <w:r w:rsidRPr="008269E4">
        <w:rPr>
          <w:rFonts w:ascii="Times New Roman" w:eastAsiaTheme="minorEastAsia" w:hAnsi="Times New Roman" w:cs="Times New Roman"/>
          <w:bCs/>
          <w:sz w:val="24"/>
          <w:szCs w:val="24"/>
        </w:rPr>
        <w:t>”,</w:t>
      </w:r>
      <w:proofErr w:type="gramEnd"/>
      <w:r w:rsidRPr="008269E4">
        <w:rPr>
          <w:rFonts w:ascii="Times New Roman" w:eastAsiaTheme="minorEastAsia" w:hAnsi="Times New Roman" w:cs="Times New Roman"/>
          <w:bCs/>
          <w:sz w:val="24"/>
          <w:szCs w:val="24"/>
        </w:rPr>
        <w:t xml:space="preserve"> NBER Working Paper Series, Working Paper 12935, Cambridge, MA.</w:t>
      </w:r>
    </w:p>
    <w:p w14:paraId="3B47AED3"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Bloom, D.E., S. Chen, </w:t>
      </w:r>
      <w:proofErr w:type="spellStart"/>
      <w:r w:rsidRPr="008269E4">
        <w:rPr>
          <w:rFonts w:ascii="Times New Roman" w:eastAsiaTheme="minorEastAsia" w:hAnsi="Times New Roman" w:cs="Times New Roman"/>
          <w:bCs/>
          <w:sz w:val="24"/>
          <w:szCs w:val="24"/>
        </w:rPr>
        <w:t>M.Kuhn</w:t>
      </w:r>
      <w:proofErr w:type="spellEnd"/>
      <w:r w:rsidRPr="008269E4">
        <w:rPr>
          <w:rFonts w:ascii="Times New Roman" w:eastAsiaTheme="minorEastAsia" w:hAnsi="Times New Roman" w:cs="Times New Roman"/>
          <w:bCs/>
          <w:sz w:val="24"/>
          <w:szCs w:val="24"/>
        </w:rPr>
        <w:t xml:space="preserve">, M. E. McGovern, L. Oxley, &amp;K. </w:t>
      </w:r>
      <w:proofErr w:type="spellStart"/>
      <w:r w:rsidRPr="008269E4">
        <w:rPr>
          <w:rFonts w:ascii="Times New Roman" w:eastAsiaTheme="minorEastAsia" w:hAnsi="Times New Roman" w:cs="Times New Roman"/>
          <w:bCs/>
          <w:sz w:val="24"/>
          <w:szCs w:val="24"/>
        </w:rPr>
        <w:t>Prettner</w:t>
      </w:r>
      <w:proofErr w:type="spellEnd"/>
      <w:r w:rsidRPr="008269E4">
        <w:rPr>
          <w:rFonts w:ascii="Times New Roman" w:eastAsiaTheme="minorEastAsia" w:hAnsi="Times New Roman" w:cs="Times New Roman"/>
          <w:bCs/>
          <w:sz w:val="24"/>
          <w:szCs w:val="24"/>
        </w:rPr>
        <w:t xml:space="preserve"> (2020) “The economic burden of chronic diseases: Estimates and projections for China, Japan, and South Korea”, </w:t>
      </w:r>
      <w:proofErr w:type="spellStart"/>
      <w:r w:rsidRPr="008269E4">
        <w:rPr>
          <w:rFonts w:ascii="Times New Roman" w:eastAsiaTheme="minorEastAsia" w:hAnsi="Times New Roman" w:cs="Times New Roman"/>
          <w:bCs/>
          <w:i/>
          <w:sz w:val="24"/>
          <w:szCs w:val="24"/>
        </w:rPr>
        <w:t>The</w:t>
      </w:r>
      <w:r w:rsidRPr="008269E4">
        <w:rPr>
          <w:rFonts w:ascii="Times New Roman" w:eastAsiaTheme="minorEastAsia" w:hAnsi="Times New Roman" w:cs="Times New Roman"/>
          <w:bCs/>
          <w:i/>
          <w:iCs/>
          <w:sz w:val="24"/>
          <w:szCs w:val="24"/>
        </w:rPr>
        <w:t>Journal</w:t>
      </w:r>
      <w:proofErr w:type="spellEnd"/>
      <w:r w:rsidRPr="008269E4">
        <w:rPr>
          <w:rFonts w:ascii="Times New Roman" w:eastAsiaTheme="minorEastAsia" w:hAnsi="Times New Roman" w:cs="Times New Roman"/>
          <w:bCs/>
          <w:i/>
          <w:iCs/>
          <w:sz w:val="24"/>
          <w:szCs w:val="24"/>
        </w:rPr>
        <w:t xml:space="preserve"> of the Economics of Ageing</w:t>
      </w:r>
      <w:r w:rsidRPr="008269E4">
        <w:rPr>
          <w:rFonts w:ascii="Times New Roman" w:eastAsiaTheme="minorEastAsia" w:hAnsi="Times New Roman" w:cs="Times New Roman"/>
          <w:bCs/>
          <w:sz w:val="24"/>
          <w:szCs w:val="24"/>
        </w:rPr>
        <w:t>, forthcoming.</w:t>
      </w:r>
    </w:p>
    <w:p w14:paraId="480A98C3"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Cantril</w:t>
      </w:r>
      <w:proofErr w:type="spellEnd"/>
      <w:r w:rsidRPr="008269E4">
        <w:rPr>
          <w:rFonts w:ascii="Times New Roman" w:eastAsiaTheme="minorEastAsia" w:hAnsi="Times New Roman" w:cs="Times New Roman"/>
          <w:bCs/>
          <w:sz w:val="24"/>
          <w:szCs w:val="24"/>
        </w:rPr>
        <w:t xml:space="preserve">, H (1965). </w:t>
      </w:r>
      <w:proofErr w:type="gramStart"/>
      <w:r w:rsidRPr="008269E4">
        <w:rPr>
          <w:rFonts w:ascii="Times New Roman" w:eastAsiaTheme="minorEastAsia" w:hAnsi="Times New Roman" w:cs="Times New Roman"/>
          <w:bCs/>
          <w:i/>
          <w:sz w:val="24"/>
          <w:szCs w:val="24"/>
        </w:rPr>
        <w:t>The pattern of human concerns</w:t>
      </w:r>
      <w:r w:rsidRPr="008269E4">
        <w:rPr>
          <w:rFonts w:ascii="Times New Roman" w:eastAsiaTheme="minorEastAsia" w:hAnsi="Times New Roman" w:cs="Times New Roman"/>
          <w:bCs/>
          <w:sz w:val="24"/>
          <w:szCs w:val="24"/>
        </w:rPr>
        <w:t>.</w:t>
      </w:r>
      <w:proofErr w:type="gramEnd"/>
      <w:r w:rsidRPr="008269E4">
        <w:rPr>
          <w:rFonts w:ascii="Times New Roman" w:eastAsiaTheme="minorEastAsia" w:hAnsi="Times New Roman" w:cs="Times New Roman"/>
          <w:bCs/>
          <w:sz w:val="24"/>
          <w:szCs w:val="24"/>
        </w:rPr>
        <w:t xml:space="preserve"> New Brunswick, NJ: Rutgers University Press.</w:t>
      </w:r>
    </w:p>
    <w:p w14:paraId="59934EF3" w14:textId="77777777" w:rsidR="00E95D90" w:rsidRPr="008269E4" w:rsidRDefault="00E95D90" w:rsidP="00E95D90">
      <w:pPr>
        <w:jc w:val="both"/>
        <w:rPr>
          <w:rFonts w:ascii="Times New Roman" w:eastAsiaTheme="minorEastAsia" w:hAnsi="Times New Roman" w:cs="Times New Roman"/>
          <w:bCs/>
          <w:sz w:val="24"/>
          <w:szCs w:val="24"/>
        </w:rPr>
      </w:pPr>
      <w:proofErr w:type="gramStart"/>
      <w:r w:rsidRPr="008269E4">
        <w:rPr>
          <w:rFonts w:ascii="Times New Roman" w:eastAsiaTheme="minorEastAsia" w:hAnsi="Times New Roman" w:cs="Times New Roman"/>
          <w:bCs/>
          <w:iCs/>
          <w:sz w:val="24"/>
          <w:szCs w:val="24"/>
        </w:rPr>
        <w:t>Chancel, L., &amp;T. Piketty.</w:t>
      </w:r>
      <w:proofErr w:type="gramEnd"/>
      <w:r w:rsidRPr="008269E4">
        <w:rPr>
          <w:rFonts w:ascii="Times New Roman" w:eastAsiaTheme="minorEastAsia" w:hAnsi="Times New Roman" w:cs="Times New Roman"/>
          <w:bCs/>
          <w:iCs/>
          <w:sz w:val="24"/>
          <w:szCs w:val="24"/>
        </w:rPr>
        <w:t xml:space="preserve"> (2017).</w:t>
      </w:r>
      <w:r w:rsidRPr="008269E4">
        <w:rPr>
          <w:rFonts w:ascii="Times New Roman" w:eastAsiaTheme="minorEastAsia" w:hAnsi="Times New Roman" w:cs="Times New Roman"/>
          <w:bCs/>
          <w:i/>
          <w:iCs/>
          <w:sz w:val="24"/>
          <w:szCs w:val="24"/>
        </w:rPr>
        <w:t xml:space="preserve"> Indian income inequality, 1922–2014: From British Raj to Billionaire Raj? </w:t>
      </w:r>
      <w:proofErr w:type="spellStart"/>
      <w:proofErr w:type="gramStart"/>
      <w:r w:rsidRPr="008269E4">
        <w:rPr>
          <w:rFonts w:ascii="Times New Roman" w:eastAsiaTheme="minorEastAsia" w:hAnsi="Times New Roman" w:cs="Times New Roman"/>
          <w:bCs/>
          <w:sz w:val="24"/>
          <w:szCs w:val="24"/>
        </w:rPr>
        <w:t>WIDER.Working</w:t>
      </w:r>
      <w:proofErr w:type="spellEnd"/>
      <w:r w:rsidRPr="008269E4">
        <w:rPr>
          <w:rFonts w:ascii="Times New Roman" w:eastAsiaTheme="minorEastAsia" w:hAnsi="Times New Roman" w:cs="Times New Roman"/>
          <w:bCs/>
          <w:sz w:val="24"/>
          <w:szCs w:val="24"/>
        </w:rPr>
        <w:t xml:space="preserve"> Paper Series, No. 2017/11.</w:t>
      </w:r>
      <w:proofErr w:type="gramEnd"/>
    </w:p>
    <w:p w14:paraId="03489F84"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Clark, A. (2003). “Unemployment as a social norm: Psychological evidence from panel data”. </w:t>
      </w:r>
      <w:r w:rsidRPr="008269E4">
        <w:rPr>
          <w:rFonts w:ascii="Times New Roman" w:eastAsiaTheme="minorEastAsia" w:hAnsi="Times New Roman" w:cs="Times New Roman"/>
          <w:bCs/>
          <w:i/>
          <w:sz w:val="24"/>
          <w:szCs w:val="24"/>
        </w:rPr>
        <w:t xml:space="preserve">Journal of </w:t>
      </w:r>
      <w:proofErr w:type="spellStart"/>
      <w:r w:rsidRPr="008269E4">
        <w:rPr>
          <w:rFonts w:ascii="Times New Roman" w:eastAsiaTheme="minorEastAsia" w:hAnsi="Times New Roman" w:cs="Times New Roman"/>
          <w:bCs/>
          <w:i/>
          <w:sz w:val="24"/>
          <w:szCs w:val="24"/>
        </w:rPr>
        <w:t>Labor</w:t>
      </w:r>
      <w:proofErr w:type="spellEnd"/>
      <w:r w:rsidRPr="008269E4">
        <w:rPr>
          <w:rFonts w:ascii="Times New Roman" w:eastAsiaTheme="minorEastAsia" w:hAnsi="Times New Roman" w:cs="Times New Roman"/>
          <w:bCs/>
          <w:i/>
          <w:sz w:val="24"/>
          <w:szCs w:val="24"/>
        </w:rPr>
        <w:t xml:space="preserve"> Economics</w:t>
      </w:r>
      <w:r w:rsidRPr="008269E4">
        <w:rPr>
          <w:rFonts w:ascii="Times New Roman" w:eastAsiaTheme="minorEastAsia" w:hAnsi="Times New Roman" w:cs="Times New Roman"/>
          <w:bCs/>
          <w:sz w:val="24"/>
          <w:szCs w:val="24"/>
        </w:rPr>
        <w:t>, 21(2), 323–351.</w:t>
      </w:r>
    </w:p>
    <w:p w14:paraId="141C3943"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Clark, A., </w:t>
      </w:r>
      <w:proofErr w:type="spellStart"/>
      <w:r w:rsidRPr="008269E4">
        <w:rPr>
          <w:rFonts w:ascii="Times New Roman" w:eastAsiaTheme="minorEastAsia" w:hAnsi="Times New Roman" w:cs="Times New Roman"/>
          <w:bCs/>
          <w:sz w:val="24"/>
          <w:szCs w:val="24"/>
        </w:rPr>
        <w:t>Frijters</w:t>
      </w:r>
      <w:proofErr w:type="spellEnd"/>
      <w:r w:rsidRPr="008269E4">
        <w:rPr>
          <w:rFonts w:ascii="Times New Roman" w:eastAsiaTheme="minorEastAsia" w:hAnsi="Times New Roman" w:cs="Times New Roman"/>
          <w:bCs/>
          <w:sz w:val="24"/>
          <w:szCs w:val="24"/>
        </w:rPr>
        <w:t>, P., &amp; Shields, M. A. (2008)</w:t>
      </w:r>
      <w:proofErr w:type="gramStart"/>
      <w:r w:rsidRPr="008269E4">
        <w:rPr>
          <w:rFonts w:ascii="Times New Roman" w:eastAsiaTheme="minorEastAsia" w:hAnsi="Times New Roman" w:cs="Times New Roman"/>
          <w:bCs/>
          <w:sz w:val="24"/>
          <w:szCs w:val="24"/>
        </w:rPr>
        <w:t xml:space="preserve">.“A survey of the income happiness </w:t>
      </w:r>
      <w:proofErr w:type="spellStart"/>
      <w:r w:rsidRPr="008269E4">
        <w:rPr>
          <w:rFonts w:ascii="Times New Roman" w:eastAsiaTheme="minorEastAsia" w:hAnsi="Times New Roman" w:cs="Times New Roman"/>
          <w:bCs/>
          <w:sz w:val="24"/>
          <w:szCs w:val="24"/>
        </w:rPr>
        <w:t>gradient”.</w:t>
      </w:r>
      <w:r w:rsidRPr="008269E4">
        <w:rPr>
          <w:rFonts w:ascii="Times New Roman" w:eastAsiaTheme="minorEastAsia" w:hAnsi="Times New Roman" w:cs="Times New Roman"/>
          <w:bCs/>
          <w:i/>
          <w:sz w:val="24"/>
          <w:szCs w:val="24"/>
        </w:rPr>
        <w:t>Journal</w:t>
      </w:r>
      <w:proofErr w:type="spellEnd"/>
      <w:r w:rsidRPr="008269E4">
        <w:rPr>
          <w:rFonts w:ascii="Times New Roman" w:eastAsiaTheme="minorEastAsia" w:hAnsi="Times New Roman" w:cs="Times New Roman"/>
          <w:bCs/>
          <w:i/>
          <w:sz w:val="24"/>
          <w:szCs w:val="24"/>
        </w:rPr>
        <w:t xml:space="preserve"> of Economic Literature</w:t>
      </w:r>
      <w:r w:rsidRPr="008269E4">
        <w:rPr>
          <w:rFonts w:ascii="Times New Roman" w:eastAsiaTheme="minorEastAsia" w:hAnsi="Times New Roman" w:cs="Times New Roman"/>
          <w:bCs/>
          <w:sz w:val="24"/>
          <w:szCs w:val="24"/>
        </w:rPr>
        <w:t>.</w:t>
      </w:r>
      <w:proofErr w:type="gramEnd"/>
    </w:p>
    <w:p w14:paraId="19CD7C90"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Clark, A., P. </w:t>
      </w:r>
      <w:proofErr w:type="spellStart"/>
      <w:r w:rsidRPr="008269E4">
        <w:rPr>
          <w:rFonts w:ascii="Times New Roman" w:eastAsiaTheme="minorEastAsia" w:hAnsi="Times New Roman" w:cs="Times New Roman"/>
          <w:bCs/>
          <w:sz w:val="24"/>
          <w:szCs w:val="24"/>
        </w:rPr>
        <w:t>Frijters</w:t>
      </w:r>
      <w:proofErr w:type="spellEnd"/>
      <w:r w:rsidRPr="008269E4">
        <w:rPr>
          <w:rFonts w:ascii="Times New Roman" w:eastAsiaTheme="minorEastAsia" w:hAnsi="Times New Roman" w:cs="Times New Roman"/>
          <w:bCs/>
          <w:sz w:val="24"/>
          <w:szCs w:val="24"/>
        </w:rPr>
        <w:t xml:space="preserve">&amp; M. A. Shields (2008) “Relative Income, Happiness, and Utility: An Explanation for the </w:t>
      </w:r>
      <w:proofErr w:type="spellStart"/>
      <w:r w:rsidRPr="008269E4">
        <w:rPr>
          <w:rFonts w:ascii="Times New Roman" w:eastAsiaTheme="minorEastAsia" w:hAnsi="Times New Roman" w:cs="Times New Roman"/>
          <w:bCs/>
          <w:sz w:val="24"/>
          <w:szCs w:val="24"/>
        </w:rPr>
        <w:t>Easterlin</w:t>
      </w:r>
      <w:proofErr w:type="spellEnd"/>
      <w:r w:rsidRPr="008269E4">
        <w:rPr>
          <w:rFonts w:ascii="Times New Roman" w:eastAsiaTheme="minorEastAsia" w:hAnsi="Times New Roman" w:cs="Times New Roman"/>
          <w:bCs/>
          <w:sz w:val="24"/>
          <w:szCs w:val="24"/>
        </w:rPr>
        <w:t xml:space="preserve"> Paradox and Other Puzzles”, </w:t>
      </w:r>
      <w:r w:rsidRPr="008269E4">
        <w:rPr>
          <w:rFonts w:ascii="Times New Roman" w:eastAsiaTheme="minorEastAsia" w:hAnsi="Times New Roman" w:cs="Times New Roman"/>
          <w:bCs/>
          <w:i/>
          <w:sz w:val="24"/>
          <w:szCs w:val="24"/>
        </w:rPr>
        <w:t>Journal of Economic Literature</w:t>
      </w:r>
      <w:r w:rsidRPr="008269E4">
        <w:rPr>
          <w:rFonts w:ascii="Times New Roman" w:eastAsiaTheme="minorEastAsia" w:hAnsi="Times New Roman" w:cs="Times New Roman"/>
          <w:bCs/>
          <w:sz w:val="24"/>
          <w:szCs w:val="24"/>
        </w:rPr>
        <w:t xml:space="preserve">, vol. 46, no. 1, March, pp. 95-144. </w:t>
      </w:r>
    </w:p>
    <w:p w14:paraId="7B3053C9" w14:textId="77777777" w:rsidR="00E95D90" w:rsidRPr="008269E4" w:rsidRDefault="00E95D90" w:rsidP="00E95D90">
      <w:pPr>
        <w:jc w:val="both"/>
        <w:rPr>
          <w:rFonts w:ascii="Times New Roman" w:eastAsiaTheme="minorEastAsia" w:hAnsi="Times New Roman" w:cs="Times New Roman"/>
          <w:bCs/>
          <w:sz w:val="24"/>
          <w:szCs w:val="24"/>
          <w:lang w:val="en-US"/>
        </w:rPr>
      </w:pPr>
      <w:proofErr w:type="gramStart"/>
      <w:r w:rsidRPr="008269E4">
        <w:rPr>
          <w:rFonts w:ascii="Times New Roman" w:eastAsiaTheme="minorEastAsia" w:hAnsi="Times New Roman" w:cs="Times New Roman"/>
          <w:bCs/>
          <w:sz w:val="24"/>
          <w:szCs w:val="24"/>
        </w:rPr>
        <w:lastRenderedPageBreak/>
        <w:t xml:space="preserve">Council for Social Development (2016) </w:t>
      </w:r>
      <w:r w:rsidRPr="008269E4">
        <w:rPr>
          <w:rFonts w:ascii="Times New Roman" w:eastAsiaTheme="minorEastAsia" w:hAnsi="Times New Roman" w:cs="Times New Roman"/>
          <w:bCs/>
          <w:i/>
          <w:sz w:val="24"/>
          <w:szCs w:val="24"/>
          <w:lang w:val="en-US"/>
        </w:rPr>
        <w:t>Social Development Report: Disability Rights Perspectives</w:t>
      </w:r>
      <w:r w:rsidRPr="008269E4">
        <w:rPr>
          <w:rFonts w:ascii="Times New Roman" w:eastAsiaTheme="minorEastAsia" w:hAnsi="Times New Roman" w:cs="Times New Roman"/>
          <w:bCs/>
          <w:sz w:val="24"/>
          <w:szCs w:val="24"/>
          <w:lang w:val="en-US"/>
        </w:rPr>
        <w:t>, New Delhi: Oxford University Press.</w:t>
      </w:r>
      <w:proofErr w:type="gramEnd"/>
    </w:p>
    <w:p w14:paraId="080B3E0F" w14:textId="77777777" w:rsidR="00E95D90" w:rsidRPr="008269E4" w:rsidRDefault="00E95D90" w:rsidP="00E95D90">
      <w:pPr>
        <w:jc w:val="both"/>
        <w:rPr>
          <w:rFonts w:ascii="Times New Roman" w:eastAsiaTheme="minorEastAsia" w:hAnsi="Times New Roman" w:cs="Times New Roman"/>
          <w:sz w:val="24"/>
          <w:szCs w:val="24"/>
        </w:rPr>
      </w:pPr>
      <w:proofErr w:type="gramStart"/>
      <w:r w:rsidRPr="008269E4">
        <w:rPr>
          <w:rFonts w:ascii="Times New Roman" w:eastAsiaTheme="minorEastAsia" w:hAnsi="Times New Roman" w:cs="Times New Roman"/>
          <w:sz w:val="24"/>
          <w:szCs w:val="24"/>
        </w:rPr>
        <w:t xml:space="preserve">Deaton, A. (2011) “Aging, Religion, and Health”, D. A. Wise (ed.) </w:t>
      </w:r>
      <w:r w:rsidRPr="008269E4">
        <w:rPr>
          <w:rFonts w:ascii="Times New Roman" w:eastAsiaTheme="minorEastAsia" w:hAnsi="Times New Roman" w:cs="Times New Roman"/>
          <w:i/>
          <w:sz w:val="24"/>
          <w:szCs w:val="24"/>
        </w:rPr>
        <w:t xml:space="preserve">Explorations in the Economics of Aging, </w:t>
      </w:r>
      <w:r w:rsidRPr="008269E4">
        <w:rPr>
          <w:rFonts w:ascii="Times New Roman" w:eastAsiaTheme="minorEastAsia" w:hAnsi="Times New Roman" w:cs="Times New Roman"/>
          <w:sz w:val="24"/>
          <w:szCs w:val="24"/>
        </w:rPr>
        <w:t>University of Chicago Press.</w:t>
      </w:r>
      <w:proofErr w:type="gramEnd"/>
    </w:p>
    <w:p w14:paraId="325878A0"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Deaton, A. (2018) “What do self-reports of wellbeing say about life-cycle theory and </w:t>
      </w:r>
      <w:proofErr w:type="spellStart"/>
      <w:r w:rsidRPr="008269E4">
        <w:rPr>
          <w:rFonts w:ascii="Times New Roman" w:eastAsiaTheme="minorEastAsia" w:hAnsi="Times New Roman" w:cs="Times New Roman"/>
          <w:sz w:val="24"/>
          <w:szCs w:val="24"/>
        </w:rPr>
        <w:t>policy?”</w:t>
      </w:r>
      <w:proofErr w:type="gramStart"/>
      <w:r w:rsidRPr="008269E4">
        <w:rPr>
          <w:rFonts w:ascii="Times New Roman" w:eastAsiaTheme="minorEastAsia" w:hAnsi="Times New Roman" w:cs="Times New Roman"/>
          <w:sz w:val="24"/>
          <w:szCs w:val="24"/>
        </w:rPr>
        <w:t>,</w:t>
      </w:r>
      <w:r w:rsidRPr="008269E4">
        <w:rPr>
          <w:rFonts w:ascii="Times New Roman" w:eastAsiaTheme="minorEastAsia" w:hAnsi="Times New Roman" w:cs="Times New Roman"/>
          <w:i/>
          <w:sz w:val="24"/>
          <w:szCs w:val="24"/>
        </w:rPr>
        <w:t>Journal</w:t>
      </w:r>
      <w:proofErr w:type="spellEnd"/>
      <w:proofErr w:type="gramEnd"/>
      <w:r w:rsidRPr="008269E4">
        <w:rPr>
          <w:rFonts w:ascii="Times New Roman" w:eastAsiaTheme="minorEastAsia" w:hAnsi="Times New Roman" w:cs="Times New Roman"/>
          <w:i/>
          <w:sz w:val="24"/>
          <w:szCs w:val="24"/>
        </w:rPr>
        <w:t xml:space="preserve"> of Public Economics</w:t>
      </w:r>
      <w:r w:rsidRPr="008269E4">
        <w:rPr>
          <w:rFonts w:ascii="Times New Roman" w:eastAsiaTheme="minorEastAsia" w:hAnsi="Times New Roman" w:cs="Times New Roman"/>
          <w:sz w:val="24"/>
          <w:szCs w:val="24"/>
        </w:rPr>
        <w:t>, 162, 18-25.</w:t>
      </w:r>
    </w:p>
    <w:p w14:paraId="07186E4A" w14:textId="77777777" w:rsidR="00E95D90" w:rsidRPr="008269E4" w:rsidRDefault="00E95D90" w:rsidP="00E95D90">
      <w:pPr>
        <w:jc w:val="both"/>
        <w:rPr>
          <w:rFonts w:ascii="Times New Roman" w:eastAsiaTheme="minorEastAsia" w:hAnsi="Times New Roman" w:cs="Times New Roman"/>
          <w:sz w:val="24"/>
          <w:szCs w:val="24"/>
        </w:rPr>
      </w:pPr>
      <w:proofErr w:type="gramStart"/>
      <w:r w:rsidRPr="008269E4">
        <w:rPr>
          <w:rFonts w:ascii="Times New Roman" w:eastAsiaTheme="minorEastAsia" w:hAnsi="Times New Roman" w:cs="Times New Roman"/>
          <w:sz w:val="24"/>
          <w:szCs w:val="24"/>
        </w:rPr>
        <w:t xml:space="preserve">Deshpande, A. (2013) </w:t>
      </w:r>
      <w:r w:rsidRPr="008269E4">
        <w:rPr>
          <w:rFonts w:ascii="Times New Roman" w:eastAsiaTheme="minorEastAsia" w:hAnsi="Times New Roman" w:cs="Times New Roman"/>
          <w:i/>
          <w:sz w:val="24"/>
          <w:szCs w:val="24"/>
        </w:rPr>
        <w:t>Affirmative Action in India</w:t>
      </w:r>
      <w:r w:rsidRPr="008269E4">
        <w:rPr>
          <w:rFonts w:ascii="Times New Roman" w:eastAsiaTheme="minorEastAsia" w:hAnsi="Times New Roman" w:cs="Times New Roman"/>
          <w:sz w:val="24"/>
          <w:szCs w:val="24"/>
        </w:rPr>
        <w:t>, Oxford India Short Introductions, New Delhi.</w:t>
      </w:r>
      <w:proofErr w:type="gramEnd"/>
    </w:p>
    <w:p w14:paraId="4F4BD065"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lang w:val="it-IT"/>
        </w:rPr>
        <w:t xml:space="preserve">Di Tella, R., MacCulloch, &amp;A. Oswald(2001). </w:t>
      </w:r>
      <w:proofErr w:type="gramStart"/>
      <w:r w:rsidRPr="008269E4">
        <w:rPr>
          <w:rFonts w:ascii="Times New Roman" w:eastAsiaTheme="minorEastAsia" w:hAnsi="Times New Roman" w:cs="Times New Roman"/>
          <w:sz w:val="24"/>
          <w:szCs w:val="24"/>
        </w:rPr>
        <w:t xml:space="preserve">“Preferences over inflation and </w:t>
      </w:r>
      <w:proofErr w:type="spellStart"/>
      <w:r w:rsidRPr="008269E4">
        <w:rPr>
          <w:rFonts w:ascii="Times New Roman" w:eastAsiaTheme="minorEastAsia" w:hAnsi="Times New Roman" w:cs="Times New Roman"/>
          <w:sz w:val="24"/>
          <w:szCs w:val="24"/>
        </w:rPr>
        <w:t>unemployment.Evidence</w:t>
      </w:r>
      <w:proofErr w:type="spellEnd"/>
      <w:r w:rsidRPr="008269E4">
        <w:rPr>
          <w:rFonts w:ascii="Times New Roman" w:eastAsiaTheme="minorEastAsia" w:hAnsi="Times New Roman" w:cs="Times New Roman"/>
          <w:sz w:val="24"/>
          <w:szCs w:val="24"/>
        </w:rPr>
        <w:t xml:space="preserve"> from surveys of </w:t>
      </w:r>
      <w:proofErr w:type="spellStart"/>
      <w:r w:rsidRPr="008269E4">
        <w:rPr>
          <w:rFonts w:ascii="Times New Roman" w:eastAsiaTheme="minorEastAsia" w:hAnsi="Times New Roman" w:cs="Times New Roman"/>
          <w:sz w:val="24"/>
          <w:szCs w:val="24"/>
        </w:rPr>
        <w:t>happiness”.</w:t>
      </w:r>
      <w:r w:rsidRPr="008269E4">
        <w:rPr>
          <w:rFonts w:ascii="Times New Roman" w:eastAsiaTheme="minorEastAsia" w:hAnsi="Times New Roman" w:cs="Times New Roman"/>
          <w:i/>
          <w:sz w:val="24"/>
          <w:szCs w:val="24"/>
        </w:rPr>
        <w:t>The</w:t>
      </w:r>
      <w:proofErr w:type="spellEnd"/>
      <w:r w:rsidRPr="008269E4">
        <w:rPr>
          <w:rFonts w:ascii="Times New Roman" w:eastAsiaTheme="minorEastAsia" w:hAnsi="Times New Roman" w:cs="Times New Roman"/>
          <w:i/>
          <w:sz w:val="24"/>
          <w:szCs w:val="24"/>
        </w:rPr>
        <w:t xml:space="preserve"> American Economic Review</w:t>
      </w:r>
      <w:r w:rsidRPr="008269E4">
        <w:rPr>
          <w:rFonts w:ascii="Times New Roman" w:eastAsiaTheme="minorEastAsia" w:hAnsi="Times New Roman" w:cs="Times New Roman"/>
          <w:sz w:val="24"/>
          <w:szCs w:val="24"/>
        </w:rPr>
        <w:t>, 91(1), 335–341.</w:t>
      </w:r>
      <w:proofErr w:type="gramEnd"/>
    </w:p>
    <w:p w14:paraId="2A867F6B"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Diener</w:t>
      </w:r>
      <w:proofErr w:type="spellEnd"/>
      <w:r w:rsidRPr="008269E4">
        <w:rPr>
          <w:rFonts w:ascii="Times New Roman" w:eastAsiaTheme="minorEastAsia" w:hAnsi="Times New Roman" w:cs="Times New Roman"/>
          <w:bCs/>
          <w:sz w:val="24"/>
          <w:szCs w:val="24"/>
        </w:rPr>
        <w:t xml:space="preserve">, E. R.  </w:t>
      </w:r>
      <w:proofErr w:type="spellStart"/>
      <w:r w:rsidRPr="008269E4">
        <w:rPr>
          <w:rFonts w:ascii="Times New Roman" w:eastAsiaTheme="minorEastAsia" w:hAnsi="Times New Roman" w:cs="Times New Roman"/>
          <w:bCs/>
          <w:sz w:val="24"/>
          <w:szCs w:val="24"/>
        </w:rPr>
        <w:t>Inglehart</w:t>
      </w:r>
      <w:proofErr w:type="spellEnd"/>
      <w:r w:rsidRPr="008269E4">
        <w:rPr>
          <w:rFonts w:ascii="Times New Roman" w:eastAsiaTheme="minorEastAsia" w:hAnsi="Times New Roman" w:cs="Times New Roman"/>
          <w:bCs/>
          <w:sz w:val="24"/>
          <w:szCs w:val="24"/>
        </w:rPr>
        <w:t>, L. T. (2013</w:t>
      </w:r>
      <w:proofErr w:type="gramStart"/>
      <w:r w:rsidRPr="008269E4">
        <w:rPr>
          <w:rFonts w:ascii="Times New Roman" w:eastAsiaTheme="minorEastAsia" w:hAnsi="Times New Roman" w:cs="Times New Roman"/>
          <w:bCs/>
          <w:sz w:val="24"/>
          <w:szCs w:val="24"/>
        </w:rPr>
        <w:t>)“</w:t>
      </w:r>
      <w:proofErr w:type="gramEnd"/>
      <w:r w:rsidRPr="008269E4">
        <w:rPr>
          <w:rFonts w:ascii="Times New Roman" w:eastAsiaTheme="minorEastAsia" w:hAnsi="Times New Roman" w:cs="Times New Roman"/>
          <w:bCs/>
          <w:sz w:val="24"/>
          <w:szCs w:val="24"/>
        </w:rPr>
        <w:t xml:space="preserve">Theory and Validity of Life Satisfaction Scales”, </w:t>
      </w:r>
      <w:proofErr w:type="spellStart"/>
      <w:r w:rsidRPr="008269E4">
        <w:rPr>
          <w:rFonts w:ascii="Times New Roman" w:eastAsiaTheme="minorEastAsia" w:hAnsi="Times New Roman" w:cs="Times New Roman"/>
          <w:bCs/>
          <w:sz w:val="24"/>
          <w:szCs w:val="24"/>
        </w:rPr>
        <w:t>Soc</w:t>
      </w:r>
      <w:proofErr w:type="spellEnd"/>
      <w:r w:rsidRPr="008269E4">
        <w:rPr>
          <w:rFonts w:ascii="Times New Roman" w:eastAsiaTheme="minorEastAsia" w:hAnsi="Times New Roman" w:cs="Times New Roman"/>
          <w:bCs/>
          <w:sz w:val="24"/>
          <w:szCs w:val="24"/>
        </w:rPr>
        <w:t xml:space="preserve"> Indic Res, 112:497–527.</w:t>
      </w:r>
    </w:p>
    <w:p w14:paraId="04D305B7"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Dolan, P., T. </w:t>
      </w:r>
      <w:proofErr w:type="spellStart"/>
      <w:r w:rsidRPr="008269E4">
        <w:rPr>
          <w:rFonts w:ascii="Times New Roman" w:eastAsiaTheme="minorEastAsia" w:hAnsi="Times New Roman" w:cs="Times New Roman"/>
          <w:bCs/>
          <w:sz w:val="24"/>
          <w:szCs w:val="24"/>
        </w:rPr>
        <w:t>Peasgood</w:t>
      </w:r>
      <w:proofErr w:type="spellEnd"/>
      <w:r w:rsidRPr="008269E4">
        <w:rPr>
          <w:rFonts w:ascii="Times New Roman" w:eastAsiaTheme="minorEastAsia" w:hAnsi="Times New Roman" w:cs="Times New Roman"/>
          <w:bCs/>
          <w:sz w:val="24"/>
          <w:szCs w:val="24"/>
        </w:rPr>
        <w:t xml:space="preserve">, &amp;M. White (2008) “Do we really know what makes us happy? A review of the economic literature on the factors associated with subjective well-being”. </w:t>
      </w:r>
      <w:r w:rsidRPr="008269E4">
        <w:rPr>
          <w:rFonts w:ascii="Times New Roman" w:eastAsiaTheme="minorEastAsia" w:hAnsi="Times New Roman" w:cs="Times New Roman"/>
          <w:bCs/>
          <w:i/>
          <w:sz w:val="24"/>
          <w:szCs w:val="24"/>
        </w:rPr>
        <w:t xml:space="preserve">Journal of Economic Psychology </w:t>
      </w:r>
      <w:r w:rsidRPr="008269E4">
        <w:rPr>
          <w:rFonts w:ascii="Times New Roman" w:eastAsiaTheme="minorEastAsia" w:hAnsi="Times New Roman" w:cs="Times New Roman"/>
          <w:bCs/>
          <w:sz w:val="24"/>
          <w:szCs w:val="24"/>
        </w:rPr>
        <w:t xml:space="preserve">29, 94–122. </w:t>
      </w:r>
    </w:p>
    <w:p w14:paraId="2E8EE8CA"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Dorn, D., J. A. Fischer., G., </w:t>
      </w:r>
      <w:proofErr w:type="spellStart"/>
      <w:r w:rsidRPr="008269E4">
        <w:rPr>
          <w:rFonts w:ascii="Times New Roman" w:eastAsiaTheme="minorEastAsia" w:hAnsi="Times New Roman" w:cs="Times New Roman"/>
          <w:bCs/>
          <w:sz w:val="24"/>
          <w:szCs w:val="24"/>
        </w:rPr>
        <w:t>Kirchgassner</w:t>
      </w:r>
      <w:proofErr w:type="spellEnd"/>
      <w:r w:rsidRPr="008269E4">
        <w:rPr>
          <w:rFonts w:ascii="Times New Roman" w:eastAsiaTheme="minorEastAsia" w:hAnsi="Times New Roman" w:cs="Times New Roman"/>
          <w:bCs/>
          <w:sz w:val="24"/>
          <w:szCs w:val="24"/>
        </w:rPr>
        <w:t>,</w:t>
      </w:r>
      <w:proofErr w:type="gramStart"/>
      <w:r w:rsidRPr="008269E4">
        <w:rPr>
          <w:rFonts w:ascii="Times New Roman" w:eastAsiaTheme="minorEastAsia" w:hAnsi="Times New Roman" w:cs="Times New Roman"/>
          <w:bCs/>
          <w:sz w:val="24"/>
          <w:szCs w:val="24"/>
        </w:rPr>
        <w:t>.&amp;</w:t>
      </w:r>
      <w:proofErr w:type="gramEnd"/>
      <w:r w:rsidRPr="008269E4">
        <w:rPr>
          <w:rFonts w:ascii="Times New Roman" w:eastAsiaTheme="minorEastAsia" w:hAnsi="Times New Roman" w:cs="Times New Roman"/>
          <w:bCs/>
          <w:sz w:val="24"/>
          <w:szCs w:val="24"/>
        </w:rPr>
        <w:t xml:space="preserve">A. Sousa-Poza, (2007). “Is it culture of democracy? </w:t>
      </w:r>
      <w:proofErr w:type="gramStart"/>
      <w:r w:rsidRPr="008269E4">
        <w:rPr>
          <w:rFonts w:ascii="Times New Roman" w:eastAsiaTheme="minorEastAsia" w:hAnsi="Times New Roman" w:cs="Times New Roman"/>
          <w:bCs/>
          <w:sz w:val="24"/>
          <w:szCs w:val="24"/>
        </w:rPr>
        <w:t xml:space="preserve">The impact of democracy, and culture on </w:t>
      </w:r>
      <w:proofErr w:type="spellStart"/>
      <w:r w:rsidRPr="008269E4">
        <w:rPr>
          <w:rFonts w:ascii="Times New Roman" w:eastAsiaTheme="minorEastAsia" w:hAnsi="Times New Roman" w:cs="Times New Roman"/>
          <w:bCs/>
          <w:sz w:val="24"/>
          <w:szCs w:val="24"/>
        </w:rPr>
        <w:t>happiness”.</w:t>
      </w:r>
      <w:r w:rsidRPr="008269E4">
        <w:rPr>
          <w:rFonts w:ascii="Times New Roman" w:eastAsiaTheme="minorEastAsia" w:hAnsi="Times New Roman" w:cs="Times New Roman"/>
          <w:bCs/>
          <w:i/>
          <w:sz w:val="24"/>
          <w:szCs w:val="24"/>
        </w:rPr>
        <w:t>Social</w:t>
      </w:r>
      <w:proofErr w:type="spellEnd"/>
      <w:r w:rsidRPr="008269E4">
        <w:rPr>
          <w:rFonts w:ascii="Times New Roman" w:eastAsiaTheme="minorEastAsia" w:hAnsi="Times New Roman" w:cs="Times New Roman"/>
          <w:bCs/>
          <w:i/>
          <w:sz w:val="24"/>
          <w:szCs w:val="24"/>
        </w:rPr>
        <w:t xml:space="preserve"> Indicators Research</w:t>
      </w:r>
      <w:r w:rsidRPr="008269E4">
        <w:rPr>
          <w:rFonts w:ascii="Times New Roman" w:eastAsiaTheme="minorEastAsia" w:hAnsi="Times New Roman" w:cs="Times New Roman"/>
          <w:bCs/>
          <w:sz w:val="24"/>
          <w:szCs w:val="24"/>
        </w:rPr>
        <w:t>, 82(3), 505–526.</w:t>
      </w:r>
      <w:proofErr w:type="gramEnd"/>
    </w:p>
    <w:p w14:paraId="3B8566C6"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Duesenberry</w:t>
      </w:r>
      <w:proofErr w:type="spellEnd"/>
      <w:r w:rsidRPr="008269E4">
        <w:rPr>
          <w:rFonts w:ascii="Times New Roman" w:eastAsiaTheme="minorEastAsia" w:hAnsi="Times New Roman" w:cs="Times New Roman"/>
          <w:bCs/>
          <w:sz w:val="24"/>
          <w:szCs w:val="24"/>
        </w:rPr>
        <w:t>, J. S (1949).</w:t>
      </w:r>
      <w:r w:rsidRPr="008269E4">
        <w:rPr>
          <w:rFonts w:ascii="Times New Roman" w:eastAsiaTheme="minorEastAsia" w:hAnsi="Times New Roman" w:cs="Times New Roman"/>
          <w:bCs/>
          <w:i/>
          <w:sz w:val="24"/>
          <w:szCs w:val="24"/>
        </w:rPr>
        <w:t xml:space="preserve">Income, </w:t>
      </w:r>
      <w:proofErr w:type="gramStart"/>
      <w:r w:rsidRPr="008269E4">
        <w:rPr>
          <w:rFonts w:ascii="Times New Roman" w:eastAsiaTheme="minorEastAsia" w:hAnsi="Times New Roman" w:cs="Times New Roman"/>
          <w:bCs/>
          <w:i/>
          <w:sz w:val="24"/>
          <w:szCs w:val="24"/>
        </w:rPr>
        <w:t>Saving</w:t>
      </w:r>
      <w:proofErr w:type="gramEnd"/>
      <w:r w:rsidRPr="008269E4">
        <w:rPr>
          <w:rFonts w:ascii="Times New Roman" w:eastAsiaTheme="minorEastAsia" w:hAnsi="Times New Roman" w:cs="Times New Roman"/>
          <w:bCs/>
          <w:i/>
          <w:sz w:val="24"/>
          <w:szCs w:val="24"/>
        </w:rPr>
        <w:t xml:space="preserve"> and the Theory of Consumer Behaviour</w:t>
      </w:r>
      <w:r w:rsidRPr="008269E4">
        <w:rPr>
          <w:rFonts w:ascii="Times New Roman" w:eastAsiaTheme="minorEastAsia" w:hAnsi="Times New Roman" w:cs="Times New Roman"/>
          <w:bCs/>
          <w:sz w:val="24"/>
          <w:szCs w:val="24"/>
        </w:rPr>
        <w:t xml:space="preserve">. Cambridge: Harvard University Press. </w:t>
      </w:r>
    </w:p>
    <w:p w14:paraId="07C48829"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Easterlin</w:t>
      </w:r>
      <w:proofErr w:type="spellEnd"/>
      <w:r w:rsidRPr="008269E4">
        <w:rPr>
          <w:rFonts w:ascii="Times New Roman" w:eastAsiaTheme="minorEastAsia" w:hAnsi="Times New Roman" w:cs="Times New Roman"/>
          <w:bCs/>
          <w:sz w:val="24"/>
          <w:szCs w:val="24"/>
        </w:rPr>
        <w:t xml:space="preserve">, R. A. (2006). “Life cycle happiness and its sources: Intersections of psychology, economics, and </w:t>
      </w:r>
      <w:proofErr w:type="spellStart"/>
      <w:r w:rsidRPr="008269E4">
        <w:rPr>
          <w:rFonts w:ascii="Times New Roman" w:eastAsiaTheme="minorEastAsia" w:hAnsi="Times New Roman" w:cs="Times New Roman"/>
          <w:bCs/>
          <w:sz w:val="24"/>
          <w:szCs w:val="24"/>
        </w:rPr>
        <w:t>demography”</w:t>
      </w:r>
      <w:proofErr w:type="gramStart"/>
      <w:r w:rsidRPr="008269E4">
        <w:rPr>
          <w:rFonts w:ascii="Times New Roman" w:eastAsiaTheme="minorEastAsia" w:hAnsi="Times New Roman" w:cs="Times New Roman"/>
          <w:bCs/>
          <w:sz w:val="24"/>
          <w:szCs w:val="24"/>
        </w:rPr>
        <w:t>,</w:t>
      </w:r>
      <w:r w:rsidRPr="008269E4">
        <w:rPr>
          <w:rFonts w:ascii="Times New Roman" w:eastAsiaTheme="minorEastAsia" w:hAnsi="Times New Roman" w:cs="Times New Roman"/>
          <w:bCs/>
          <w:i/>
          <w:sz w:val="24"/>
          <w:szCs w:val="24"/>
        </w:rPr>
        <w:t>Journal</w:t>
      </w:r>
      <w:proofErr w:type="spellEnd"/>
      <w:proofErr w:type="gramEnd"/>
      <w:r w:rsidRPr="008269E4">
        <w:rPr>
          <w:rFonts w:ascii="Times New Roman" w:eastAsiaTheme="minorEastAsia" w:hAnsi="Times New Roman" w:cs="Times New Roman"/>
          <w:bCs/>
          <w:i/>
          <w:sz w:val="24"/>
          <w:szCs w:val="24"/>
        </w:rPr>
        <w:t xml:space="preserve"> of Economic Psychology</w:t>
      </w:r>
      <w:r w:rsidRPr="008269E4">
        <w:rPr>
          <w:rFonts w:ascii="Times New Roman" w:eastAsiaTheme="minorEastAsia" w:hAnsi="Times New Roman" w:cs="Times New Roman"/>
          <w:bCs/>
          <w:sz w:val="24"/>
          <w:szCs w:val="24"/>
        </w:rPr>
        <w:t>, 27(4), 463-482.</w:t>
      </w:r>
    </w:p>
    <w:p w14:paraId="19A83249"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Encyclopædia</w:t>
      </w:r>
      <w:proofErr w:type="spellEnd"/>
      <w:r w:rsidRPr="008269E4">
        <w:rPr>
          <w:rFonts w:ascii="Times New Roman" w:eastAsiaTheme="minorEastAsia" w:hAnsi="Times New Roman" w:cs="Times New Roman"/>
          <w:bCs/>
          <w:sz w:val="24"/>
          <w:szCs w:val="24"/>
        </w:rPr>
        <w:t xml:space="preserve"> Britannica (2021), “Practical Hinduism”, </w:t>
      </w:r>
      <w:hyperlink r:id="rId17" w:history="1">
        <w:proofErr w:type="spellStart"/>
        <w:r w:rsidRPr="008269E4">
          <w:rPr>
            <w:rStyle w:val="Hyperlink"/>
            <w:rFonts w:ascii="Times New Roman" w:eastAsiaTheme="minorEastAsia" w:hAnsi="Times New Roman" w:cs="Times New Roman"/>
            <w:bCs/>
            <w:sz w:val="24"/>
            <w:szCs w:val="24"/>
          </w:rPr>
          <w:t>Encyclopædia</w:t>
        </w:r>
        <w:proofErr w:type="spellEnd"/>
        <w:r w:rsidRPr="008269E4">
          <w:rPr>
            <w:rStyle w:val="Hyperlink"/>
            <w:rFonts w:ascii="Times New Roman" w:eastAsiaTheme="minorEastAsia" w:hAnsi="Times New Roman" w:cs="Times New Roman"/>
            <w:bCs/>
            <w:sz w:val="24"/>
            <w:szCs w:val="24"/>
          </w:rPr>
          <w:t xml:space="preserve"> Britannica, Inc.</w:t>
        </w:r>
      </w:hyperlink>
    </w:p>
    <w:p w14:paraId="649DE67F" w14:textId="77777777" w:rsidR="00E95D90" w:rsidRPr="008269E4" w:rsidRDefault="00E95D90" w:rsidP="00E95D90">
      <w:pPr>
        <w:jc w:val="both"/>
        <w:rPr>
          <w:rFonts w:ascii="Times New Roman" w:eastAsiaTheme="minorEastAsia" w:hAnsi="Times New Roman" w:cs="Times New Roman"/>
          <w:bCs/>
          <w:sz w:val="24"/>
          <w:szCs w:val="24"/>
        </w:rPr>
      </w:pPr>
      <w:proofErr w:type="gramStart"/>
      <w:r w:rsidRPr="008269E4">
        <w:rPr>
          <w:rFonts w:ascii="Times New Roman" w:eastAsiaTheme="minorEastAsia" w:hAnsi="Times New Roman" w:cs="Times New Roman"/>
          <w:bCs/>
          <w:sz w:val="24"/>
          <w:szCs w:val="24"/>
        </w:rPr>
        <w:t>Fahey, T., &amp; Smyth, E. (2004).</w:t>
      </w:r>
      <w:proofErr w:type="gramEnd"/>
      <w:r w:rsidRPr="008269E4">
        <w:rPr>
          <w:rFonts w:ascii="Times New Roman" w:eastAsiaTheme="minorEastAsia" w:hAnsi="Times New Roman" w:cs="Times New Roman"/>
          <w:bCs/>
          <w:sz w:val="24"/>
          <w:szCs w:val="24"/>
        </w:rPr>
        <w:t xml:space="preserve"> “Do subjective indicators measure welfare? </w:t>
      </w:r>
      <w:proofErr w:type="gramStart"/>
      <w:r w:rsidRPr="008269E4">
        <w:rPr>
          <w:rFonts w:ascii="Times New Roman" w:eastAsiaTheme="minorEastAsia" w:hAnsi="Times New Roman" w:cs="Times New Roman"/>
          <w:bCs/>
          <w:sz w:val="24"/>
          <w:szCs w:val="24"/>
        </w:rPr>
        <w:t xml:space="preserve">Evidence from 33 European </w:t>
      </w:r>
      <w:proofErr w:type="spellStart"/>
      <w:r w:rsidRPr="008269E4">
        <w:rPr>
          <w:rFonts w:ascii="Times New Roman" w:eastAsiaTheme="minorEastAsia" w:hAnsi="Times New Roman" w:cs="Times New Roman"/>
          <w:bCs/>
          <w:sz w:val="24"/>
          <w:szCs w:val="24"/>
        </w:rPr>
        <w:t>societies”.</w:t>
      </w:r>
      <w:r w:rsidRPr="008269E4">
        <w:rPr>
          <w:rFonts w:ascii="Times New Roman" w:eastAsiaTheme="minorEastAsia" w:hAnsi="Times New Roman" w:cs="Times New Roman"/>
          <w:bCs/>
          <w:i/>
          <w:sz w:val="24"/>
          <w:szCs w:val="24"/>
        </w:rPr>
        <w:t>European</w:t>
      </w:r>
      <w:proofErr w:type="spellEnd"/>
      <w:r w:rsidRPr="008269E4">
        <w:rPr>
          <w:rFonts w:ascii="Times New Roman" w:eastAsiaTheme="minorEastAsia" w:hAnsi="Times New Roman" w:cs="Times New Roman"/>
          <w:bCs/>
          <w:i/>
          <w:sz w:val="24"/>
          <w:szCs w:val="24"/>
        </w:rPr>
        <w:t xml:space="preserve"> Societies</w:t>
      </w:r>
      <w:r w:rsidRPr="008269E4">
        <w:rPr>
          <w:rFonts w:ascii="Times New Roman" w:eastAsiaTheme="minorEastAsia" w:hAnsi="Times New Roman" w:cs="Times New Roman"/>
          <w:bCs/>
          <w:sz w:val="24"/>
          <w:szCs w:val="24"/>
        </w:rPr>
        <w:t>, 6(1), 5–27.</w:t>
      </w:r>
      <w:proofErr w:type="gramEnd"/>
    </w:p>
    <w:p w14:paraId="18A07706"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Ferrer-</w:t>
      </w:r>
      <w:proofErr w:type="spellStart"/>
      <w:r w:rsidRPr="008269E4">
        <w:rPr>
          <w:rFonts w:ascii="Times New Roman" w:eastAsiaTheme="minorEastAsia" w:hAnsi="Times New Roman" w:cs="Times New Roman"/>
          <w:bCs/>
          <w:sz w:val="24"/>
          <w:szCs w:val="24"/>
        </w:rPr>
        <w:t>i</w:t>
      </w:r>
      <w:proofErr w:type="spellEnd"/>
      <w:r w:rsidRPr="008269E4">
        <w:rPr>
          <w:rFonts w:ascii="Times New Roman" w:eastAsiaTheme="minorEastAsia" w:hAnsi="Times New Roman" w:cs="Times New Roman"/>
          <w:bCs/>
          <w:sz w:val="24"/>
          <w:szCs w:val="24"/>
        </w:rPr>
        <w:t>-</w:t>
      </w:r>
      <w:proofErr w:type="spellStart"/>
      <w:r w:rsidRPr="008269E4">
        <w:rPr>
          <w:rFonts w:ascii="Times New Roman" w:eastAsiaTheme="minorEastAsia" w:hAnsi="Times New Roman" w:cs="Times New Roman"/>
          <w:bCs/>
          <w:sz w:val="24"/>
          <w:szCs w:val="24"/>
        </w:rPr>
        <w:t>Carbonell</w:t>
      </w:r>
      <w:proofErr w:type="spellEnd"/>
      <w:r w:rsidRPr="008269E4">
        <w:rPr>
          <w:rFonts w:ascii="Times New Roman" w:eastAsiaTheme="minorEastAsia" w:hAnsi="Times New Roman" w:cs="Times New Roman"/>
          <w:bCs/>
          <w:sz w:val="24"/>
          <w:szCs w:val="24"/>
        </w:rPr>
        <w:t xml:space="preserve">, A. (2005). “Income and well-being: An empirical analysis of the comparison income effect”. </w:t>
      </w:r>
      <w:proofErr w:type="gramStart"/>
      <w:r w:rsidRPr="008269E4">
        <w:rPr>
          <w:rFonts w:ascii="Times New Roman" w:eastAsiaTheme="minorEastAsia" w:hAnsi="Times New Roman" w:cs="Times New Roman"/>
          <w:bCs/>
          <w:i/>
          <w:sz w:val="24"/>
          <w:szCs w:val="24"/>
        </w:rPr>
        <w:t>Journal of Public Economics</w:t>
      </w:r>
      <w:r w:rsidRPr="008269E4">
        <w:rPr>
          <w:rFonts w:ascii="Times New Roman" w:eastAsiaTheme="minorEastAsia" w:hAnsi="Times New Roman" w:cs="Times New Roman"/>
          <w:bCs/>
          <w:sz w:val="24"/>
          <w:szCs w:val="24"/>
        </w:rPr>
        <w:t>, 89, 997–1019.</w:t>
      </w:r>
      <w:proofErr w:type="gramEnd"/>
    </w:p>
    <w:p w14:paraId="5F02CF55"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Ferrer-</w:t>
      </w:r>
      <w:proofErr w:type="spellStart"/>
      <w:r w:rsidRPr="008269E4">
        <w:rPr>
          <w:rFonts w:ascii="Times New Roman" w:eastAsiaTheme="minorEastAsia" w:hAnsi="Times New Roman" w:cs="Times New Roman"/>
          <w:bCs/>
          <w:sz w:val="24"/>
          <w:szCs w:val="24"/>
        </w:rPr>
        <w:t>i</w:t>
      </w:r>
      <w:proofErr w:type="spellEnd"/>
      <w:r w:rsidRPr="008269E4">
        <w:rPr>
          <w:rFonts w:ascii="Times New Roman" w:eastAsiaTheme="minorEastAsia" w:hAnsi="Times New Roman" w:cs="Times New Roman"/>
          <w:bCs/>
          <w:sz w:val="24"/>
          <w:szCs w:val="24"/>
        </w:rPr>
        <w:t>-</w:t>
      </w:r>
      <w:proofErr w:type="spellStart"/>
      <w:r w:rsidRPr="008269E4">
        <w:rPr>
          <w:rFonts w:ascii="Times New Roman" w:eastAsiaTheme="minorEastAsia" w:hAnsi="Times New Roman" w:cs="Times New Roman"/>
          <w:bCs/>
          <w:sz w:val="24"/>
          <w:szCs w:val="24"/>
        </w:rPr>
        <w:t>Carbonell</w:t>
      </w:r>
      <w:proofErr w:type="spellEnd"/>
      <w:r w:rsidRPr="008269E4">
        <w:rPr>
          <w:rFonts w:ascii="Times New Roman" w:eastAsiaTheme="minorEastAsia" w:hAnsi="Times New Roman" w:cs="Times New Roman"/>
          <w:bCs/>
          <w:sz w:val="24"/>
          <w:szCs w:val="24"/>
        </w:rPr>
        <w:t>, A., &amp;</w:t>
      </w:r>
      <w:proofErr w:type="spellStart"/>
      <w:r w:rsidRPr="008269E4">
        <w:rPr>
          <w:rFonts w:ascii="Times New Roman" w:eastAsiaTheme="minorEastAsia" w:hAnsi="Times New Roman" w:cs="Times New Roman"/>
          <w:bCs/>
          <w:sz w:val="24"/>
          <w:szCs w:val="24"/>
        </w:rPr>
        <w:t>Gowdy</w:t>
      </w:r>
      <w:proofErr w:type="spellEnd"/>
      <w:r w:rsidRPr="008269E4">
        <w:rPr>
          <w:rFonts w:ascii="Times New Roman" w:eastAsiaTheme="minorEastAsia" w:hAnsi="Times New Roman" w:cs="Times New Roman"/>
          <w:bCs/>
          <w:sz w:val="24"/>
          <w:szCs w:val="24"/>
        </w:rPr>
        <w:t>, J. M. (2007)</w:t>
      </w:r>
      <w:proofErr w:type="gramStart"/>
      <w:r w:rsidRPr="008269E4">
        <w:rPr>
          <w:rFonts w:ascii="Times New Roman" w:eastAsiaTheme="minorEastAsia" w:hAnsi="Times New Roman" w:cs="Times New Roman"/>
          <w:bCs/>
          <w:sz w:val="24"/>
          <w:szCs w:val="24"/>
        </w:rPr>
        <w:t xml:space="preserve">.“Environmental degradation and </w:t>
      </w:r>
      <w:proofErr w:type="spellStart"/>
      <w:r w:rsidRPr="008269E4">
        <w:rPr>
          <w:rFonts w:ascii="Times New Roman" w:eastAsiaTheme="minorEastAsia" w:hAnsi="Times New Roman" w:cs="Times New Roman"/>
          <w:bCs/>
          <w:sz w:val="24"/>
          <w:szCs w:val="24"/>
        </w:rPr>
        <w:t>happiness”.</w:t>
      </w:r>
      <w:r w:rsidRPr="008269E4">
        <w:rPr>
          <w:rFonts w:ascii="Times New Roman" w:eastAsiaTheme="minorEastAsia" w:hAnsi="Times New Roman" w:cs="Times New Roman"/>
          <w:bCs/>
          <w:i/>
          <w:sz w:val="24"/>
          <w:szCs w:val="24"/>
        </w:rPr>
        <w:t>Ecological</w:t>
      </w:r>
      <w:proofErr w:type="spellEnd"/>
      <w:r w:rsidRPr="008269E4">
        <w:rPr>
          <w:rFonts w:ascii="Times New Roman" w:eastAsiaTheme="minorEastAsia" w:hAnsi="Times New Roman" w:cs="Times New Roman"/>
          <w:bCs/>
          <w:i/>
          <w:sz w:val="24"/>
          <w:szCs w:val="24"/>
        </w:rPr>
        <w:t xml:space="preserve"> Economics</w:t>
      </w:r>
      <w:r w:rsidRPr="008269E4">
        <w:rPr>
          <w:rFonts w:ascii="Times New Roman" w:eastAsiaTheme="minorEastAsia" w:hAnsi="Times New Roman" w:cs="Times New Roman"/>
          <w:bCs/>
          <w:sz w:val="24"/>
          <w:szCs w:val="24"/>
        </w:rPr>
        <w:t>, 60(3), 509–516.</w:t>
      </w:r>
      <w:proofErr w:type="gramEnd"/>
    </w:p>
    <w:p w14:paraId="09D8EBE4"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Gaiha</w:t>
      </w:r>
      <w:proofErr w:type="spellEnd"/>
      <w:r w:rsidRPr="008269E4">
        <w:rPr>
          <w:rFonts w:ascii="Times New Roman" w:eastAsiaTheme="minorEastAsia" w:hAnsi="Times New Roman" w:cs="Times New Roman"/>
          <w:bCs/>
          <w:sz w:val="24"/>
          <w:szCs w:val="24"/>
        </w:rPr>
        <w:t xml:space="preserve">, R., S. </w:t>
      </w:r>
      <w:proofErr w:type="spellStart"/>
      <w:r w:rsidRPr="008269E4">
        <w:rPr>
          <w:rFonts w:ascii="Times New Roman" w:eastAsiaTheme="minorEastAsia" w:hAnsi="Times New Roman" w:cs="Times New Roman"/>
          <w:bCs/>
          <w:sz w:val="24"/>
          <w:szCs w:val="24"/>
        </w:rPr>
        <w:t>Mathur</w:t>
      </w:r>
      <w:proofErr w:type="spellEnd"/>
      <w:r w:rsidRPr="008269E4">
        <w:rPr>
          <w:rFonts w:ascii="Times New Roman" w:eastAsiaTheme="minorEastAsia" w:hAnsi="Times New Roman" w:cs="Times New Roman"/>
          <w:bCs/>
          <w:sz w:val="24"/>
          <w:szCs w:val="24"/>
        </w:rPr>
        <w:t>, &amp; Vani S. Kulkarni</w:t>
      </w:r>
      <w:proofErr w:type="gramStart"/>
      <w:r w:rsidRPr="008269E4">
        <w:rPr>
          <w:rFonts w:ascii="Times New Roman" w:eastAsiaTheme="minorEastAsia" w:hAnsi="Times New Roman" w:cs="Times New Roman"/>
          <w:bCs/>
          <w:sz w:val="24"/>
          <w:szCs w:val="24"/>
        </w:rPr>
        <w:t>.(</w:t>
      </w:r>
      <w:proofErr w:type="gramEnd"/>
      <w:r w:rsidRPr="008269E4">
        <w:rPr>
          <w:rFonts w:ascii="Times New Roman" w:eastAsiaTheme="minorEastAsia" w:hAnsi="Times New Roman" w:cs="Times New Roman"/>
          <w:bCs/>
          <w:sz w:val="24"/>
          <w:szCs w:val="24"/>
        </w:rPr>
        <w:t xml:space="preserve">2020). </w:t>
      </w:r>
      <w:proofErr w:type="gramStart"/>
      <w:r w:rsidRPr="008269E4">
        <w:rPr>
          <w:rFonts w:ascii="Times New Roman" w:eastAsiaTheme="minorEastAsia" w:hAnsi="Times New Roman" w:cs="Times New Roman"/>
          <w:bCs/>
          <w:sz w:val="24"/>
          <w:szCs w:val="24"/>
        </w:rPr>
        <w:t>"Rural Poverty and Disability in LMICs."</w:t>
      </w:r>
      <w:proofErr w:type="gramEnd"/>
      <w:r w:rsidRPr="008269E4">
        <w:rPr>
          <w:rFonts w:ascii="Times New Roman" w:eastAsiaTheme="minorEastAsia" w:hAnsi="Times New Roman" w:cs="Times New Roman"/>
          <w:bCs/>
          <w:sz w:val="24"/>
          <w:szCs w:val="24"/>
        </w:rPr>
        <w:t xml:space="preserve"> University of Pennsylvania Population Centre Working Paper (PSC/PARC), 2020-47.</w:t>
      </w:r>
    </w:p>
    <w:p w14:paraId="61DE2E8B"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Greene, W. H. (2018)</w:t>
      </w:r>
      <w:r w:rsidRPr="008269E4">
        <w:rPr>
          <w:rFonts w:ascii="Times New Roman" w:eastAsiaTheme="minorEastAsia" w:hAnsi="Times New Roman" w:cs="Times New Roman"/>
          <w:bCs/>
          <w:i/>
          <w:sz w:val="24"/>
          <w:szCs w:val="24"/>
        </w:rPr>
        <w:t xml:space="preserve"> Econometric Analysis</w:t>
      </w:r>
      <w:r w:rsidRPr="008269E4">
        <w:rPr>
          <w:rFonts w:ascii="Times New Roman" w:eastAsiaTheme="minorEastAsia" w:hAnsi="Times New Roman" w:cs="Times New Roman"/>
          <w:bCs/>
          <w:sz w:val="24"/>
          <w:szCs w:val="24"/>
        </w:rPr>
        <w:t>, 8</w:t>
      </w:r>
      <w:r w:rsidRPr="008269E4">
        <w:rPr>
          <w:rFonts w:ascii="Times New Roman" w:eastAsiaTheme="minorEastAsia" w:hAnsi="Times New Roman" w:cs="Times New Roman"/>
          <w:bCs/>
          <w:sz w:val="24"/>
          <w:szCs w:val="24"/>
          <w:vertAlign w:val="superscript"/>
        </w:rPr>
        <w:t>th</w:t>
      </w:r>
      <w:r w:rsidRPr="008269E4">
        <w:rPr>
          <w:rFonts w:ascii="Times New Roman" w:eastAsiaTheme="minorEastAsia" w:hAnsi="Times New Roman" w:cs="Times New Roman"/>
          <w:bCs/>
          <w:sz w:val="24"/>
          <w:szCs w:val="24"/>
        </w:rPr>
        <w:t xml:space="preserve"> Edition, Pearson India.</w:t>
      </w:r>
    </w:p>
    <w:p w14:paraId="23AC647D" w14:textId="77777777" w:rsidR="00E95D90" w:rsidRPr="008269E4" w:rsidRDefault="00E95D90" w:rsidP="00E95D90">
      <w:pPr>
        <w:jc w:val="both"/>
        <w:rPr>
          <w:rFonts w:ascii="Times New Roman" w:eastAsiaTheme="minorEastAsia" w:hAnsi="Times New Roman" w:cs="Times New Roman"/>
          <w:bCs/>
          <w:sz w:val="24"/>
          <w:szCs w:val="24"/>
        </w:rPr>
      </w:pPr>
      <w:proofErr w:type="gramStart"/>
      <w:r w:rsidRPr="008269E4">
        <w:rPr>
          <w:rFonts w:ascii="Times New Roman" w:eastAsiaTheme="minorEastAsia" w:hAnsi="Times New Roman" w:cs="Times New Roman"/>
          <w:bCs/>
          <w:sz w:val="24"/>
          <w:szCs w:val="24"/>
        </w:rPr>
        <w:lastRenderedPageBreak/>
        <w:t xml:space="preserve">Haller, M., &amp;M. </w:t>
      </w:r>
      <w:proofErr w:type="spellStart"/>
      <w:r w:rsidRPr="008269E4">
        <w:rPr>
          <w:rFonts w:ascii="Times New Roman" w:eastAsiaTheme="minorEastAsia" w:hAnsi="Times New Roman" w:cs="Times New Roman"/>
          <w:bCs/>
          <w:sz w:val="24"/>
          <w:szCs w:val="24"/>
        </w:rPr>
        <w:t>Hadler</w:t>
      </w:r>
      <w:proofErr w:type="spellEnd"/>
      <w:r w:rsidRPr="008269E4">
        <w:rPr>
          <w:rFonts w:ascii="Times New Roman" w:eastAsiaTheme="minorEastAsia" w:hAnsi="Times New Roman" w:cs="Times New Roman"/>
          <w:bCs/>
          <w:sz w:val="24"/>
          <w:szCs w:val="24"/>
        </w:rPr>
        <w:t>, (2006).</w:t>
      </w:r>
      <w:proofErr w:type="gramEnd"/>
      <w:r w:rsidRPr="008269E4">
        <w:rPr>
          <w:rFonts w:ascii="Times New Roman" w:eastAsiaTheme="minorEastAsia" w:hAnsi="Times New Roman" w:cs="Times New Roman"/>
          <w:bCs/>
          <w:sz w:val="24"/>
          <w:szCs w:val="24"/>
        </w:rPr>
        <w:t xml:space="preserve"> “How social relations and structures can produce happiness and unhappiness: An international comparative analysis”. </w:t>
      </w:r>
      <w:r w:rsidRPr="008269E4">
        <w:rPr>
          <w:rFonts w:ascii="Times New Roman" w:eastAsiaTheme="minorEastAsia" w:hAnsi="Times New Roman" w:cs="Times New Roman"/>
          <w:bCs/>
          <w:i/>
          <w:sz w:val="24"/>
          <w:szCs w:val="24"/>
        </w:rPr>
        <w:t>Social Indicators Research</w:t>
      </w:r>
      <w:r w:rsidRPr="008269E4">
        <w:rPr>
          <w:rFonts w:ascii="Times New Roman" w:eastAsiaTheme="minorEastAsia" w:hAnsi="Times New Roman" w:cs="Times New Roman"/>
          <w:bCs/>
          <w:sz w:val="24"/>
          <w:szCs w:val="24"/>
        </w:rPr>
        <w:t>, 75, 169–216.</w:t>
      </w:r>
    </w:p>
    <w:p w14:paraId="2797C8A8"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Helliwell</w:t>
      </w:r>
      <w:proofErr w:type="spellEnd"/>
      <w:r w:rsidRPr="008269E4">
        <w:rPr>
          <w:rFonts w:ascii="Times New Roman" w:eastAsiaTheme="minorEastAsia" w:hAnsi="Times New Roman" w:cs="Times New Roman"/>
          <w:bCs/>
          <w:sz w:val="24"/>
          <w:szCs w:val="24"/>
        </w:rPr>
        <w:t xml:space="preserve">, J. F. (2003). “How’s life? </w:t>
      </w:r>
      <w:proofErr w:type="gramStart"/>
      <w:r w:rsidRPr="008269E4">
        <w:rPr>
          <w:rFonts w:ascii="Times New Roman" w:eastAsiaTheme="minorEastAsia" w:hAnsi="Times New Roman" w:cs="Times New Roman"/>
          <w:bCs/>
          <w:sz w:val="24"/>
          <w:szCs w:val="24"/>
        </w:rPr>
        <w:t>Combining individual and national variables to explain subjective well-</w:t>
      </w:r>
      <w:proofErr w:type="spellStart"/>
      <w:r w:rsidRPr="008269E4">
        <w:rPr>
          <w:rFonts w:ascii="Times New Roman" w:eastAsiaTheme="minorEastAsia" w:hAnsi="Times New Roman" w:cs="Times New Roman"/>
          <w:bCs/>
          <w:sz w:val="24"/>
          <w:szCs w:val="24"/>
        </w:rPr>
        <w:t>being”.</w:t>
      </w:r>
      <w:r w:rsidRPr="008269E4">
        <w:rPr>
          <w:rFonts w:ascii="Times New Roman" w:eastAsiaTheme="minorEastAsia" w:hAnsi="Times New Roman" w:cs="Times New Roman"/>
          <w:bCs/>
          <w:i/>
          <w:sz w:val="24"/>
          <w:szCs w:val="24"/>
        </w:rPr>
        <w:t>Economic</w:t>
      </w:r>
      <w:proofErr w:type="spellEnd"/>
      <w:r w:rsidRPr="008269E4">
        <w:rPr>
          <w:rFonts w:ascii="Times New Roman" w:eastAsiaTheme="minorEastAsia" w:hAnsi="Times New Roman" w:cs="Times New Roman"/>
          <w:bCs/>
          <w:i/>
          <w:sz w:val="24"/>
          <w:szCs w:val="24"/>
        </w:rPr>
        <w:t xml:space="preserve"> Modelling</w:t>
      </w:r>
      <w:r w:rsidRPr="008269E4">
        <w:rPr>
          <w:rFonts w:ascii="Times New Roman" w:eastAsiaTheme="minorEastAsia" w:hAnsi="Times New Roman" w:cs="Times New Roman"/>
          <w:bCs/>
          <w:sz w:val="24"/>
          <w:szCs w:val="24"/>
        </w:rPr>
        <w:t>, 20, 331–360.</w:t>
      </w:r>
      <w:proofErr w:type="gramEnd"/>
    </w:p>
    <w:p w14:paraId="04F9A62F"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Imai, K, R. </w:t>
      </w:r>
      <w:proofErr w:type="spellStart"/>
      <w:r w:rsidRPr="008269E4">
        <w:rPr>
          <w:rFonts w:ascii="Times New Roman" w:eastAsiaTheme="minorEastAsia" w:hAnsi="Times New Roman" w:cs="Times New Roman"/>
          <w:sz w:val="24"/>
          <w:szCs w:val="24"/>
        </w:rPr>
        <w:t>Gaiha</w:t>
      </w:r>
      <w:proofErr w:type="spellEnd"/>
      <w:r w:rsidRPr="008269E4">
        <w:rPr>
          <w:rFonts w:ascii="Times New Roman" w:eastAsiaTheme="minorEastAsia" w:hAnsi="Times New Roman" w:cs="Times New Roman"/>
          <w:sz w:val="24"/>
          <w:szCs w:val="24"/>
        </w:rPr>
        <w:t xml:space="preserve">, </w:t>
      </w:r>
      <w:proofErr w:type="spellStart"/>
      <w:r w:rsidRPr="008269E4">
        <w:rPr>
          <w:rFonts w:ascii="Times New Roman" w:eastAsiaTheme="minorEastAsia" w:hAnsi="Times New Roman" w:cs="Times New Roman"/>
          <w:sz w:val="24"/>
          <w:szCs w:val="24"/>
        </w:rPr>
        <w:t>A.Ali</w:t>
      </w:r>
      <w:proofErr w:type="gramStart"/>
      <w:r w:rsidRPr="008269E4">
        <w:rPr>
          <w:rFonts w:ascii="Times New Roman" w:eastAsiaTheme="minorEastAsia" w:hAnsi="Times New Roman" w:cs="Times New Roman"/>
          <w:sz w:val="24"/>
          <w:szCs w:val="24"/>
        </w:rPr>
        <w:t>,&amp;</w:t>
      </w:r>
      <w:proofErr w:type="gramEnd"/>
      <w:r w:rsidRPr="008269E4">
        <w:rPr>
          <w:rFonts w:ascii="Times New Roman" w:eastAsiaTheme="minorEastAsia" w:hAnsi="Times New Roman" w:cs="Times New Roman"/>
          <w:sz w:val="24"/>
          <w:szCs w:val="24"/>
        </w:rPr>
        <w:t>N</w:t>
      </w:r>
      <w:proofErr w:type="spellEnd"/>
      <w:r w:rsidRPr="008269E4">
        <w:rPr>
          <w:rFonts w:ascii="Times New Roman" w:eastAsiaTheme="minorEastAsia" w:hAnsi="Times New Roman" w:cs="Times New Roman"/>
          <w:sz w:val="24"/>
          <w:szCs w:val="24"/>
        </w:rPr>
        <w:t xml:space="preserve">. </w:t>
      </w:r>
      <w:proofErr w:type="spellStart"/>
      <w:r w:rsidRPr="008269E4">
        <w:rPr>
          <w:rFonts w:ascii="Times New Roman" w:eastAsiaTheme="minorEastAsia" w:hAnsi="Times New Roman" w:cs="Times New Roman"/>
          <w:sz w:val="24"/>
          <w:szCs w:val="24"/>
        </w:rPr>
        <w:t>Kaicker</w:t>
      </w:r>
      <w:proofErr w:type="spellEnd"/>
      <w:r w:rsidRPr="008269E4">
        <w:rPr>
          <w:rFonts w:ascii="Times New Roman" w:eastAsiaTheme="minorEastAsia" w:hAnsi="Times New Roman" w:cs="Times New Roman"/>
          <w:sz w:val="24"/>
          <w:szCs w:val="24"/>
        </w:rPr>
        <w:t>. (2014). “</w:t>
      </w:r>
      <w:hyperlink r:id="rId18" w:history="1">
        <w:r w:rsidRPr="008269E4">
          <w:rPr>
            <w:rStyle w:val="Hyperlink"/>
            <w:rFonts w:ascii="Times New Roman" w:eastAsiaTheme="minorEastAsia" w:hAnsi="Times New Roman" w:cs="Times New Roman"/>
            <w:sz w:val="24"/>
            <w:szCs w:val="24"/>
          </w:rPr>
          <w:t>Remittances, Growth and Poverty: New Evidence from Asian Countries</w:t>
        </w:r>
      </w:hyperlink>
      <w:r w:rsidRPr="008269E4">
        <w:rPr>
          <w:rFonts w:ascii="Times New Roman" w:eastAsiaTheme="minorEastAsia" w:hAnsi="Times New Roman" w:cs="Times New Roman"/>
          <w:sz w:val="24"/>
          <w:szCs w:val="24"/>
          <w:u w:val="single"/>
        </w:rPr>
        <w:t>”</w:t>
      </w:r>
      <w:r w:rsidRPr="008269E4">
        <w:rPr>
          <w:rFonts w:ascii="Times New Roman" w:eastAsiaTheme="minorEastAsia" w:hAnsi="Times New Roman" w:cs="Times New Roman"/>
          <w:sz w:val="24"/>
          <w:szCs w:val="24"/>
        </w:rPr>
        <w:t xml:space="preserve">, </w:t>
      </w:r>
      <w:r w:rsidRPr="008269E4">
        <w:rPr>
          <w:rFonts w:ascii="Times New Roman" w:eastAsiaTheme="minorEastAsia" w:hAnsi="Times New Roman" w:cs="Times New Roman"/>
          <w:i/>
          <w:iCs/>
          <w:sz w:val="24"/>
          <w:szCs w:val="24"/>
        </w:rPr>
        <w:t xml:space="preserve">Journal of Policy </w:t>
      </w:r>
      <w:proofErr w:type="spellStart"/>
      <w:r w:rsidRPr="008269E4">
        <w:rPr>
          <w:rFonts w:ascii="Times New Roman" w:eastAsiaTheme="minorEastAsia" w:hAnsi="Times New Roman" w:cs="Times New Roman"/>
          <w:i/>
          <w:iCs/>
          <w:sz w:val="24"/>
          <w:szCs w:val="24"/>
        </w:rPr>
        <w:t>Modeling</w:t>
      </w:r>
      <w:proofErr w:type="spellEnd"/>
      <w:r w:rsidRPr="008269E4">
        <w:rPr>
          <w:rFonts w:ascii="Times New Roman" w:eastAsiaTheme="minorEastAsia" w:hAnsi="Times New Roman" w:cs="Times New Roman"/>
          <w:sz w:val="24"/>
          <w:szCs w:val="24"/>
        </w:rPr>
        <w:t>, 36(3), pp. 524-538.</w:t>
      </w:r>
    </w:p>
    <w:p w14:paraId="786901AF"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Jan, S. Tracey-Lea </w:t>
      </w:r>
      <w:proofErr w:type="spellStart"/>
      <w:r w:rsidRPr="008269E4">
        <w:rPr>
          <w:rFonts w:ascii="Times New Roman" w:eastAsiaTheme="minorEastAsia" w:hAnsi="Times New Roman" w:cs="Times New Roman"/>
          <w:sz w:val="24"/>
          <w:szCs w:val="24"/>
        </w:rPr>
        <w:t>Laba</w:t>
      </w:r>
      <w:proofErr w:type="spellEnd"/>
      <w:r w:rsidRPr="008269E4">
        <w:rPr>
          <w:rFonts w:ascii="Times New Roman" w:eastAsiaTheme="minorEastAsia" w:hAnsi="Times New Roman" w:cs="Times New Roman"/>
          <w:sz w:val="24"/>
          <w:szCs w:val="24"/>
        </w:rPr>
        <w:t xml:space="preserve">, B. M </w:t>
      </w:r>
      <w:proofErr w:type="spellStart"/>
      <w:r w:rsidRPr="008269E4">
        <w:rPr>
          <w:rFonts w:ascii="Times New Roman" w:eastAsiaTheme="minorEastAsia" w:hAnsi="Times New Roman" w:cs="Times New Roman"/>
          <w:sz w:val="24"/>
          <w:szCs w:val="24"/>
        </w:rPr>
        <w:t>Essue</w:t>
      </w:r>
      <w:proofErr w:type="spellEnd"/>
      <w:r w:rsidRPr="008269E4">
        <w:rPr>
          <w:rFonts w:ascii="Times New Roman" w:eastAsiaTheme="minorEastAsia" w:hAnsi="Times New Roman" w:cs="Times New Roman"/>
          <w:sz w:val="24"/>
          <w:szCs w:val="24"/>
        </w:rPr>
        <w:t xml:space="preserve">, A. Gheorghe, J. </w:t>
      </w:r>
      <w:proofErr w:type="spellStart"/>
      <w:r w:rsidRPr="008269E4">
        <w:rPr>
          <w:rFonts w:ascii="Times New Roman" w:eastAsiaTheme="minorEastAsia" w:hAnsi="Times New Roman" w:cs="Times New Roman"/>
          <w:sz w:val="24"/>
          <w:szCs w:val="24"/>
        </w:rPr>
        <w:t>Muhunthan</w:t>
      </w:r>
      <w:proofErr w:type="spellEnd"/>
      <w:r w:rsidRPr="008269E4">
        <w:rPr>
          <w:rFonts w:ascii="Times New Roman" w:eastAsiaTheme="minorEastAsia" w:hAnsi="Times New Roman" w:cs="Times New Roman"/>
          <w:sz w:val="24"/>
          <w:szCs w:val="24"/>
        </w:rPr>
        <w:t xml:space="preserve">, M. </w:t>
      </w:r>
      <w:proofErr w:type="spellStart"/>
      <w:r w:rsidRPr="008269E4">
        <w:rPr>
          <w:rFonts w:ascii="Times New Roman" w:eastAsiaTheme="minorEastAsia" w:hAnsi="Times New Roman" w:cs="Times New Roman"/>
          <w:sz w:val="24"/>
          <w:szCs w:val="24"/>
        </w:rPr>
        <w:t>Engelgau</w:t>
      </w:r>
      <w:proofErr w:type="spellEnd"/>
      <w:r w:rsidRPr="008269E4">
        <w:rPr>
          <w:rFonts w:ascii="Times New Roman" w:eastAsiaTheme="minorEastAsia" w:hAnsi="Times New Roman" w:cs="Times New Roman"/>
          <w:sz w:val="24"/>
          <w:szCs w:val="24"/>
        </w:rPr>
        <w:t xml:space="preserve">, A. Mahal, U. Griffiths, D. McIntyre, Q. </w:t>
      </w:r>
      <w:proofErr w:type="spellStart"/>
      <w:r w:rsidRPr="008269E4">
        <w:rPr>
          <w:rFonts w:ascii="Times New Roman" w:eastAsiaTheme="minorEastAsia" w:hAnsi="Times New Roman" w:cs="Times New Roman"/>
          <w:sz w:val="24"/>
          <w:szCs w:val="24"/>
        </w:rPr>
        <w:t>Meng</w:t>
      </w:r>
      <w:proofErr w:type="spellEnd"/>
      <w:r w:rsidRPr="008269E4">
        <w:rPr>
          <w:rFonts w:ascii="Times New Roman" w:eastAsiaTheme="minorEastAsia" w:hAnsi="Times New Roman" w:cs="Times New Roman"/>
          <w:sz w:val="24"/>
          <w:szCs w:val="24"/>
        </w:rPr>
        <w:t xml:space="preserve">, R. Nugent, &amp;R. </w:t>
      </w:r>
      <w:proofErr w:type="spellStart"/>
      <w:r w:rsidRPr="008269E4">
        <w:rPr>
          <w:rFonts w:ascii="Times New Roman" w:eastAsiaTheme="minorEastAsia" w:hAnsi="Times New Roman" w:cs="Times New Roman"/>
          <w:sz w:val="24"/>
          <w:szCs w:val="24"/>
        </w:rPr>
        <w:t>Atun</w:t>
      </w:r>
      <w:proofErr w:type="spellEnd"/>
      <w:r w:rsidRPr="008269E4">
        <w:rPr>
          <w:rFonts w:ascii="Times New Roman" w:eastAsiaTheme="minorEastAsia" w:hAnsi="Times New Roman" w:cs="Times New Roman"/>
          <w:sz w:val="24"/>
          <w:szCs w:val="24"/>
        </w:rPr>
        <w:t xml:space="preserve"> (2018) “Action to address the household economic burden of non-communicable diseases”, </w:t>
      </w:r>
      <w:r w:rsidRPr="008269E4">
        <w:rPr>
          <w:rFonts w:ascii="Times New Roman" w:eastAsiaTheme="minorEastAsia" w:hAnsi="Times New Roman" w:cs="Times New Roman"/>
          <w:i/>
          <w:iCs/>
          <w:sz w:val="24"/>
          <w:szCs w:val="24"/>
        </w:rPr>
        <w:t>Lancet</w:t>
      </w:r>
      <w:r w:rsidRPr="008269E4">
        <w:rPr>
          <w:rFonts w:ascii="Times New Roman" w:eastAsiaTheme="minorEastAsia" w:hAnsi="Times New Roman" w:cs="Times New Roman"/>
          <w:sz w:val="24"/>
          <w:szCs w:val="24"/>
        </w:rPr>
        <w:t>; 391: 2047–58.</w:t>
      </w:r>
    </w:p>
    <w:p w14:paraId="6F7281A5" w14:textId="77777777" w:rsidR="00E95D90" w:rsidRPr="008269E4" w:rsidRDefault="00E95D90" w:rsidP="00E95D90">
      <w:pPr>
        <w:jc w:val="both"/>
        <w:rPr>
          <w:rFonts w:ascii="Times New Roman" w:eastAsiaTheme="minorEastAsia" w:hAnsi="Times New Roman" w:cs="Times New Roman"/>
          <w:sz w:val="24"/>
          <w:szCs w:val="24"/>
        </w:rPr>
      </w:pPr>
      <w:proofErr w:type="spellStart"/>
      <w:r w:rsidRPr="008269E4">
        <w:rPr>
          <w:rFonts w:ascii="Times New Roman" w:eastAsiaTheme="minorEastAsia" w:hAnsi="Times New Roman" w:cs="Times New Roman"/>
          <w:bCs/>
          <w:sz w:val="24"/>
          <w:szCs w:val="24"/>
        </w:rPr>
        <w:t>Kabeer</w:t>
      </w:r>
      <w:proofErr w:type="spellEnd"/>
      <w:r w:rsidRPr="008269E4">
        <w:rPr>
          <w:rFonts w:ascii="Times New Roman" w:eastAsiaTheme="minorEastAsia" w:hAnsi="Times New Roman" w:cs="Times New Roman"/>
          <w:bCs/>
          <w:sz w:val="24"/>
          <w:szCs w:val="24"/>
        </w:rPr>
        <w:t xml:space="preserve">, N. (2005) “Gender equality and women's empowerment: a critical analysis of the third Millennium Development Goal”, </w:t>
      </w:r>
      <w:r w:rsidRPr="008269E4">
        <w:rPr>
          <w:rFonts w:ascii="Times New Roman" w:eastAsiaTheme="minorEastAsia" w:hAnsi="Times New Roman" w:cs="Times New Roman"/>
          <w:bCs/>
          <w:i/>
          <w:iCs/>
          <w:sz w:val="24"/>
          <w:szCs w:val="24"/>
        </w:rPr>
        <w:t xml:space="preserve">Gender and Development, </w:t>
      </w:r>
      <w:r w:rsidRPr="008269E4">
        <w:rPr>
          <w:rFonts w:ascii="Times New Roman" w:eastAsiaTheme="minorEastAsia" w:hAnsi="Times New Roman" w:cs="Times New Roman"/>
          <w:bCs/>
          <w:iCs/>
          <w:sz w:val="24"/>
          <w:szCs w:val="24"/>
        </w:rPr>
        <w:t>Vol. 13, No. 1, March</w:t>
      </w:r>
      <w:r w:rsidRPr="008269E4">
        <w:rPr>
          <w:rFonts w:ascii="Times New Roman" w:eastAsiaTheme="minorEastAsia" w:hAnsi="Times New Roman" w:cs="Times New Roman"/>
          <w:bCs/>
          <w:i/>
          <w:iCs/>
          <w:sz w:val="24"/>
          <w:szCs w:val="24"/>
        </w:rPr>
        <w:t xml:space="preserve">. </w:t>
      </w:r>
    </w:p>
    <w:p w14:paraId="16E48683" w14:textId="77777777" w:rsidR="00E95D90" w:rsidRPr="008269E4" w:rsidRDefault="00E95D90" w:rsidP="00E95D90">
      <w:pPr>
        <w:jc w:val="both"/>
        <w:rPr>
          <w:rFonts w:ascii="Times New Roman" w:eastAsiaTheme="minorEastAsia" w:hAnsi="Times New Roman" w:cs="Times New Roman"/>
          <w:bCs/>
          <w:i/>
          <w:iCs/>
          <w:sz w:val="24"/>
          <w:szCs w:val="24"/>
        </w:rPr>
      </w:pPr>
      <w:proofErr w:type="spellStart"/>
      <w:r w:rsidRPr="008269E4">
        <w:rPr>
          <w:rFonts w:ascii="Times New Roman" w:eastAsiaTheme="minorEastAsia" w:hAnsi="Times New Roman" w:cs="Times New Roman"/>
          <w:bCs/>
          <w:sz w:val="24"/>
          <w:szCs w:val="24"/>
        </w:rPr>
        <w:t>Kahneman</w:t>
      </w:r>
      <w:proofErr w:type="spellEnd"/>
      <w:r w:rsidRPr="008269E4">
        <w:rPr>
          <w:rFonts w:ascii="Times New Roman" w:eastAsiaTheme="minorEastAsia" w:hAnsi="Times New Roman" w:cs="Times New Roman"/>
          <w:bCs/>
          <w:sz w:val="24"/>
          <w:szCs w:val="24"/>
        </w:rPr>
        <w:t>, D.</w:t>
      </w:r>
      <w:proofErr w:type="gramStart"/>
      <w:r w:rsidRPr="008269E4">
        <w:rPr>
          <w:rFonts w:ascii="Times New Roman" w:eastAsiaTheme="minorEastAsia" w:hAnsi="Times New Roman" w:cs="Times New Roman"/>
          <w:bCs/>
          <w:sz w:val="24"/>
          <w:szCs w:val="24"/>
        </w:rPr>
        <w:t>,&amp;</w:t>
      </w:r>
      <w:proofErr w:type="gramEnd"/>
      <w:r w:rsidRPr="008269E4">
        <w:rPr>
          <w:rFonts w:ascii="Times New Roman" w:eastAsiaTheme="minorEastAsia" w:hAnsi="Times New Roman" w:cs="Times New Roman"/>
          <w:bCs/>
          <w:sz w:val="24"/>
          <w:szCs w:val="24"/>
        </w:rPr>
        <w:t xml:space="preserve"> A. B. Krueger (2006) “Developments in the Measurement of Subjective Well-Being”, </w:t>
      </w:r>
      <w:r w:rsidRPr="008269E4">
        <w:rPr>
          <w:rFonts w:ascii="Times New Roman" w:eastAsiaTheme="minorEastAsia" w:hAnsi="Times New Roman" w:cs="Times New Roman"/>
          <w:bCs/>
          <w:i/>
          <w:iCs/>
          <w:sz w:val="24"/>
          <w:szCs w:val="24"/>
        </w:rPr>
        <w:t>Journal of Economic Perspectives—Volume 20, Number 1—Winter—3-2.</w:t>
      </w:r>
    </w:p>
    <w:p w14:paraId="580914E6"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Kahneman</w:t>
      </w:r>
      <w:proofErr w:type="spellEnd"/>
      <w:r w:rsidRPr="008269E4">
        <w:rPr>
          <w:rFonts w:ascii="Times New Roman" w:eastAsiaTheme="minorEastAsia" w:hAnsi="Times New Roman" w:cs="Times New Roman"/>
          <w:bCs/>
          <w:sz w:val="24"/>
          <w:szCs w:val="24"/>
        </w:rPr>
        <w:t xml:space="preserve">, D., &amp; A. Deaton (2010) “High income improves evaluation of life but not emotional well-being”, PNAS | September 21| vol. 107 | no. 38 | 16489–16493. </w:t>
      </w:r>
    </w:p>
    <w:p w14:paraId="6F739611"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Kynch</w:t>
      </w:r>
      <w:proofErr w:type="spellEnd"/>
      <w:r w:rsidRPr="008269E4">
        <w:rPr>
          <w:rFonts w:ascii="Times New Roman" w:eastAsiaTheme="minorEastAsia" w:hAnsi="Times New Roman" w:cs="Times New Roman"/>
          <w:bCs/>
          <w:sz w:val="24"/>
          <w:szCs w:val="24"/>
        </w:rPr>
        <w:t xml:space="preserve">, J., and </w:t>
      </w:r>
      <w:proofErr w:type="spellStart"/>
      <w:r w:rsidRPr="008269E4">
        <w:rPr>
          <w:rFonts w:ascii="Times New Roman" w:eastAsiaTheme="minorEastAsia" w:hAnsi="Times New Roman" w:cs="Times New Roman"/>
          <w:bCs/>
          <w:sz w:val="24"/>
          <w:szCs w:val="24"/>
        </w:rPr>
        <w:t>Sen</w:t>
      </w:r>
      <w:proofErr w:type="gramStart"/>
      <w:r w:rsidRPr="008269E4">
        <w:rPr>
          <w:rFonts w:ascii="Times New Roman" w:eastAsiaTheme="minorEastAsia" w:hAnsi="Times New Roman" w:cs="Times New Roman"/>
          <w:bCs/>
          <w:sz w:val="24"/>
          <w:szCs w:val="24"/>
        </w:rPr>
        <w:t>,Amartya</w:t>
      </w:r>
      <w:proofErr w:type="spellEnd"/>
      <w:proofErr w:type="gramEnd"/>
      <w:r w:rsidRPr="008269E4">
        <w:rPr>
          <w:rFonts w:ascii="Times New Roman" w:eastAsiaTheme="minorEastAsia" w:hAnsi="Times New Roman" w:cs="Times New Roman"/>
          <w:bCs/>
          <w:sz w:val="24"/>
          <w:szCs w:val="24"/>
        </w:rPr>
        <w:t xml:space="preserve">  (1983)</w:t>
      </w:r>
      <w:r w:rsidRPr="008269E4">
        <w:rPr>
          <w:rFonts w:ascii="Times New Roman" w:eastAsiaTheme="minorEastAsia" w:hAnsi="Times New Roman" w:cs="Times New Roman"/>
          <w:b/>
          <w:bCs/>
          <w:sz w:val="24"/>
          <w:szCs w:val="24"/>
        </w:rPr>
        <w:t xml:space="preserve"> “</w:t>
      </w:r>
      <w:r w:rsidRPr="008269E4">
        <w:rPr>
          <w:rFonts w:ascii="Times New Roman" w:eastAsiaTheme="minorEastAsia" w:hAnsi="Times New Roman" w:cs="Times New Roman"/>
          <w:bCs/>
          <w:sz w:val="24"/>
          <w:szCs w:val="24"/>
        </w:rPr>
        <w:t xml:space="preserve">Indian women: well-being and survival”, </w:t>
      </w:r>
      <w:r w:rsidRPr="008269E4">
        <w:rPr>
          <w:rFonts w:ascii="Times New Roman" w:eastAsiaTheme="minorEastAsia" w:hAnsi="Times New Roman" w:cs="Times New Roman"/>
          <w:bCs/>
          <w:i/>
          <w:sz w:val="24"/>
          <w:szCs w:val="24"/>
        </w:rPr>
        <w:t>Cambridge Journal of Economics</w:t>
      </w:r>
      <w:r w:rsidRPr="008269E4">
        <w:rPr>
          <w:rFonts w:ascii="Times New Roman" w:eastAsiaTheme="minorEastAsia" w:hAnsi="Times New Roman" w:cs="Times New Roman"/>
          <w:bCs/>
          <w:sz w:val="24"/>
          <w:szCs w:val="24"/>
        </w:rPr>
        <w:t xml:space="preserve">, </w:t>
      </w:r>
      <w:hyperlink r:id="rId19" w:history="1">
        <w:r w:rsidRPr="008269E4">
          <w:rPr>
            <w:rStyle w:val="Hyperlink"/>
            <w:rFonts w:ascii="Times New Roman" w:eastAsiaTheme="minorEastAsia" w:hAnsi="Times New Roman" w:cs="Times New Roman"/>
            <w:bCs/>
            <w:sz w:val="24"/>
            <w:szCs w:val="24"/>
          </w:rPr>
          <w:t>Vol. 7, No. 3/4  1983)</w:t>
        </w:r>
      </w:hyperlink>
      <w:r w:rsidRPr="008269E4">
        <w:rPr>
          <w:rFonts w:ascii="Times New Roman" w:eastAsiaTheme="minorEastAsia" w:hAnsi="Times New Roman" w:cs="Times New Roman"/>
          <w:bCs/>
          <w:sz w:val="24"/>
          <w:szCs w:val="24"/>
        </w:rPr>
        <w:t>, pp. 363-380.</w:t>
      </w:r>
    </w:p>
    <w:p w14:paraId="4050F433"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Kohler, I.V., C. F. Payne, C. </w:t>
      </w:r>
      <w:proofErr w:type="spellStart"/>
      <w:r w:rsidRPr="008269E4">
        <w:rPr>
          <w:rFonts w:ascii="Times New Roman" w:eastAsiaTheme="minorEastAsia" w:hAnsi="Times New Roman" w:cs="Times New Roman"/>
          <w:sz w:val="24"/>
          <w:szCs w:val="24"/>
        </w:rPr>
        <w:t>Bandawe</w:t>
      </w:r>
      <w:proofErr w:type="spellEnd"/>
      <w:r w:rsidRPr="008269E4">
        <w:rPr>
          <w:rFonts w:ascii="Times New Roman" w:eastAsiaTheme="minorEastAsia" w:hAnsi="Times New Roman" w:cs="Times New Roman"/>
          <w:sz w:val="24"/>
          <w:szCs w:val="24"/>
        </w:rPr>
        <w:t xml:space="preserve"> &amp; Hans-Peter Kohler (2017) “The Demography of Mental Health </w:t>
      </w:r>
      <w:proofErr w:type="gramStart"/>
      <w:r w:rsidRPr="008269E4">
        <w:rPr>
          <w:rFonts w:ascii="Times New Roman" w:eastAsiaTheme="minorEastAsia" w:hAnsi="Times New Roman" w:cs="Times New Roman"/>
          <w:sz w:val="24"/>
          <w:szCs w:val="24"/>
        </w:rPr>
        <w:t>Among</w:t>
      </w:r>
      <w:proofErr w:type="gramEnd"/>
      <w:r w:rsidRPr="008269E4">
        <w:rPr>
          <w:rFonts w:ascii="Times New Roman" w:eastAsiaTheme="minorEastAsia" w:hAnsi="Times New Roman" w:cs="Times New Roman"/>
          <w:sz w:val="24"/>
          <w:szCs w:val="24"/>
        </w:rPr>
        <w:t xml:space="preserve"> Mature Adults in a Low-Income, High-HIV-Prevalence Context”, </w:t>
      </w:r>
      <w:r w:rsidRPr="008269E4">
        <w:rPr>
          <w:rFonts w:ascii="Times New Roman" w:eastAsiaTheme="minorEastAsia" w:hAnsi="Times New Roman" w:cs="Times New Roman"/>
          <w:i/>
          <w:sz w:val="24"/>
          <w:szCs w:val="24"/>
        </w:rPr>
        <w:t>Demography</w:t>
      </w:r>
      <w:r w:rsidRPr="008269E4">
        <w:rPr>
          <w:rFonts w:ascii="Times New Roman" w:eastAsiaTheme="minorEastAsia" w:hAnsi="Times New Roman" w:cs="Times New Roman"/>
          <w:sz w:val="24"/>
          <w:szCs w:val="24"/>
        </w:rPr>
        <w:t>, 54:1529–1558</w:t>
      </w:r>
    </w:p>
    <w:p w14:paraId="7CB52343"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Kulkarni, Vani S., R. </w:t>
      </w:r>
      <w:proofErr w:type="spellStart"/>
      <w:r w:rsidRPr="008269E4">
        <w:rPr>
          <w:rFonts w:ascii="Times New Roman" w:eastAsiaTheme="minorEastAsia" w:hAnsi="Times New Roman" w:cs="Times New Roman"/>
          <w:sz w:val="24"/>
          <w:szCs w:val="24"/>
        </w:rPr>
        <w:t>Gaiha</w:t>
      </w:r>
      <w:proofErr w:type="spellEnd"/>
      <w:r w:rsidRPr="008269E4">
        <w:rPr>
          <w:rFonts w:ascii="Times New Roman" w:eastAsiaTheme="minorEastAsia" w:hAnsi="Times New Roman" w:cs="Times New Roman"/>
          <w:sz w:val="24"/>
          <w:szCs w:val="24"/>
        </w:rPr>
        <w:t xml:space="preserve"> and M. Pandey (2013) “MDGs and gender inequality”</w:t>
      </w:r>
      <w:proofErr w:type="gramStart"/>
      <w:r w:rsidRPr="008269E4">
        <w:rPr>
          <w:rFonts w:ascii="Times New Roman" w:eastAsiaTheme="minorEastAsia" w:hAnsi="Times New Roman" w:cs="Times New Roman"/>
          <w:sz w:val="24"/>
          <w:szCs w:val="24"/>
        </w:rPr>
        <w:t>,  BWPI</w:t>
      </w:r>
      <w:proofErr w:type="gramEnd"/>
      <w:r w:rsidRPr="008269E4">
        <w:rPr>
          <w:rFonts w:ascii="Times New Roman" w:eastAsiaTheme="minorEastAsia" w:hAnsi="Times New Roman" w:cs="Times New Roman"/>
          <w:sz w:val="24"/>
          <w:szCs w:val="24"/>
        </w:rPr>
        <w:t xml:space="preserve"> Woking Paper Series 188, University of Manchester.</w:t>
      </w:r>
    </w:p>
    <w:p w14:paraId="4C16C045"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lang w:val="it-IT"/>
        </w:rPr>
        <w:t xml:space="preserve">Kulkarni, Veena, S. Vani, S. Kulkarni, &amp; R. Gaiha. </w:t>
      </w:r>
      <w:proofErr w:type="gramStart"/>
      <w:r w:rsidRPr="008269E4">
        <w:rPr>
          <w:rFonts w:ascii="Times New Roman" w:eastAsiaTheme="minorEastAsia" w:hAnsi="Times New Roman" w:cs="Times New Roman"/>
          <w:sz w:val="24"/>
          <w:szCs w:val="24"/>
        </w:rPr>
        <w:t xml:space="preserve">(2020). "Poverty Transitions, Health, and Socio-Economic Disparities in </w:t>
      </w:r>
      <w:proofErr w:type="spellStart"/>
      <w:r w:rsidRPr="008269E4">
        <w:rPr>
          <w:rFonts w:ascii="Times New Roman" w:eastAsiaTheme="minorEastAsia" w:hAnsi="Times New Roman" w:cs="Times New Roman"/>
          <w:sz w:val="24"/>
          <w:szCs w:val="24"/>
        </w:rPr>
        <w:t>India."</w:t>
      </w:r>
      <w:proofErr w:type="gramEnd"/>
      <w:r w:rsidRPr="008269E4">
        <w:rPr>
          <w:rFonts w:ascii="Times New Roman" w:eastAsiaTheme="minorEastAsia" w:hAnsi="Times New Roman" w:cs="Times New Roman"/>
          <w:i/>
          <w:iCs/>
          <w:sz w:val="24"/>
          <w:szCs w:val="24"/>
        </w:rPr>
        <w:t>University</w:t>
      </w:r>
      <w:proofErr w:type="spellEnd"/>
      <w:r w:rsidRPr="008269E4">
        <w:rPr>
          <w:rFonts w:ascii="Times New Roman" w:eastAsiaTheme="minorEastAsia" w:hAnsi="Times New Roman" w:cs="Times New Roman"/>
          <w:i/>
          <w:iCs/>
          <w:sz w:val="24"/>
          <w:szCs w:val="24"/>
        </w:rPr>
        <w:t xml:space="preserve"> of Pennsylvania Population </w:t>
      </w:r>
      <w:proofErr w:type="spellStart"/>
      <w:r w:rsidRPr="008269E4">
        <w:rPr>
          <w:rFonts w:ascii="Times New Roman" w:eastAsiaTheme="minorEastAsia" w:hAnsi="Times New Roman" w:cs="Times New Roman"/>
          <w:i/>
          <w:iCs/>
          <w:sz w:val="24"/>
          <w:szCs w:val="24"/>
        </w:rPr>
        <w:t>Center</w:t>
      </w:r>
      <w:proofErr w:type="spellEnd"/>
      <w:r w:rsidRPr="008269E4">
        <w:rPr>
          <w:rFonts w:ascii="Times New Roman" w:eastAsiaTheme="minorEastAsia" w:hAnsi="Times New Roman" w:cs="Times New Roman"/>
          <w:i/>
          <w:iCs/>
          <w:sz w:val="24"/>
          <w:szCs w:val="24"/>
        </w:rPr>
        <w:t xml:space="preserve"> Working Paper (PSC/PARC)</w:t>
      </w:r>
      <w:r w:rsidRPr="008269E4">
        <w:rPr>
          <w:rFonts w:ascii="Times New Roman" w:eastAsiaTheme="minorEastAsia" w:hAnsi="Times New Roman" w:cs="Times New Roman"/>
          <w:sz w:val="24"/>
          <w:szCs w:val="24"/>
        </w:rPr>
        <w:t>, 2020-50.</w:t>
      </w:r>
    </w:p>
    <w:p w14:paraId="1FDAE585"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Meier, S. &amp; A. </w:t>
      </w:r>
      <w:proofErr w:type="spellStart"/>
      <w:r w:rsidRPr="008269E4">
        <w:rPr>
          <w:rFonts w:ascii="Times New Roman" w:eastAsiaTheme="minorEastAsia" w:hAnsi="Times New Roman" w:cs="Times New Roman"/>
          <w:sz w:val="24"/>
          <w:szCs w:val="24"/>
        </w:rPr>
        <w:t>Stutzer</w:t>
      </w:r>
      <w:proofErr w:type="spellEnd"/>
      <w:r w:rsidRPr="008269E4">
        <w:rPr>
          <w:rFonts w:ascii="Times New Roman" w:eastAsiaTheme="minorEastAsia" w:hAnsi="Times New Roman" w:cs="Times New Roman"/>
          <w:sz w:val="24"/>
          <w:szCs w:val="24"/>
        </w:rPr>
        <w:t xml:space="preserve">. (2006). “Is volunteering rewarding in itself?” </w:t>
      </w:r>
      <w:proofErr w:type="spellStart"/>
      <w:proofErr w:type="gramStart"/>
      <w:r w:rsidRPr="008269E4">
        <w:rPr>
          <w:rFonts w:ascii="Times New Roman" w:eastAsiaTheme="minorEastAsia" w:hAnsi="Times New Roman" w:cs="Times New Roman"/>
          <w:sz w:val="24"/>
          <w:szCs w:val="24"/>
        </w:rPr>
        <w:t>Centrefor</w:t>
      </w:r>
      <w:proofErr w:type="spellEnd"/>
      <w:r w:rsidRPr="008269E4">
        <w:rPr>
          <w:rFonts w:ascii="Times New Roman" w:eastAsiaTheme="minorEastAsia" w:hAnsi="Times New Roman" w:cs="Times New Roman"/>
          <w:sz w:val="24"/>
          <w:szCs w:val="24"/>
        </w:rPr>
        <w:t xml:space="preserve"> Behavioural Economics and Decision-Making, Federal Reserve Bank of Boston.</w:t>
      </w:r>
      <w:proofErr w:type="gramEnd"/>
    </w:p>
    <w:p w14:paraId="2BA3D99D" w14:textId="77777777" w:rsidR="00E95D90" w:rsidRPr="008269E4" w:rsidRDefault="00E95D90" w:rsidP="00E95D90">
      <w:pPr>
        <w:jc w:val="both"/>
        <w:rPr>
          <w:rFonts w:ascii="Times New Roman" w:eastAsiaTheme="minorEastAsia" w:hAnsi="Times New Roman" w:cs="Times New Roman"/>
          <w:sz w:val="24"/>
          <w:szCs w:val="24"/>
        </w:rPr>
      </w:pPr>
      <w:proofErr w:type="spellStart"/>
      <w:r w:rsidRPr="008269E4">
        <w:rPr>
          <w:rFonts w:ascii="Times New Roman" w:eastAsiaTheme="minorEastAsia" w:hAnsi="Times New Roman" w:cs="Times New Roman"/>
          <w:sz w:val="24"/>
          <w:szCs w:val="24"/>
        </w:rPr>
        <w:t>Mosse</w:t>
      </w:r>
      <w:proofErr w:type="spellEnd"/>
      <w:r w:rsidRPr="008269E4">
        <w:rPr>
          <w:rFonts w:ascii="Times New Roman" w:eastAsiaTheme="minorEastAsia" w:hAnsi="Times New Roman" w:cs="Times New Roman"/>
          <w:sz w:val="24"/>
          <w:szCs w:val="24"/>
        </w:rPr>
        <w:t xml:space="preserve">, D. (2018) “Caste and development: Contemporary perspectives on a structure of discrimination and advantage”, </w:t>
      </w:r>
      <w:r w:rsidRPr="008269E4">
        <w:rPr>
          <w:rFonts w:ascii="Times New Roman" w:eastAsiaTheme="minorEastAsia" w:hAnsi="Times New Roman" w:cs="Times New Roman"/>
          <w:i/>
          <w:sz w:val="24"/>
          <w:szCs w:val="24"/>
        </w:rPr>
        <w:t xml:space="preserve">World </w:t>
      </w:r>
      <w:proofErr w:type="spellStart"/>
      <w:r w:rsidRPr="008269E4">
        <w:rPr>
          <w:rFonts w:ascii="Times New Roman" w:eastAsiaTheme="minorEastAsia" w:hAnsi="Times New Roman" w:cs="Times New Roman"/>
          <w:i/>
          <w:sz w:val="24"/>
          <w:szCs w:val="24"/>
        </w:rPr>
        <w:t>Development</w:t>
      </w:r>
      <w:proofErr w:type="gramStart"/>
      <w:r w:rsidRPr="008269E4">
        <w:rPr>
          <w:rFonts w:ascii="Times New Roman" w:eastAsiaTheme="minorEastAsia" w:hAnsi="Times New Roman" w:cs="Times New Roman"/>
          <w:i/>
          <w:sz w:val="24"/>
          <w:szCs w:val="24"/>
        </w:rPr>
        <w:t>,</w:t>
      </w:r>
      <w:r w:rsidRPr="008269E4">
        <w:rPr>
          <w:rFonts w:ascii="Times New Roman" w:eastAsiaTheme="minorEastAsia" w:hAnsi="Times New Roman" w:cs="Times New Roman"/>
          <w:sz w:val="24"/>
          <w:szCs w:val="24"/>
        </w:rPr>
        <w:t>vol</w:t>
      </w:r>
      <w:proofErr w:type="spellEnd"/>
      <w:proofErr w:type="gramEnd"/>
      <w:r w:rsidRPr="008269E4">
        <w:rPr>
          <w:rFonts w:ascii="Times New Roman" w:eastAsiaTheme="minorEastAsia" w:hAnsi="Times New Roman" w:cs="Times New Roman"/>
          <w:sz w:val="24"/>
          <w:szCs w:val="24"/>
        </w:rPr>
        <w:t xml:space="preserve">. 110, October, pp. 422-436. </w:t>
      </w:r>
    </w:p>
    <w:p w14:paraId="47E01BA6"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Oswald, A. J., &amp; Wu, S. (2010). “Objective confirmation of subjective measures of human well-being: Evidence from the USA”. </w:t>
      </w:r>
      <w:r w:rsidRPr="008269E4">
        <w:rPr>
          <w:rFonts w:ascii="Times New Roman" w:eastAsiaTheme="minorEastAsia" w:hAnsi="Times New Roman" w:cs="Times New Roman"/>
          <w:i/>
          <w:sz w:val="24"/>
          <w:szCs w:val="24"/>
        </w:rPr>
        <w:t>Science</w:t>
      </w:r>
      <w:r w:rsidRPr="008269E4">
        <w:rPr>
          <w:rFonts w:ascii="Times New Roman" w:eastAsiaTheme="minorEastAsia" w:hAnsi="Times New Roman" w:cs="Times New Roman"/>
          <w:sz w:val="24"/>
          <w:szCs w:val="24"/>
        </w:rPr>
        <w:t>, 327(5965), 576-579.</w:t>
      </w:r>
    </w:p>
    <w:p w14:paraId="7B91914F"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Patel, V., R. Parikh, S. </w:t>
      </w:r>
      <w:proofErr w:type="spellStart"/>
      <w:r w:rsidRPr="008269E4">
        <w:rPr>
          <w:rFonts w:ascii="Times New Roman" w:eastAsiaTheme="minorEastAsia" w:hAnsi="Times New Roman" w:cs="Times New Roman"/>
          <w:sz w:val="24"/>
          <w:szCs w:val="24"/>
        </w:rPr>
        <w:t>Nandraj</w:t>
      </w:r>
      <w:proofErr w:type="spellEnd"/>
      <w:r w:rsidRPr="008269E4">
        <w:rPr>
          <w:rFonts w:ascii="Times New Roman" w:eastAsiaTheme="minorEastAsia" w:hAnsi="Times New Roman" w:cs="Times New Roman"/>
          <w:sz w:val="24"/>
          <w:szCs w:val="24"/>
        </w:rPr>
        <w:t xml:space="preserve">, P. </w:t>
      </w:r>
      <w:proofErr w:type="spellStart"/>
      <w:r w:rsidRPr="008269E4">
        <w:rPr>
          <w:rFonts w:ascii="Times New Roman" w:eastAsiaTheme="minorEastAsia" w:hAnsi="Times New Roman" w:cs="Times New Roman"/>
          <w:sz w:val="24"/>
          <w:szCs w:val="24"/>
        </w:rPr>
        <w:t>Balasubramaniam</w:t>
      </w:r>
      <w:proofErr w:type="spellEnd"/>
      <w:r w:rsidRPr="008269E4">
        <w:rPr>
          <w:rFonts w:ascii="Times New Roman" w:eastAsiaTheme="minorEastAsia" w:hAnsi="Times New Roman" w:cs="Times New Roman"/>
          <w:sz w:val="24"/>
          <w:szCs w:val="24"/>
        </w:rPr>
        <w:t xml:space="preserve">, K. Narayan, V. K Paul, A. K. Shiva Kumar, M. Chatterjee, &amp;K. </w:t>
      </w:r>
      <w:proofErr w:type="spellStart"/>
      <w:r w:rsidRPr="008269E4">
        <w:rPr>
          <w:rFonts w:ascii="Times New Roman" w:eastAsiaTheme="minorEastAsia" w:hAnsi="Times New Roman" w:cs="Times New Roman"/>
          <w:sz w:val="24"/>
          <w:szCs w:val="24"/>
        </w:rPr>
        <w:t>Srinath</w:t>
      </w:r>
      <w:proofErr w:type="spellEnd"/>
      <w:r w:rsidRPr="008269E4">
        <w:rPr>
          <w:rFonts w:ascii="Times New Roman" w:eastAsiaTheme="minorEastAsia" w:hAnsi="Times New Roman" w:cs="Times New Roman"/>
          <w:sz w:val="24"/>
          <w:szCs w:val="24"/>
        </w:rPr>
        <w:t xml:space="preserve"> Reddy (2015), “Assuring health coverage for all in India”, </w:t>
      </w:r>
      <w:r w:rsidRPr="008269E4">
        <w:rPr>
          <w:rFonts w:ascii="Times New Roman" w:eastAsiaTheme="minorEastAsia" w:hAnsi="Times New Roman" w:cs="Times New Roman"/>
          <w:i/>
          <w:iCs/>
          <w:sz w:val="24"/>
          <w:szCs w:val="24"/>
        </w:rPr>
        <w:t>Lancet</w:t>
      </w:r>
      <w:r w:rsidRPr="008269E4">
        <w:rPr>
          <w:rFonts w:ascii="Times New Roman" w:eastAsiaTheme="minorEastAsia" w:hAnsi="Times New Roman" w:cs="Times New Roman"/>
          <w:sz w:val="24"/>
          <w:szCs w:val="24"/>
        </w:rPr>
        <w:t>; 386: 2422–35.</w:t>
      </w:r>
    </w:p>
    <w:p w14:paraId="1A807405" w14:textId="77777777" w:rsidR="00E95D90" w:rsidRPr="008269E4" w:rsidRDefault="00E95D90" w:rsidP="00E95D90">
      <w:pPr>
        <w:jc w:val="both"/>
        <w:rPr>
          <w:rFonts w:ascii="Times New Roman" w:eastAsiaTheme="minorEastAsia" w:hAnsi="Times New Roman" w:cs="Times New Roman"/>
          <w:sz w:val="24"/>
          <w:szCs w:val="24"/>
        </w:rPr>
      </w:pPr>
      <w:proofErr w:type="spellStart"/>
      <w:r w:rsidRPr="008269E4">
        <w:rPr>
          <w:rFonts w:ascii="Times New Roman" w:eastAsiaTheme="minorEastAsia" w:hAnsi="Times New Roman" w:cs="Times New Roman"/>
          <w:sz w:val="24"/>
          <w:szCs w:val="24"/>
        </w:rPr>
        <w:lastRenderedPageBreak/>
        <w:t>Piketty</w:t>
      </w:r>
      <w:proofErr w:type="gramStart"/>
      <w:r w:rsidRPr="008269E4">
        <w:rPr>
          <w:rFonts w:ascii="Times New Roman" w:eastAsiaTheme="minorEastAsia" w:hAnsi="Times New Roman" w:cs="Times New Roman"/>
          <w:sz w:val="24"/>
          <w:szCs w:val="24"/>
        </w:rPr>
        <w:t>,T</w:t>
      </w:r>
      <w:proofErr w:type="spellEnd"/>
      <w:proofErr w:type="gramEnd"/>
      <w:r w:rsidRPr="008269E4">
        <w:rPr>
          <w:rFonts w:ascii="Times New Roman" w:eastAsiaTheme="minorEastAsia" w:hAnsi="Times New Roman" w:cs="Times New Roman"/>
          <w:sz w:val="24"/>
          <w:szCs w:val="24"/>
        </w:rPr>
        <w:t xml:space="preserve">. (2014) </w:t>
      </w:r>
      <w:r w:rsidRPr="008269E4">
        <w:rPr>
          <w:rFonts w:ascii="Times New Roman" w:eastAsiaTheme="minorEastAsia" w:hAnsi="Times New Roman" w:cs="Times New Roman"/>
          <w:i/>
          <w:sz w:val="24"/>
          <w:szCs w:val="24"/>
        </w:rPr>
        <w:t>Capital in the Twenty First Century,</w:t>
      </w:r>
      <w:r w:rsidRPr="008269E4">
        <w:rPr>
          <w:rFonts w:ascii="Times New Roman" w:eastAsiaTheme="minorEastAsia" w:hAnsi="Times New Roman" w:cs="Times New Roman"/>
          <w:sz w:val="24"/>
          <w:szCs w:val="24"/>
        </w:rPr>
        <w:t xml:space="preserve"> Cambridge: Harvard University Press.</w:t>
      </w:r>
    </w:p>
    <w:p w14:paraId="4CEFA215" w14:textId="77777777" w:rsidR="00E95D90" w:rsidRPr="008269E4" w:rsidRDefault="00E95D90" w:rsidP="00E95D90">
      <w:pPr>
        <w:jc w:val="both"/>
        <w:rPr>
          <w:rFonts w:ascii="Times New Roman" w:eastAsiaTheme="minorEastAsia" w:hAnsi="Times New Roman" w:cs="Times New Roman"/>
          <w:bCs/>
          <w:sz w:val="24"/>
          <w:szCs w:val="24"/>
        </w:rPr>
      </w:pPr>
      <w:proofErr w:type="spellStart"/>
      <w:r w:rsidRPr="008269E4">
        <w:rPr>
          <w:rFonts w:ascii="Times New Roman" w:eastAsiaTheme="minorEastAsia" w:hAnsi="Times New Roman" w:cs="Times New Roman"/>
          <w:bCs/>
          <w:sz w:val="24"/>
          <w:szCs w:val="24"/>
        </w:rPr>
        <w:t>Ravallion</w:t>
      </w:r>
      <w:proofErr w:type="spellEnd"/>
      <w:r w:rsidRPr="008269E4">
        <w:rPr>
          <w:rFonts w:ascii="Times New Roman" w:eastAsiaTheme="minorEastAsia" w:hAnsi="Times New Roman" w:cs="Times New Roman"/>
          <w:bCs/>
          <w:sz w:val="24"/>
          <w:szCs w:val="24"/>
        </w:rPr>
        <w:t xml:space="preserve">, M., K. </w:t>
      </w:r>
      <w:proofErr w:type="spellStart"/>
      <w:r w:rsidRPr="008269E4">
        <w:rPr>
          <w:rFonts w:ascii="Times New Roman" w:eastAsiaTheme="minorEastAsia" w:hAnsi="Times New Roman" w:cs="Times New Roman"/>
          <w:bCs/>
          <w:sz w:val="24"/>
          <w:szCs w:val="24"/>
        </w:rPr>
        <w:t>Himelein</w:t>
      </w:r>
      <w:proofErr w:type="spellEnd"/>
      <w:r w:rsidRPr="008269E4">
        <w:rPr>
          <w:rFonts w:ascii="Times New Roman" w:eastAsiaTheme="minorEastAsia" w:hAnsi="Times New Roman" w:cs="Times New Roman"/>
          <w:bCs/>
          <w:sz w:val="24"/>
          <w:szCs w:val="24"/>
        </w:rPr>
        <w:t xml:space="preserve">&amp; K. Beegle (2016) “Can Subjective Questions on Economic Welfare Be </w:t>
      </w:r>
      <w:proofErr w:type="spellStart"/>
      <w:r w:rsidRPr="008269E4">
        <w:rPr>
          <w:rFonts w:ascii="Times New Roman" w:eastAsiaTheme="minorEastAsia" w:hAnsi="Times New Roman" w:cs="Times New Roman"/>
          <w:bCs/>
          <w:sz w:val="24"/>
          <w:szCs w:val="24"/>
        </w:rPr>
        <w:t>Trusted?”</w:t>
      </w:r>
      <w:proofErr w:type="gramStart"/>
      <w:r w:rsidRPr="008269E4">
        <w:rPr>
          <w:rFonts w:ascii="Times New Roman" w:eastAsiaTheme="minorEastAsia" w:hAnsi="Times New Roman" w:cs="Times New Roman"/>
          <w:bCs/>
          <w:sz w:val="24"/>
          <w:szCs w:val="24"/>
        </w:rPr>
        <w:t>,</w:t>
      </w:r>
      <w:r w:rsidRPr="008269E4">
        <w:rPr>
          <w:rFonts w:ascii="Times New Roman" w:eastAsiaTheme="minorEastAsia" w:hAnsi="Times New Roman" w:cs="Times New Roman"/>
          <w:bCs/>
          <w:i/>
          <w:sz w:val="24"/>
          <w:szCs w:val="24"/>
        </w:rPr>
        <w:t>Economic</w:t>
      </w:r>
      <w:proofErr w:type="spellEnd"/>
      <w:proofErr w:type="gramEnd"/>
      <w:r w:rsidRPr="008269E4">
        <w:rPr>
          <w:rFonts w:ascii="Times New Roman" w:eastAsiaTheme="minorEastAsia" w:hAnsi="Times New Roman" w:cs="Times New Roman"/>
          <w:bCs/>
          <w:i/>
          <w:sz w:val="24"/>
          <w:szCs w:val="24"/>
        </w:rPr>
        <w:t xml:space="preserve"> Development and Cultural </w:t>
      </w:r>
      <w:proofErr w:type="spellStart"/>
      <w:r w:rsidRPr="008269E4">
        <w:rPr>
          <w:rFonts w:ascii="Times New Roman" w:eastAsiaTheme="minorEastAsia" w:hAnsi="Times New Roman" w:cs="Times New Roman"/>
          <w:bCs/>
          <w:i/>
          <w:sz w:val="24"/>
          <w:szCs w:val="24"/>
        </w:rPr>
        <w:t>Change</w:t>
      </w:r>
      <w:r w:rsidRPr="008269E4">
        <w:rPr>
          <w:rFonts w:ascii="Times New Roman" w:eastAsiaTheme="minorEastAsia" w:hAnsi="Times New Roman" w:cs="Times New Roman"/>
          <w:bCs/>
          <w:i/>
          <w:sz w:val="24"/>
          <w:szCs w:val="24"/>
          <w:u w:val="single"/>
        </w:rPr>
        <w:t>,</w:t>
      </w:r>
      <w:r w:rsidRPr="008269E4">
        <w:rPr>
          <w:rFonts w:ascii="Times New Roman" w:eastAsiaTheme="minorEastAsia" w:hAnsi="Times New Roman" w:cs="Times New Roman"/>
          <w:bCs/>
          <w:sz w:val="24"/>
          <w:szCs w:val="24"/>
        </w:rPr>
        <w:t>volume</w:t>
      </w:r>
      <w:proofErr w:type="spellEnd"/>
      <w:r w:rsidRPr="008269E4">
        <w:rPr>
          <w:rFonts w:ascii="Times New Roman" w:eastAsiaTheme="minorEastAsia" w:hAnsi="Times New Roman" w:cs="Times New Roman"/>
          <w:bCs/>
          <w:sz w:val="24"/>
          <w:szCs w:val="24"/>
        </w:rPr>
        <w:t xml:space="preserve"> 64, no. 4.</w:t>
      </w:r>
    </w:p>
    <w:p w14:paraId="2029D74C" w14:textId="77777777" w:rsidR="00E95D90" w:rsidRPr="008269E4" w:rsidRDefault="00E95D90" w:rsidP="00E95D90">
      <w:pPr>
        <w:jc w:val="both"/>
        <w:rPr>
          <w:rFonts w:ascii="Times New Roman" w:eastAsiaTheme="minorEastAsia" w:hAnsi="Times New Roman" w:cs="Times New Roman"/>
          <w:sz w:val="24"/>
          <w:szCs w:val="24"/>
        </w:rPr>
      </w:pPr>
      <w:proofErr w:type="spellStart"/>
      <w:proofErr w:type="gramStart"/>
      <w:r w:rsidRPr="008269E4">
        <w:rPr>
          <w:rFonts w:ascii="Times New Roman" w:eastAsiaTheme="minorEastAsia" w:hAnsi="Times New Roman" w:cs="Times New Roman"/>
          <w:sz w:val="24"/>
          <w:szCs w:val="24"/>
        </w:rPr>
        <w:t>Ravallion</w:t>
      </w:r>
      <w:proofErr w:type="spellEnd"/>
      <w:r w:rsidRPr="008269E4">
        <w:rPr>
          <w:rFonts w:ascii="Times New Roman" w:eastAsiaTheme="minorEastAsia" w:hAnsi="Times New Roman" w:cs="Times New Roman"/>
          <w:sz w:val="24"/>
          <w:szCs w:val="24"/>
        </w:rPr>
        <w:t>, M. (2014) “Poor, or Just Feeling Poor?</w:t>
      </w:r>
      <w:proofErr w:type="gramEnd"/>
      <w:r w:rsidRPr="008269E4">
        <w:rPr>
          <w:rFonts w:ascii="Times New Roman" w:eastAsiaTheme="minorEastAsia" w:hAnsi="Times New Roman" w:cs="Times New Roman"/>
          <w:sz w:val="24"/>
          <w:szCs w:val="24"/>
        </w:rPr>
        <w:t xml:space="preserve">  On Using Subjective Data in Measuring Poverty”,   In </w:t>
      </w:r>
      <w:r w:rsidRPr="008269E4">
        <w:rPr>
          <w:rFonts w:ascii="Times New Roman" w:eastAsiaTheme="minorEastAsia" w:hAnsi="Times New Roman" w:cs="Times New Roman"/>
          <w:i/>
          <w:iCs/>
          <w:sz w:val="24"/>
          <w:szCs w:val="24"/>
        </w:rPr>
        <w:t>Happiness and Economic Growth</w:t>
      </w:r>
      <w:r w:rsidRPr="008269E4">
        <w:rPr>
          <w:rFonts w:ascii="Times New Roman" w:eastAsiaTheme="minorEastAsia" w:hAnsi="Times New Roman" w:cs="Times New Roman"/>
          <w:sz w:val="24"/>
          <w:szCs w:val="24"/>
        </w:rPr>
        <w:t xml:space="preserve">, A. Clark and Cl. </w:t>
      </w:r>
      <w:proofErr w:type="spellStart"/>
      <w:r w:rsidRPr="008269E4">
        <w:rPr>
          <w:rFonts w:ascii="Times New Roman" w:eastAsiaTheme="minorEastAsia" w:hAnsi="Times New Roman" w:cs="Times New Roman"/>
          <w:sz w:val="24"/>
          <w:szCs w:val="24"/>
        </w:rPr>
        <w:t>Senik</w:t>
      </w:r>
      <w:proofErr w:type="spellEnd"/>
      <w:r w:rsidRPr="008269E4">
        <w:rPr>
          <w:rFonts w:ascii="Times New Roman" w:eastAsiaTheme="minorEastAsia" w:hAnsi="Times New Roman" w:cs="Times New Roman"/>
          <w:sz w:val="24"/>
          <w:szCs w:val="24"/>
        </w:rPr>
        <w:t xml:space="preserve"> (</w:t>
      </w:r>
      <w:proofErr w:type="spellStart"/>
      <w:proofErr w:type="gramStart"/>
      <w:r w:rsidRPr="008269E4">
        <w:rPr>
          <w:rFonts w:ascii="Times New Roman" w:eastAsiaTheme="minorEastAsia" w:hAnsi="Times New Roman" w:cs="Times New Roman"/>
          <w:sz w:val="24"/>
          <w:szCs w:val="24"/>
        </w:rPr>
        <w:t>eds</w:t>
      </w:r>
      <w:proofErr w:type="spellEnd"/>
      <w:proofErr w:type="gramEnd"/>
      <w:r w:rsidRPr="008269E4">
        <w:rPr>
          <w:rFonts w:ascii="Times New Roman" w:eastAsiaTheme="minorEastAsia" w:hAnsi="Times New Roman" w:cs="Times New Roman"/>
          <w:sz w:val="24"/>
          <w:szCs w:val="24"/>
        </w:rPr>
        <w:t>,) Oxford: Oxford University Press.</w:t>
      </w:r>
    </w:p>
    <w:p w14:paraId="00354605" w14:textId="77777777" w:rsidR="00E95D90" w:rsidRPr="008269E4" w:rsidRDefault="00E95D90" w:rsidP="00E95D90">
      <w:pPr>
        <w:jc w:val="both"/>
        <w:rPr>
          <w:rFonts w:ascii="Times New Roman" w:eastAsiaTheme="minorEastAsia" w:hAnsi="Times New Roman" w:cs="Times New Roman"/>
          <w:sz w:val="24"/>
          <w:szCs w:val="24"/>
        </w:rPr>
      </w:pPr>
      <w:proofErr w:type="spellStart"/>
      <w:r w:rsidRPr="008269E4">
        <w:rPr>
          <w:rFonts w:ascii="Times New Roman" w:eastAsiaTheme="minorEastAsia" w:hAnsi="Times New Roman" w:cs="Times New Roman"/>
          <w:sz w:val="24"/>
          <w:szCs w:val="24"/>
        </w:rPr>
        <w:t>Sassi</w:t>
      </w:r>
      <w:proofErr w:type="spellEnd"/>
      <w:r w:rsidRPr="008269E4">
        <w:rPr>
          <w:rFonts w:ascii="Times New Roman" w:eastAsiaTheme="minorEastAsia" w:hAnsi="Times New Roman" w:cs="Times New Roman"/>
          <w:sz w:val="24"/>
          <w:szCs w:val="24"/>
        </w:rPr>
        <w:t xml:space="preserve">, F.,A. </w:t>
      </w:r>
      <w:proofErr w:type="spellStart"/>
      <w:r w:rsidRPr="008269E4">
        <w:rPr>
          <w:rFonts w:ascii="Times New Roman" w:eastAsiaTheme="minorEastAsia" w:hAnsi="Times New Roman" w:cs="Times New Roman"/>
          <w:sz w:val="24"/>
          <w:szCs w:val="24"/>
        </w:rPr>
        <w:t>Belloni</w:t>
      </w:r>
      <w:proofErr w:type="spellEnd"/>
      <w:r w:rsidRPr="008269E4">
        <w:rPr>
          <w:rFonts w:ascii="Times New Roman" w:eastAsiaTheme="minorEastAsia" w:hAnsi="Times New Roman" w:cs="Times New Roman"/>
          <w:sz w:val="24"/>
          <w:szCs w:val="24"/>
        </w:rPr>
        <w:t xml:space="preserve">, A. J. </w:t>
      </w:r>
      <w:proofErr w:type="spellStart"/>
      <w:r w:rsidRPr="008269E4">
        <w:rPr>
          <w:rFonts w:ascii="Times New Roman" w:eastAsiaTheme="minorEastAsia" w:hAnsi="Times New Roman" w:cs="Times New Roman"/>
          <w:sz w:val="24"/>
          <w:szCs w:val="24"/>
        </w:rPr>
        <w:t>Mirelman</w:t>
      </w:r>
      <w:proofErr w:type="spellEnd"/>
      <w:r w:rsidRPr="008269E4">
        <w:rPr>
          <w:rFonts w:ascii="Times New Roman" w:eastAsiaTheme="minorEastAsia" w:hAnsi="Times New Roman" w:cs="Times New Roman"/>
          <w:sz w:val="24"/>
          <w:szCs w:val="24"/>
        </w:rPr>
        <w:t xml:space="preserve">, M. </w:t>
      </w:r>
      <w:proofErr w:type="spellStart"/>
      <w:r w:rsidRPr="008269E4">
        <w:rPr>
          <w:rFonts w:ascii="Times New Roman" w:eastAsiaTheme="minorEastAsia" w:hAnsi="Times New Roman" w:cs="Times New Roman"/>
          <w:sz w:val="24"/>
          <w:szCs w:val="24"/>
        </w:rPr>
        <w:t>Suhrcke</w:t>
      </w:r>
      <w:proofErr w:type="spellEnd"/>
      <w:r w:rsidRPr="008269E4">
        <w:rPr>
          <w:rFonts w:ascii="Times New Roman" w:eastAsiaTheme="minorEastAsia" w:hAnsi="Times New Roman" w:cs="Times New Roman"/>
          <w:sz w:val="24"/>
          <w:szCs w:val="24"/>
        </w:rPr>
        <w:t xml:space="preserve">, A. Thomas, N. </w:t>
      </w:r>
      <w:proofErr w:type="spellStart"/>
      <w:r w:rsidRPr="008269E4">
        <w:rPr>
          <w:rFonts w:ascii="Times New Roman" w:eastAsiaTheme="minorEastAsia" w:hAnsi="Times New Roman" w:cs="Times New Roman"/>
          <w:sz w:val="24"/>
          <w:szCs w:val="24"/>
        </w:rPr>
        <w:t>Salti</w:t>
      </w:r>
      <w:proofErr w:type="spellEnd"/>
      <w:r w:rsidRPr="008269E4">
        <w:rPr>
          <w:rFonts w:ascii="Times New Roman" w:eastAsiaTheme="minorEastAsia" w:hAnsi="Times New Roman" w:cs="Times New Roman"/>
          <w:sz w:val="24"/>
          <w:szCs w:val="24"/>
        </w:rPr>
        <w:t xml:space="preserve">, </w:t>
      </w:r>
      <w:proofErr w:type="spellStart"/>
      <w:r w:rsidRPr="008269E4">
        <w:rPr>
          <w:rFonts w:ascii="Times New Roman" w:eastAsiaTheme="minorEastAsia" w:hAnsi="Times New Roman" w:cs="Times New Roman"/>
          <w:sz w:val="24"/>
          <w:szCs w:val="24"/>
        </w:rPr>
        <w:t>S.Vellakkal</w:t>
      </w:r>
      <w:proofErr w:type="spellEnd"/>
      <w:r w:rsidRPr="008269E4">
        <w:rPr>
          <w:rFonts w:ascii="Times New Roman" w:eastAsiaTheme="minorEastAsia" w:hAnsi="Times New Roman" w:cs="Times New Roman"/>
          <w:sz w:val="24"/>
          <w:szCs w:val="24"/>
        </w:rPr>
        <w:t xml:space="preserve">, C. </w:t>
      </w:r>
      <w:proofErr w:type="spellStart"/>
      <w:r w:rsidRPr="008269E4">
        <w:rPr>
          <w:rFonts w:ascii="Times New Roman" w:eastAsiaTheme="minorEastAsia" w:hAnsi="Times New Roman" w:cs="Times New Roman"/>
          <w:sz w:val="24"/>
          <w:szCs w:val="24"/>
        </w:rPr>
        <w:t>Visaruthvong</w:t>
      </w:r>
      <w:proofErr w:type="spellEnd"/>
      <w:r w:rsidRPr="008269E4">
        <w:rPr>
          <w:rFonts w:ascii="Times New Roman" w:eastAsiaTheme="minorEastAsia" w:hAnsi="Times New Roman" w:cs="Times New Roman"/>
          <w:sz w:val="24"/>
          <w:szCs w:val="24"/>
        </w:rPr>
        <w:t xml:space="preserve">, B. M </w:t>
      </w:r>
      <w:proofErr w:type="spellStart"/>
      <w:r w:rsidRPr="008269E4">
        <w:rPr>
          <w:rFonts w:ascii="Times New Roman" w:eastAsiaTheme="minorEastAsia" w:hAnsi="Times New Roman" w:cs="Times New Roman"/>
          <w:sz w:val="24"/>
          <w:szCs w:val="24"/>
        </w:rPr>
        <w:t>Popkin</w:t>
      </w:r>
      <w:proofErr w:type="spellEnd"/>
      <w:r w:rsidRPr="008269E4">
        <w:rPr>
          <w:rFonts w:ascii="Times New Roman" w:eastAsiaTheme="minorEastAsia" w:hAnsi="Times New Roman" w:cs="Times New Roman"/>
          <w:sz w:val="24"/>
          <w:szCs w:val="24"/>
        </w:rPr>
        <w:t>, &amp;</w:t>
      </w:r>
      <w:proofErr w:type="spellStart"/>
      <w:r w:rsidRPr="008269E4">
        <w:rPr>
          <w:rFonts w:ascii="Times New Roman" w:eastAsiaTheme="minorEastAsia" w:hAnsi="Times New Roman" w:cs="Times New Roman"/>
          <w:sz w:val="24"/>
          <w:szCs w:val="24"/>
        </w:rPr>
        <w:t>R.Nugent</w:t>
      </w:r>
      <w:proofErr w:type="spellEnd"/>
      <w:r w:rsidRPr="008269E4">
        <w:rPr>
          <w:rFonts w:ascii="Times New Roman" w:eastAsiaTheme="minorEastAsia" w:hAnsi="Times New Roman" w:cs="Times New Roman"/>
          <w:sz w:val="24"/>
          <w:szCs w:val="24"/>
        </w:rPr>
        <w:t xml:space="preserve"> (2018) “Equity Impacts of Price Policies to Promote Healthy Behaviours”, </w:t>
      </w:r>
      <w:r w:rsidRPr="008269E4">
        <w:rPr>
          <w:rFonts w:ascii="Times New Roman" w:eastAsiaTheme="minorEastAsia" w:hAnsi="Times New Roman" w:cs="Times New Roman"/>
          <w:i/>
          <w:iCs/>
          <w:sz w:val="24"/>
          <w:szCs w:val="24"/>
        </w:rPr>
        <w:t xml:space="preserve">Lancet, </w:t>
      </w:r>
      <w:r w:rsidRPr="008269E4">
        <w:rPr>
          <w:rFonts w:ascii="Times New Roman" w:eastAsiaTheme="minorEastAsia" w:hAnsi="Times New Roman" w:cs="Times New Roman"/>
          <w:sz w:val="24"/>
          <w:szCs w:val="24"/>
        </w:rPr>
        <w:t>May 19; 391, 2059–2070.</w:t>
      </w:r>
    </w:p>
    <w:p w14:paraId="16CBE544" w14:textId="77777777" w:rsidR="00E95D90"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Sen, Amartya &amp; J. </w:t>
      </w:r>
      <w:proofErr w:type="spellStart"/>
      <w:r w:rsidRPr="008269E4">
        <w:rPr>
          <w:rFonts w:ascii="Times New Roman" w:eastAsiaTheme="minorEastAsia" w:hAnsi="Times New Roman" w:cs="Times New Roman"/>
          <w:sz w:val="24"/>
          <w:szCs w:val="24"/>
        </w:rPr>
        <w:t>Dreze</w:t>
      </w:r>
      <w:proofErr w:type="spellEnd"/>
      <w:r w:rsidRPr="008269E4">
        <w:rPr>
          <w:rFonts w:ascii="Times New Roman" w:eastAsiaTheme="minorEastAsia" w:hAnsi="Times New Roman" w:cs="Times New Roman"/>
          <w:sz w:val="24"/>
          <w:szCs w:val="24"/>
        </w:rPr>
        <w:t xml:space="preserve"> (1995) </w:t>
      </w:r>
      <w:r w:rsidRPr="008269E4">
        <w:rPr>
          <w:rFonts w:ascii="Times New Roman" w:eastAsiaTheme="minorEastAsia" w:hAnsi="Times New Roman" w:cs="Times New Roman"/>
          <w:i/>
          <w:sz w:val="24"/>
          <w:szCs w:val="24"/>
        </w:rPr>
        <w:t>India: Economic Development and Social Opportunity</w:t>
      </w:r>
      <w:r w:rsidRPr="008269E4">
        <w:rPr>
          <w:rFonts w:ascii="Times New Roman" w:eastAsiaTheme="minorEastAsia" w:hAnsi="Times New Roman" w:cs="Times New Roman"/>
          <w:sz w:val="24"/>
          <w:szCs w:val="24"/>
        </w:rPr>
        <w:t>, Oxford: Clarendon Press.</w:t>
      </w:r>
    </w:p>
    <w:p w14:paraId="27272511" w14:textId="77777777" w:rsidR="00FE7D7F" w:rsidRPr="008269E4" w:rsidRDefault="00FE7D7F" w:rsidP="00E95D90">
      <w:pPr>
        <w:jc w:val="both"/>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 xml:space="preserve">Sen, Amartya (1985) </w:t>
      </w:r>
      <w:r w:rsidRPr="00FE7D7F">
        <w:rPr>
          <w:rFonts w:ascii="Times New Roman" w:eastAsiaTheme="minorEastAsia" w:hAnsi="Times New Roman" w:cs="Times New Roman"/>
          <w:i/>
          <w:sz w:val="24"/>
          <w:szCs w:val="24"/>
        </w:rPr>
        <w:t>Commodities and Capabilities</w:t>
      </w:r>
      <w:r>
        <w:rPr>
          <w:rFonts w:ascii="Times New Roman" w:eastAsiaTheme="minorEastAsia" w:hAnsi="Times New Roman" w:cs="Times New Roman"/>
          <w:sz w:val="24"/>
          <w:szCs w:val="24"/>
        </w:rPr>
        <w:t>, Amsterdam, North Holland.</w:t>
      </w:r>
      <w:proofErr w:type="gramEnd"/>
    </w:p>
    <w:p w14:paraId="23C5CA56" w14:textId="77777777" w:rsidR="00E95D90" w:rsidRPr="008269E4" w:rsidRDefault="00E95D90" w:rsidP="00E95D90">
      <w:pPr>
        <w:jc w:val="both"/>
        <w:rPr>
          <w:rFonts w:ascii="Times New Roman" w:eastAsiaTheme="minorEastAsia" w:hAnsi="Times New Roman" w:cs="Times New Roman"/>
          <w:bCs/>
          <w:sz w:val="24"/>
          <w:szCs w:val="24"/>
        </w:rPr>
      </w:pPr>
      <w:r w:rsidRPr="008269E4">
        <w:rPr>
          <w:rFonts w:ascii="Times New Roman" w:eastAsiaTheme="minorEastAsia" w:hAnsi="Times New Roman" w:cs="Times New Roman"/>
          <w:bCs/>
          <w:sz w:val="24"/>
          <w:szCs w:val="24"/>
        </w:rPr>
        <w:t xml:space="preserve">Spears, D. (2016) “Caste and Life Satisfaction in Rural North India”, </w:t>
      </w:r>
      <w:r w:rsidRPr="008269E4">
        <w:rPr>
          <w:rFonts w:ascii="Times New Roman" w:eastAsiaTheme="minorEastAsia" w:hAnsi="Times New Roman" w:cs="Times New Roman"/>
          <w:bCs/>
          <w:i/>
          <w:sz w:val="24"/>
          <w:szCs w:val="24"/>
        </w:rPr>
        <w:t>Economic and Political Weekly</w:t>
      </w:r>
      <w:r w:rsidRPr="008269E4">
        <w:rPr>
          <w:rFonts w:ascii="Times New Roman" w:eastAsiaTheme="minorEastAsia" w:hAnsi="Times New Roman" w:cs="Times New Roman"/>
          <w:bCs/>
          <w:sz w:val="24"/>
          <w:szCs w:val="24"/>
        </w:rPr>
        <w:t xml:space="preserve">, January 23. </w:t>
      </w:r>
    </w:p>
    <w:p w14:paraId="75F00407" w14:textId="77777777" w:rsidR="00E95D90" w:rsidRPr="008269E4" w:rsidRDefault="00E95D90" w:rsidP="00E95D90">
      <w:pPr>
        <w:jc w:val="both"/>
        <w:rPr>
          <w:rFonts w:ascii="Times New Roman" w:eastAsiaTheme="minorEastAsia" w:hAnsi="Times New Roman" w:cs="Times New Roman"/>
          <w:sz w:val="24"/>
          <w:szCs w:val="24"/>
        </w:rPr>
      </w:pPr>
      <w:r w:rsidRPr="008269E4">
        <w:rPr>
          <w:rFonts w:ascii="Times New Roman" w:eastAsiaTheme="minorEastAsia" w:hAnsi="Times New Roman" w:cs="Times New Roman"/>
          <w:sz w:val="24"/>
          <w:szCs w:val="24"/>
        </w:rPr>
        <w:t xml:space="preserve">Stigler, G. (1971). </w:t>
      </w:r>
      <w:proofErr w:type="gramStart"/>
      <w:r w:rsidRPr="008269E4">
        <w:rPr>
          <w:rFonts w:ascii="Times New Roman" w:eastAsiaTheme="minorEastAsia" w:hAnsi="Times New Roman" w:cs="Times New Roman"/>
          <w:sz w:val="24"/>
          <w:szCs w:val="24"/>
        </w:rPr>
        <w:t xml:space="preserve">“The theory of economic regulation”, </w:t>
      </w:r>
      <w:r w:rsidRPr="008269E4">
        <w:rPr>
          <w:rFonts w:ascii="Times New Roman" w:eastAsiaTheme="minorEastAsia" w:hAnsi="Times New Roman" w:cs="Times New Roman"/>
          <w:i/>
          <w:iCs/>
          <w:sz w:val="24"/>
          <w:szCs w:val="24"/>
        </w:rPr>
        <w:t>Bell J. Econ.</w:t>
      </w:r>
      <w:proofErr w:type="gramEnd"/>
      <w:r w:rsidRPr="008269E4">
        <w:rPr>
          <w:rFonts w:ascii="Times New Roman" w:eastAsiaTheme="minorEastAsia" w:hAnsi="Times New Roman" w:cs="Times New Roman"/>
          <w:i/>
          <w:iCs/>
          <w:sz w:val="24"/>
          <w:szCs w:val="24"/>
        </w:rPr>
        <w:t xml:space="preserve"> Man. Sci</w:t>
      </w:r>
      <w:r w:rsidRPr="008269E4">
        <w:rPr>
          <w:rFonts w:ascii="Times New Roman" w:eastAsiaTheme="minorEastAsia" w:hAnsi="Times New Roman" w:cs="Times New Roman"/>
          <w:sz w:val="24"/>
          <w:szCs w:val="24"/>
        </w:rPr>
        <w:t>. 2:3-21.</w:t>
      </w:r>
    </w:p>
    <w:p w14:paraId="13D788FE" w14:textId="77777777" w:rsidR="00E95D90" w:rsidRPr="008269E4" w:rsidRDefault="00E95D90" w:rsidP="00E95D90">
      <w:pPr>
        <w:jc w:val="both"/>
        <w:rPr>
          <w:rFonts w:ascii="Times New Roman" w:eastAsiaTheme="minorEastAsia" w:hAnsi="Times New Roman" w:cs="Times New Roman"/>
          <w:sz w:val="24"/>
          <w:szCs w:val="24"/>
        </w:rPr>
      </w:pPr>
      <w:proofErr w:type="spellStart"/>
      <w:proofErr w:type="gramStart"/>
      <w:r w:rsidRPr="008269E4">
        <w:rPr>
          <w:rFonts w:ascii="Times New Roman" w:eastAsiaTheme="minorEastAsia" w:hAnsi="Times New Roman" w:cs="Times New Roman"/>
          <w:sz w:val="24"/>
          <w:szCs w:val="24"/>
        </w:rPr>
        <w:t>Stutzer</w:t>
      </w:r>
      <w:proofErr w:type="spellEnd"/>
      <w:r w:rsidRPr="008269E4">
        <w:rPr>
          <w:rFonts w:ascii="Times New Roman" w:eastAsiaTheme="minorEastAsia" w:hAnsi="Times New Roman" w:cs="Times New Roman"/>
          <w:sz w:val="24"/>
          <w:szCs w:val="24"/>
        </w:rPr>
        <w:t>, A.</w:t>
      </w:r>
      <w:proofErr w:type="gramEnd"/>
      <w:r w:rsidRPr="008269E4">
        <w:rPr>
          <w:rFonts w:ascii="Times New Roman" w:eastAsiaTheme="minorEastAsia" w:hAnsi="Times New Roman" w:cs="Times New Roman"/>
          <w:sz w:val="24"/>
          <w:szCs w:val="24"/>
        </w:rPr>
        <w:t xml:space="preserve">  (2004) “The role of income aspirations in individual happiness”, </w:t>
      </w:r>
      <w:hyperlink r:id="rId20" w:history="1">
        <w:r w:rsidRPr="008269E4">
          <w:rPr>
            <w:rStyle w:val="Hyperlink"/>
            <w:rFonts w:ascii="Times New Roman" w:eastAsiaTheme="minorEastAsia" w:hAnsi="Times New Roman" w:cs="Times New Roman"/>
            <w:i/>
            <w:iCs/>
            <w:sz w:val="24"/>
            <w:szCs w:val="24"/>
          </w:rPr>
          <w:t xml:space="preserve">Journal of Economic </w:t>
        </w:r>
        <w:proofErr w:type="spellStart"/>
        <w:r w:rsidRPr="008269E4">
          <w:rPr>
            <w:rStyle w:val="Hyperlink"/>
            <w:rFonts w:ascii="Times New Roman" w:eastAsiaTheme="minorEastAsia" w:hAnsi="Times New Roman" w:cs="Times New Roman"/>
            <w:i/>
            <w:iCs/>
            <w:sz w:val="24"/>
            <w:szCs w:val="24"/>
          </w:rPr>
          <w:t>Behavior</w:t>
        </w:r>
        <w:proofErr w:type="spellEnd"/>
        <w:r w:rsidRPr="008269E4">
          <w:rPr>
            <w:rStyle w:val="Hyperlink"/>
            <w:rFonts w:ascii="Times New Roman" w:eastAsiaTheme="minorEastAsia" w:hAnsi="Times New Roman" w:cs="Times New Roman"/>
            <w:i/>
            <w:iCs/>
            <w:sz w:val="24"/>
            <w:szCs w:val="24"/>
          </w:rPr>
          <w:t>&amp; Organization</w:t>
        </w:r>
      </w:hyperlink>
      <w:r w:rsidRPr="008269E4">
        <w:rPr>
          <w:rFonts w:ascii="Times New Roman" w:eastAsiaTheme="minorEastAsia" w:hAnsi="Times New Roman" w:cs="Times New Roman"/>
          <w:sz w:val="24"/>
          <w:szCs w:val="24"/>
        </w:rPr>
        <w:t>, vol. 54, issue 1, 89-109.</w:t>
      </w:r>
    </w:p>
    <w:p w14:paraId="4EAF22E8" w14:textId="77777777" w:rsidR="003D05AC" w:rsidRDefault="00E95D90" w:rsidP="00E95D90">
      <w:pPr>
        <w:jc w:val="both"/>
        <w:rPr>
          <w:rFonts w:ascii="Times New Roman" w:eastAsiaTheme="minorEastAsia" w:hAnsi="Times New Roman" w:cs="Times New Roman"/>
          <w:sz w:val="24"/>
          <w:szCs w:val="24"/>
        </w:rPr>
      </w:pPr>
      <w:proofErr w:type="spellStart"/>
      <w:r w:rsidRPr="008269E4">
        <w:rPr>
          <w:rFonts w:ascii="Times New Roman" w:eastAsiaTheme="minorEastAsia" w:hAnsi="Times New Roman" w:cs="Times New Roman"/>
          <w:sz w:val="24"/>
          <w:szCs w:val="24"/>
        </w:rPr>
        <w:t>Wade</w:t>
      </w:r>
      <w:proofErr w:type="gramStart"/>
      <w:r w:rsidRPr="008269E4">
        <w:rPr>
          <w:rFonts w:ascii="Times New Roman" w:eastAsiaTheme="minorEastAsia" w:hAnsi="Times New Roman" w:cs="Times New Roman"/>
          <w:sz w:val="24"/>
          <w:szCs w:val="24"/>
        </w:rPr>
        <w:t>,R</w:t>
      </w:r>
      <w:proofErr w:type="spellEnd"/>
      <w:proofErr w:type="gramEnd"/>
      <w:r w:rsidRPr="008269E4">
        <w:rPr>
          <w:rFonts w:ascii="Times New Roman" w:eastAsiaTheme="minorEastAsia" w:hAnsi="Times New Roman" w:cs="Times New Roman"/>
          <w:sz w:val="24"/>
          <w:szCs w:val="24"/>
        </w:rPr>
        <w:t xml:space="preserve">. (1988) </w:t>
      </w:r>
      <w:r w:rsidRPr="008269E4">
        <w:rPr>
          <w:rFonts w:ascii="Times New Roman" w:eastAsiaTheme="minorEastAsia" w:hAnsi="Times New Roman" w:cs="Times New Roman"/>
          <w:i/>
          <w:sz w:val="24"/>
          <w:szCs w:val="24"/>
        </w:rPr>
        <w:t>Village Republics: Economic Conditions for Collective Action in South India</w:t>
      </w:r>
      <w:r w:rsidRPr="008269E4">
        <w:rPr>
          <w:rFonts w:ascii="Times New Roman" w:eastAsiaTheme="minorEastAsia" w:hAnsi="Times New Roman" w:cs="Times New Roman"/>
          <w:sz w:val="24"/>
          <w:szCs w:val="24"/>
        </w:rPr>
        <w:t>, Cambridge: Cambridge University Press.</w:t>
      </w:r>
      <w:r w:rsidR="003D05AC">
        <w:rPr>
          <w:rFonts w:ascii="Times New Roman" w:eastAsiaTheme="minorEastAsia" w:hAnsi="Times New Roman" w:cs="Times New Roman"/>
          <w:sz w:val="24"/>
          <w:szCs w:val="24"/>
        </w:rPr>
        <w:br w:type="page"/>
      </w:r>
    </w:p>
    <w:p w14:paraId="2FDB05AF" w14:textId="77777777" w:rsidR="00E95D90" w:rsidRPr="00B47C10" w:rsidRDefault="00E95D90" w:rsidP="00E95D90">
      <w:pPr>
        <w:jc w:val="both"/>
        <w:rPr>
          <w:rFonts w:ascii="Times New Roman" w:eastAsiaTheme="minorEastAsia" w:hAnsi="Times New Roman" w:cs="Times New Roman"/>
          <w:b/>
        </w:rPr>
      </w:pPr>
      <w:r w:rsidRPr="004D185D">
        <w:rPr>
          <w:rFonts w:ascii="Times New Roman" w:eastAsiaTheme="minorEastAsia" w:hAnsi="Times New Roman" w:cs="Times New Roman"/>
          <w:b/>
        </w:rPr>
        <w:lastRenderedPageBreak/>
        <w:t xml:space="preserve">Appendix </w:t>
      </w:r>
      <w:r>
        <w:rPr>
          <w:rFonts w:ascii="Times New Roman" w:eastAsiaTheme="minorEastAsia" w:hAnsi="Times New Roman" w:cs="Times New Roman"/>
          <w:b/>
          <w:lang w:val="en-US"/>
        </w:rPr>
        <w:t xml:space="preserve">Table </w:t>
      </w:r>
      <w:r w:rsidRPr="004D11EF">
        <w:rPr>
          <w:rFonts w:ascii="Times New Roman" w:eastAsiaTheme="minorEastAsia" w:hAnsi="Times New Roman" w:cs="Times New Roman"/>
          <w:b/>
          <w:lang w:val="en-US"/>
        </w:rPr>
        <w:t>A.</w:t>
      </w:r>
      <w:r>
        <w:rPr>
          <w:rFonts w:ascii="Times New Roman" w:eastAsiaTheme="minorEastAsia" w:hAnsi="Times New Roman" w:cs="Times New Roman"/>
          <w:b/>
          <w:lang w:val="en-US"/>
        </w:rPr>
        <w:t>1</w:t>
      </w:r>
      <w:r w:rsidRPr="00B47C10">
        <w:rPr>
          <w:rFonts w:ascii="Times New Roman" w:eastAsiaTheme="minorEastAsia" w:hAnsi="Times New Roman" w:cs="Times New Roman"/>
          <w:b/>
        </w:rPr>
        <w:t>: Robust OLS – The Growth Rate of Real Household Consumption Per Capita in 2005-12</w:t>
      </w:r>
    </w:p>
    <w:tbl>
      <w:tblPr>
        <w:tblW w:w="7311" w:type="dxa"/>
        <w:jc w:val="center"/>
        <w:tblLayout w:type="fixed"/>
        <w:tblCellMar>
          <w:left w:w="75" w:type="dxa"/>
          <w:right w:w="75" w:type="dxa"/>
        </w:tblCellMar>
        <w:tblLook w:val="0000" w:firstRow="0" w:lastRow="0" w:firstColumn="0" w:lastColumn="0" w:noHBand="0" w:noVBand="0"/>
      </w:tblPr>
      <w:tblGrid>
        <w:gridCol w:w="4611"/>
        <w:gridCol w:w="1350"/>
        <w:gridCol w:w="1350"/>
      </w:tblGrid>
      <w:tr w:rsidR="00E95D90" w:rsidRPr="00471862" w14:paraId="7705AA41" w14:textId="77777777" w:rsidTr="000C41DE">
        <w:trPr>
          <w:trHeight w:val="144"/>
          <w:jc w:val="center"/>
        </w:trPr>
        <w:tc>
          <w:tcPr>
            <w:tcW w:w="4611" w:type="dxa"/>
            <w:tcBorders>
              <w:top w:val="single" w:sz="4" w:space="0" w:color="auto"/>
              <w:left w:val="nil"/>
              <w:bottom w:val="single" w:sz="6" w:space="0" w:color="auto"/>
              <w:right w:val="nil"/>
            </w:tcBorders>
          </w:tcPr>
          <w:p w14:paraId="0075D788"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VARIABLES</w:t>
            </w:r>
          </w:p>
        </w:tc>
        <w:tc>
          <w:tcPr>
            <w:tcW w:w="1350" w:type="dxa"/>
            <w:tcBorders>
              <w:top w:val="single" w:sz="4" w:space="0" w:color="auto"/>
              <w:left w:val="nil"/>
              <w:bottom w:val="single" w:sz="6" w:space="0" w:color="auto"/>
              <w:right w:val="nil"/>
            </w:tcBorders>
          </w:tcPr>
          <w:p w14:paraId="43DA1E6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Coefficient</w:t>
            </w:r>
          </w:p>
        </w:tc>
        <w:tc>
          <w:tcPr>
            <w:tcW w:w="1350" w:type="dxa"/>
            <w:tcBorders>
              <w:top w:val="single" w:sz="4" w:space="0" w:color="auto"/>
              <w:left w:val="nil"/>
              <w:bottom w:val="single" w:sz="6" w:space="0" w:color="auto"/>
              <w:right w:val="nil"/>
            </w:tcBorders>
          </w:tcPr>
          <w:p w14:paraId="21CE00E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Robust Std. Err</w:t>
            </w:r>
          </w:p>
        </w:tc>
      </w:tr>
      <w:tr w:rsidR="000C41DE" w:rsidRPr="00471862" w14:paraId="4BAA9880" w14:textId="77777777" w:rsidTr="000C41DE">
        <w:trPr>
          <w:trHeight w:val="144"/>
          <w:jc w:val="center"/>
        </w:trPr>
        <w:tc>
          <w:tcPr>
            <w:tcW w:w="7311" w:type="dxa"/>
            <w:gridSpan w:val="3"/>
            <w:tcBorders>
              <w:top w:val="single" w:sz="6" w:space="0" w:color="auto"/>
              <w:left w:val="nil"/>
              <w:bottom w:val="single" w:sz="4" w:space="0" w:color="auto"/>
              <w:right w:val="nil"/>
            </w:tcBorders>
          </w:tcPr>
          <w:p w14:paraId="2F6187FC" w14:textId="77777777" w:rsidR="000C41DE" w:rsidRPr="000C41DE" w:rsidRDefault="000C41DE" w:rsidP="000C41DE">
            <w:pPr>
              <w:pStyle w:val="ListParagraph"/>
              <w:widowControl w:val="0"/>
              <w:numPr>
                <w:ilvl w:val="0"/>
                <w:numId w:val="14"/>
              </w:numPr>
              <w:tabs>
                <w:tab w:val="left" w:pos="4680"/>
              </w:tabs>
              <w:autoSpaceDE w:val="0"/>
              <w:autoSpaceDN w:val="0"/>
              <w:adjustRightInd w:val="0"/>
              <w:spacing w:after="0" w:line="240" w:lineRule="auto"/>
              <w:rPr>
                <w:rFonts w:ascii="Arial" w:hAnsi="Arial" w:cs="Arial"/>
                <w:b/>
                <w:i/>
                <w:sz w:val="16"/>
                <w:szCs w:val="16"/>
              </w:rPr>
            </w:pPr>
            <w:r w:rsidRPr="000C41DE">
              <w:rPr>
                <w:rFonts w:ascii="Arial" w:hAnsi="Arial" w:cs="Arial"/>
                <w:b/>
                <w:i/>
                <w:sz w:val="16"/>
                <w:szCs w:val="16"/>
              </w:rPr>
              <w:t>Individual and Household Characteristics (2005)  and the location of households</w:t>
            </w:r>
          </w:p>
        </w:tc>
      </w:tr>
      <w:tr w:rsidR="00E95D90" w:rsidRPr="00471862" w14:paraId="1915424C" w14:textId="77777777" w:rsidTr="000C41DE">
        <w:trPr>
          <w:trHeight w:val="144"/>
          <w:jc w:val="center"/>
        </w:trPr>
        <w:tc>
          <w:tcPr>
            <w:tcW w:w="4611" w:type="dxa"/>
            <w:tcBorders>
              <w:top w:val="single" w:sz="4" w:space="0" w:color="auto"/>
              <w:left w:val="nil"/>
              <w:bottom w:val="nil"/>
              <w:right w:val="nil"/>
            </w:tcBorders>
          </w:tcPr>
          <w:p w14:paraId="6AA94B0D"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Gender</w:t>
            </w:r>
          </w:p>
        </w:tc>
        <w:tc>
          <w:tcPr>
            <w:tcW w:w="1350" w:type="dxa"/>
            <w:tcBorders>
              <w:top w:val="single" w:sz="4" w:space="0" w:color="auto"/>
              <w:left w:val="nil"/>
              <w:bottom w:val="nil"/>
              <w:right w:val="nil"/>
            </w:tcBorders>
          </w:tcPr>
          <w:p w14:paraId="7BB128C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5676728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5CEEE58B" w14:textId="77777777" w:rsidTr="00ED532F">
        <w:trPr>
          <w:trHeight w:val="144"/>
          <w:jc w:val="center"/>
        </w:trPr>
        <w:tc>
          <w:tcPr>
            <w:tcW w:w="4611" w:type="dxa"/>
            <w:tcBorders>
              <w:top w:val="nil"/>
              <w:left w:val="nil"/>
              <w:bottom w:val="nil"/>
              <w:right w:val="nil"/>
            </w:tcBorders>
          </w:tcPr>
          <w:p w14:paraId="5F9D247D"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Female</w:t>
            </w:r>
          </w:p>
        </w:tc>
        <w:tc>
          <w:tcPr>
            <w:tcW w:w="1350" w:type="dxa"/>
            <w:tcBorders>
              <w:top w:val="nil"/>
              <w:left w:val="nil"/>
              <w:bottom w:val="nil"/>
              <w:right w:val="nil"/>
            </w:tcBorders>
          </w:tcPr>
          <w:p w14:paraId="2A8DC92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-0.0280</w:t>
            </w:r>
          </w:p>
        </w:tc>
        <w:tc>
          <w:tcPr>
            <w:tcW w:w="1350" w:type="dxa"/>
            <w:tcBorders>
              <w:top w:val="nil"/>
              <w:left w:val="nil"/>
              <w:bottom w:val="nil"/>
              <w:right w:val="nil"/>
            </w:tcBorders>
          </w:tcPr>
          <w:p w14:paraId="1C6B56D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(0.0646)</w:t>
            </w:r>
          </w:p>
        </w:tc>
      </w:tr>
      <w:tr w:rsidR="00E95D90" w:rsidRPr="00471862" w14:paraId="2BF4514C" w14:textId="77777777" w:rsidTr="00ED532F">
        <w:trPr>
          <w:trHeight w:val="144"/>
          <w:jc w:val="center"/>
        </w:trPr>
        <w:tc>
          <w:tcPr>
            <w:tcW w:w="4611" w:type="dxa"/>
            <w:tcBorders>
              <w:top w:val="nil"/>
              <w:left w:val="nil"/>
              <w:bottom w:val="nil"/>
              <w:right w:val="nil"/>
            </w:tcBorders>
          </w:tcPr>
          <w:p w14:paraId="53E9003A"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Marital Status</w:t>
            </w:r>
          </w:p>
        </w:tc>
        <w:tc>
          <w:tcPr>
            <w:tcW w:w="1350" w:type="dxa"/>
            <w:tcBorders>
              <w:top w:val="nil"/>
              <w:left w:val="nil"/>
              <w:bottom w:val="nil"/>
              <w:right w:val="nil"/>
            </w:tcBorders>
          </w:tcPr>
          <w:p w14:paraId="2CBA9F2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0E77FB67"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41D792B4" w14:textId="77777777" w:rsidTr="00ED532F">
        <w:trPr>
          <w:trHeight w:val="144"/>
          <w:jc w:val="center"/>
        </w:trPr>
        <w:tc>
          <w:tcPr>
            <w:tcW w:w="4611" w:type="dxa"/>
            <w:tcBorders>
              <w:top w:val="nil"/>
              <w:left w:val="nil"/>
              <w:bottom w:val="nil"/>
              <w:right w:val="nil"/>
            </w:tcBorders>
          </w:tcPr>
          <w:p w14:paraId="56DF90E6"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Unmarried</w:t>
            </w:r>
          </w:p>
        </w:tc>
        <w:tc>
          <w:tcPr>
            <w:tcW w:w="1350" w:type="dxa"/>
            <w:tcBorders>
              <w:top w:val="nil"/>
              <w:left w:val="nil"/>
              <w:bottom w:val="nil"/>
              <w:right w:val="nil"/>
            </w:tcBorders>
          </w:tcPr>
          <w:p w14:paraId="59C69B8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0.161</w:t>
            </w:r>
          </w:p>
        </w:tc>
        <w:tc>
          <w:tcPr>
            <w:tcW w:w="1350" w:type="dxa"/>
            <w:tcBorders>
              <w:top w:val="nil"/>
              <w:left w:val="nil"/>
              <w:bottom w:val="nil"/>
              <w:right w:val="nil"/>
            </w:tcBorders>
          </w:tcPr>
          <w:p w14:paraId="334A3B7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(0.108)</w:t>
            </w:r>
          </w:p>
        </w:tc>
      </w:tr>
      <w:tr w:rsidR="00E95D90" w:rsidRPr="00471862" w14:paraId="28814F10" w14:textId="77777777" w:rsidTr="00ED532F">
        <w:trPr>
          <w:trHeight w:val="144"/>
          <w:jc w:val="center"/>
        </w:trPr>
        <w:tc>
          <w:tcPr>
            <w:tcW w:w="4611" w:type="dxa"/>
            <w:tcBorders>
              <w:top w:val="nil"/>
              <w:left w:val="nil"/>
              <w:bottom w:val="nil"/>
              <w:right w:val="nil"/>
            </w:tcBorders>
          </w:tcPr>
          <w:p w14:paraId="0623DAC3"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Widowed/Divorced</w:t>
            </w:r>
          </w:p>
        </w:tc>
        <w:tc>
          <w:tcPr>
            <w:tcW w:w="1350" w:type="dxa"/>
            <w:tcBorders>
              <w:top w:val="nil"/>
              <w:left w:val="nil"/>
              <w:bottom w:val="nil"/>
              <w:right w:val="nil"/>
            </w:tcBorders>
          </w:tcPr>
          <w:p w14:paraId="288C1660"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-0.0137</w:t>
            </w:r>
          </w:p>
        </w:tc>
        <w:tc>
          <w:tcPr>
            <w:tcW w:w="1350" w:type="dxa"/>
            <w:tcBorders>
              <w:top w:val="nil"/>
              <w:left w:val="nil"/>
              <w:bottom w:val="nil"/>
              <w:right w:val="nil"/>
            </w:tcBorders>
          </w:tcPr>
          <w:p w14:paraId="214328CF"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(0.0640)</w:t>
            </w:r>
          </w:p>
        </w:tc>
      </w:tr>
      <w:tr w:rsidR="00E95D90" w:rsidRPr="00471862" w14:paraId="4FA13DC8" w14:textId="77777777" w:rsidTr="00ED532F">
        <w:trPr>
          <w:trHeight w:val="144"/>
          <w:jc w:val="center"/>
        </w:trPr>
        <w:tc>
          <w:tcPr>
            <w:tcW w:w="4611" w:type="dxa"/>
            <w:tcBorders>
              <w:top w:val="nil"/>
              <w:left w:val="nil"/>
              <w:bottom w:val="nil"/>
              <w:right w:val="nil"/>
            </w:tcBorders>
          </w:tcPr>
          <w:p w14:paraId="03C2E5B1"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Age</w:t>
            </w:r>
          </w:p>
        </w:tc>
        <w:tc>
          <w:tcPr>
            <w:tcW w:w="1350" w:type="dxa"/>
            <w:tcBorders>
              <w:top w:val="nil"/>
              <w:left w:val="nil"/>
              <w:bottom w:val="nil"/>
              <w:right w:val="nil"/>
            </w:tcBorders>
          </w:tcPr>
          <w:p w14:paraId="66F278B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0.0494***</w:t>
            </w:r>
          </w:p>
        </w:tc>
        <w:tc>
          <w:tcPr>
            <w:tcW w:w="1350" w:type="dxa"/>
            <w:tcBorders>
              <w:top w:val="nil"/>
              <w:left w:val="nil"/>
              <w:bottom w:val="nil"/>
              <w:right w:val="nil"/>
            </w:tcBorders>
          </w:tcPr>
          <w:p w14:paraId="7F0DCDE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(0.00739)</w:t>
            </w:r>
          </w:p>
        </w:tc>
      </w:tr>
      <w:tr w:rsidR="00E95D90" w:rsidRPr="00471862" w14:paraId="2E09D25B" w14:textId="77777777" w:rsidTr="00ED532F">
        <w:trPr>
          <w:trHeight w:val="144"/>
          <w:jc w:val="center"/>
        </w:trPr>
        <w:tc>
          <w:tcPr>
            <w:tcW w:w="4611" w:type="dxa"/>
            <w:tcBorders>
              <w:top w:val="nil"/>
              <w:left w:val="nil"/>
              <w:bottom w:val="nil"/>
              <w:right w:val="nil"/>
            </w:tcBorders>
          </w:tcPr>
          <w:p w14:paraId="77CC0F46"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Age*Age</w:t>
            </w:r>
          </w:p>
        </w:tc>
        <w:tc>
          <w:tcPr>
            <w:tcW w:w="1350" w:type="dxa"/>
            <w:tcBorders>
              <w:top w:val="nil"/>
              <w:left w:val="nil"/>
              <w:bottom w:val="nil"/>
              <w:right w:val="nil"/>
            </w:tcBorders>
          </w:tcPr>
          <w:p w14:paraId="6A72E6A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-0.000490***</w:t>
            </w:r>
          </w:p>
        </w:tc>
        <w:tc>
          <w:tcPr>
            <w:tcW w:w="1350" w:type="dxa"/>
            <w:tcBorders>
              <w:top w:val="nil"/>
              <w:left w:val="nil"/>
              <w:bottom w:val="nil"/>
              <w:right w:val="nil"/>
            </w:tcBorders>
          </w:tcPr>
          <w:p w14:paraId="5507F9DF"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(7.82e-05)</w:t>
            </w:r>
          </w:p>
        </w:tc>
      </w:tr>
      <w:tr w:rsidR="00E95D90" w:rsidRPr="00471862" w14:paraId="2FBED96A" w14:textId="77777777" w:rsidTr="00ED532F">
        <w:trPr>
          <w:trHeight w:val="144"/>
          <w:jc w:val="center"/>
        </w:trPr>
        <w:tc>
          <w:tcPr>
            <w:tcW w:w="4611" w:type="dxa"/>
            <w:tcBorders>
              <w:top w:val="nil"/>
              <w:left w:val="nil"/>
              <w:bottom w:val="nil"/>
              <w:right w:val="nil"/>
            </w:tcBorders>
          </w:tcPr>
          <w:p w14:paraId="49D7A794"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Household Size</w:t>
            </w:r>
          </w:p>
        </w:tc>
        <w:tc>
          <w:tcPr>
            <w:tcW w:w="1350" w:type="dxa"/>
            <w:tcBorders>
              <w:top w:val="nil"/>
              <w:left w:val="nil"/>
              <w:bottom w:val="nil"/>
              <w:right w:val="nil"/>
            </w:tcBorders>
          </w:tcPr>
          <w:p w14:paraId="7144AD4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72B89F2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42594610" w14:textId="77777777" w:rsidTr="00ED532F">
        <w:trPr>
          <w:trHeight w:val="144"/>
          <w:jc w:val="center"/>
        </w:trPr>
        <w:tc>
          <w:tcPr>
            <w:tcW w:w="4611" w:type="dxa"/>
            <w:tcBorders>
              <w:top w:val="nil"/>
              <w:left w:val="nil"/>
              <w:bottom w:val="nil"/>
              <w:right w:val="nil"/>
            </w:tcBorders>
          </w:tcPr>
          <w:p w14:paraId="47A7722D"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1 </w:t>
            </w:r>
          </w:p>
        </w:tc>
        <w:tc>
          <w:tcPr>
            <w:tcW w:w="1350" w:type="dxa"/>
            <w:tcBorders>
              <w:top w:val="nil"/>
              <w:left w:val="nil"/>
              <w:bottom w:val="nil"/>
              <w:right w:val="nil"/>
            </w:tcBorders>
          </w:tcPr>
          <w:p w14:paraId="7DD40ACD"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-0.170</w:t>
            </w:r>
          </w:p>
        </w:tc>
        <w:tc>
          <w:tcPr>
            <w:tcW w:w="1350" w:type="dxa"/>
            <w:tcBorders>
              <w:top w:val="nil"/>
              <w:left w:val="nil"/>
              <w:bottom w:val="nil"/>
              <w:right w:val="nil"/>
            </w:tcBorders>
          </w:tcPr>
          <w:p w14:paraId="4AAF4E3D"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(0.104)</w:t>
            </w:r>
          </w:p>
        </w:tc>
      </w:tr>
      <w:tr w:rsidR="00E95D90" w:rsidRPr="00471862" w14:paraId="6B344802" w14:textId="77777777" w:rsidTr="00ED532F">
        <w:trPr>
          <w:trHeight w:val="144"/>
          <w:jc w:val="center"/>
        </w:trPr>
        <w:tc>
          <w:tcPr>
            <w:tcW w:w="4611" w:type="dxa"/>
            <w:tcBorders>
              <w:top w:val="nil"/>
              <w:left w:val="nil"/>
              <w:bottom w:val="nil"/>
              <w:right w:val="nil"/>
            </w:tcBorders>
          </w:tcPr>
          <w:p w14:paraId="75E1ADB9"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&gt;5</w:t>
            </w:r>
          </w:p>
        </w:tc>
        <w:tc>
          <w:tcPr>
            <w:tcW w:w="1350" w:type="dxa"/>
            <w:tcBorders>
              <w:top w:val="nil"/>
              <w:left w:val="nil"/>
              <w:bottom w:val="nil"/>
              <w:right w:val="nil"/>
            </w:tcBorders>
          </w:tcPr>
          <w:p w14:paraId="6DD2913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0.155***</w:t>
            </w:r>
          </w:p>
        </w:tc>
        <w:tc>
          <w:tcPr>
            <w:tcW w:w="1350" w:type="dxa"/>
            <w:tcBorders>
              <w:top w:val="nil"/>
              <w:left w:val="nil"/>
              <w:bottom w:val="nil"/>
              <w:right w:val="nil"/>
            </w:tcBorders>
          </w:tcPr>
          <w:p w14:paraId="421999F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(0.0383)</w:t>
            </w:r>
          </w:p>
        </w:tc>
      </w:tr>
      <w:tr w:rsidR="00E95D90" w:rsidRPr="00471862" w14:paraId="332D9016" w14:textId="77777777" w:rsidTr="00ED532F">
        <w:trPr>
          <w:trHeight w:val="144"/>
          <w:jc w:val="center"/>
        </w:trPr>
        <w:tc>
          <w:tcPr>
            <w:tcW w:w="4611" w:type="dxa"/>
            <w:tcBorders>
              <w:top w:val="nil"/>
              <w:left w:val="nil"/>
              <w:bottom w:val="nil"/>
              <w:right w:val="nil"/>
            </w:tcBorders>
          </w:tcPr>
          <w:p w14:paraId="4FBB662B"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Sector</w:t>
            </w:r>
          </w:p>
        </w:tc>
        <w:tc>
          <w:tcPr>
            <w:tcW w:w="1350" w:type="dxa"/>
            <w:tcBorders>
              <w:top w:val="nil"/>
              <w:left w:val="nil"/>
              <w:bottom w:val="nil"/>
              <w:right w:val="nil"/>
            </w:tcBorders>
          </w:tcPr>
          <w:p w14:paraId="634B59C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5CBF550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05828543" w14:textId="77777777" w:rsidTr="00ED532F">
        <w:trPr>
          <w:trHeight w:val="144"/>
          <w:jc w:val="center"/>
        </w:trPr>
        <w:tc>
          <w:tcPr>
            <w:tcW w:w="4611" w:type="dxa"/>
            <w:tcBorders>
              <w:top w:val="nil"/>
              <w:left w:val="nil"/>
              <w:bottom w:val="nil"/>
              <w:right w:val="nil"/>
            </w:tcBorders>
          </w:tcPr>
          <w:p w14:paraId="75FD6BB7"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Urban</w:t>
            </w:r>
          </w:p>
        </w:tc>
        <w:tc>
          <w:tcPr>
            <w:tcW w:w="1350" w:type="dxa"/>
            <w:tcBorders>
              <w:top w:val="nil"/>
              <w:left w:val="nil"/>
              <w:bottom w:val="nil"/>
              <w:right w:val="nil"/>
            </w:tcBorders>
          </w:tcPr>
          <w:p w14:paraId="161A2F83"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0.102***</w:t>
            </w:r>
          </w:p>
        </w:tc>
        <w:tc>
          <w:tcPr>
            <w:tcW w:w="1350" w:type="dxa"/>
            <w:tcBorders>
              <w:top w:val="nil"/>
              <w:left w:val="nil"/>
              <w:bottom w:val="nil"/>
              <w:right w:val="nil"/>
            </w:tcBorders>
          </w:tcPr>
          <w:p w14:paraId="059D7AF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(0.0298)</w:t>
            </w:r>
          </w:p>
        </w:tc>
      </w:tr>
      <w:tr w:rsidR="00E95D90" w:rsidRPr="00471862" w14:paraId="79B9A52A" w14:textId="77777777" w:rsidTr="00ED532F">
        <w:trPr>
          <w:trHeight w:val="144"/>
          <w:jc w:val="center"/>
        </w:trPr>
        <w:tc>
          <w:tcPr>
            <w:tcW w:w="4611" w:type="dxa"/>
            <w:tcBorders>
              <w:top w:val="nil"/>
              <w:left w:val="nil"/>
              <w:bottom w:val="nil"/>
              <w:right w:val="nil"/>
            </w:tcBorders>
          </w:tcPr>
          <w:p w14:paraId="7B3F0BAA"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Education</w:t>
            </w:r>
          </w:p>
        </w:tc>
        <w:tc>
          <w:tcPr>
            <w:tcW w:w="1350" w:type="dxa"/>
            <w:tcBorders>
              <w:top w:val="nil"/>
              <w:left w:val="nil"/>
              <w:bottom w:val="nil"/>
              <w:right w:val="nil"/>
            </w:tcBorders>
          </w:tcPr>
          <w:p w14:paraId="3CAF7F0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33A91C9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6AE2EEAB" w14:textId="77777777" w:rsidTr="00ED532F">
        <w:trPr>
          <w:trHeight w:val="144"/>
          <w:jc w:val="center"/>
        </w:trPr>
        <w:tc>
          <w:tcPr>
            <w:tcW w:w="4611" w:type="dxa"/>
            <w:tcBorders>
              <w:top w:val="nil"/>
              <w:left w:val="nil"/>
              <w:bottom w:val="nil"/>
              <w:right w:val="nil"/>
            </w:tcBorders>
          </w:tcPr>
          <w:p w14:paraId="620228D4"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1-4</w:t>
            </w:r>
          </w:p>
        </w:tc>
        <w:tc>
          <w:tcPr>
            <w:tcW w:w="1350" w:type="dxa"/>
            <w:tcBorders>
              <w:top w:val="nil"/>
              <w:left w:val="nil"/>
              <w:bottom w:val="nil"/>
              <w:right w:val="nil"/>
            </w:tcBorders>
          </w:tcPr>
          <w:p w14:paraId="07E52E80"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-0.0862**</w:t>
            </w:r>
          </w:p>
        </w:tc>
        <w:tc>
          <w:tcPr>
            <w:tcW w:w="1350" w:type="dxa"/>
            <w:tcBorders>
              <w:top w:val="nil"/>
              <w:left w:val="nil"/>
              <w:bottom w:val="nil"/>
              <w:right w:val="nil"/>
            </w:tcBorders>
          </w:tcPr>
          <w:p w14:paraId="7E35A40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(0.0418)</w:t>
            </w:r>
          </w:p>
        </w:tc>
      </w:tr>
      <w:tr w:rsidR="00E95D90" w:rsidRPr="00471862" w14:paraId="50640D7B" w14:textId="77777777" w:rsidTr="00ED532F">
        <w:trPr>
          <w:trHeight w:val="144"/>
          <w:jc w:val="center"/>
        </w:trPr>
        <w:tc>
          <w:tcPr>
            <w:tcW w:w="4611" w:type="dxa"/>
            <w:tcBorders>
              <w:top w:val="nil"/>
              <w:left w:val="nil"/>
              <w:bottom w:val="nil"/>
              <w:right w:val="nil"/>
            </w:tcBorders>
          </w:tcPr>
          <w:p w14:paraId="1EEB0AA3"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5-8</w:t>
            </w:r>
          </w:p>
        </w:tc>
        <w:tc>
          <w:tcPr>
            <w:tcW w:w="1350" w:type="dxa"/>
            <w:tcBorders>
              <w:top w:val="nil"/>
              <w:left w:val="nil"/>
              <w:bottom w:val="nil"/>
              <w:right w:val="nil"/>
            </w:tcBorders>
          </w:tcPr>
          <w:p w14:paraId="3A03D413"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0.0878**</w:t>
            </w:r>
          </w:p>
        </w:tc>
        <w:tc>
          <w:tcPr>
            <w:tcW w:w="1350" w:type="dxa"/>
            <w:tcBorders>
              <w:top w:val="nil"/>
              <w:left w:val="nil"/>
              <w:bottom w:val="nil"/>
              <w:right w:val="nil"/>
            </w:tcBorders>
          </w:tcPr>
          <w:p w14:paraId="3FEBB3F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(0.0406)</w:t>
            </w:r>
          </w:p>
        </w:tc>
      </w:tr>
      <w:tr w:rsidR="00E95D90" w:rsidRPr="00471862" w14:paraId="2123FF5E" w14:textId="77777777" w:rsidTr="00ED532F">
        <w:trPr>
          <w:trHeight w:val="144"/>
          <w:jc w:val="center"/>
        </w:trPr>
        <w:tc>
          <w:tcPr>
            <w:tcW w:w="4611" w:type="dxa"/>
            <w:tcBorders>
              <w:top w:val="nil"/>
              <w:left w:val="nil"/>
              <w:bottom w:val="nil"/>
              <w:right w:val="nil"/>
            </w:tcBorders>
          </w:tcPr>
          <w:p w14:paraId="2966001A"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9-10</w:t>
            </w:r>
          </w:p>
        </w:tc>
        <w:tc>
          <w:tcPr>
            <w:tcW w:w="1350" w:type="dxa"/>
            <w:tcBorders>
              <w:top w:val="nil"/>
              <w:left w:val="nil"/>
              <w:bottom w:val="nil"/>
              <w:right w:val="nil"/>
            </w:tcBorders>
          </w:tcPr>
          <w:p w14:paraId="491EA5CF"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0.156***</w:t>
            </w:r>
          </w:p>
        </w:tc>
        <w:tc>
          <w:tcPr>
            <w:tcW w:w="1350" w:type="dxa"/>
            <w:tcBorders>
              <w:top w:val="nil"/>
              <w:left w:val="nil"/>
              <w:bottom w:val="nil"/>
              <w:right w:val="nil"/>
            </w:tcBorders>
          </w:tcPr>
          <w:p w14:paraId="37CBD12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(0.0544)</w:t>
            </w:r>
          </w:p>
        </w:tc>
      </w:tr>
      <w:tr w:rsidR="00E95D90" w:rsidRPr="00471862" w14:paraId="609FB1BA" w14:textId="77777777" w:rsidTr="00ED532F">
        <w:trPr>
          <w:trHeight w:val="144"/>
          <w:jc w:val="center"/>
        </w:trPr>
        <w:tc>
          <w:tcPr>
            <w:tcW w:w="4611" w:type="dxa"/>
            <w:tcBorders>
              <w:top w:val="nil"/>
              <w:left w:val="nil"/>
              <w:bottom w:val="nil"/>
              <w:right w:val="nil"/>
            </w:tcBorders>
          </w:tcPr>
          <w:p w14:paraId="7D087B15"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&gt;10</w:t>
            </w:r>
          </w:p>
        </w:tc>
        <w:tc>
          <w:tcPr>
            <w:tcW w:w="1350" w:type="dxa"/>
            <w:tcBorders>
              <w:top w:val="nil"/>
              <w:left w:val="nil"/>
              <w:bottom w:val="nil"/>
              <w:right w:val="nil"/>
            </w:tcBorders>
          </w:tcPr>
          <w:p w14:paraId="4966CED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0.334***</w:t>
            </w:r>
          </w:p>
        </w:tc>
        <w:tc>
          <w:tcPr>
            <w:tcW w:w="1350" w:type="dxa"/>
            <w:tcBorders>
              <w:top w:val="nil"/>
              <w:left w:val="nil"/>
              <w:bottom w:val="nil"/>
              <w:right w:val="nil"/>
            </w:tcBorders>
          </w:tcPr>
          <w:p w14:paraId="0819CB7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(0.0454)</w:t>
            </w:r>
          </w:p>
        </w:tc>
      </w:tr>
      <w:tr w:rsidR="00E95D90" w:rsidRPr="00471862" w14:paraId="045E179A" w14:textId="77777777" w:rsidTr="00ED532F">
        <w:trPr>
          <w:trHeight w:val="144"/>
          <w:jc w:val="center"/>
        </w:trPr>
        <w:tc>
          <w:tcPr>
            <w:tcW w:w="4611" w:type="dxa"/>
            <w:tcBorders>
              <w:top w:val="nil"/>
              <w:left w:val="nil"/>
              <w:bottom w:val="nil"/>
              <w:right w:val="nil"/>
            </w:tcBorders>
          </w:tcPr>
          <w:p w14:paraId="6972256D"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Religion</w:t>
            </w:r>
          </w:p>
        </w:tc>
        <w:tc>
          <w:tcPr>
            <w:tcW w:w="1350" w:type="dxa"/>
            <w:tcBorders>
              <w:top w:val="nil"/>
              <w:left w:val="nil"/>
              <w:bottom w:val="nil"/>
              <w:right w:val="nil"/>
            </w:tcBorders>
          </w:tcPr>
          <w:p w14:paraId="5B12C64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7A4D590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1FB76197" w14:textId="77777777" w:rsidTr="00ED532F">
        <w:trPr>
          <w:trHeight w:val="144"/>
          <w:jc w:val="center"/>
        </w:trPr>
        <w:tc>
          <w:tcPr>
            <w:tcW w:w="4611" w:type="dxa"/>
            <w:tcBorders>
              <w:top w:val="nil"/>
              <w:left w:val="nil"/>
              <w:bottom w:val="nil"/>
              <w:right w:val="nil"/>
            </w:tcBorders>
          </w:tcPr>
          <w:p w14:paraId="28BC1456"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Muslim</w:t>
            </w:r>
          </w:p>
        </w:tc>
        <w:tc>
          <w:tcPr>
            <w:tcW w:w="1350" w:type="dxa"/>
            <w:tcBorders>
              <w:top w:val="nil"/>
              <w:left w:val="nil"/>
              <w:bottom w:val="nil"/>
              <w:right w:val="nil"/>
            </w:tcBorders>
          </w:tcPr>
          <w:p w14:paraId="5264F33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-0.426***</w:t>
            </w:r>
          </w:p>
        </w:tc>
        <w:tc>
          <w:tcPr>
            <w:tcW w:w="1350" w:type="dxa"/>
            <w:tcBorders>
              <w:top w:val="nil"/>
              <w:left w:val="nil"/>
              <w:bottom w:val="nil"/>
              <w:right w:val="nil"/>
            </w:tcBorders>
          </w:tcPr>
          <w:p w14:paraId="05D38C3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(0.0941)</w:t>
            </w:r>
          </w:p>
        </w:tc>
      </w:tr>
      <w:tr w:rsidR="00E95D90" w:rsidRPr="00471862" w14:paraId="227B56B9" w14:textId="77777777" w:rsidTr="00ED532F">
        <w:trPr>
          <w:trHeight w:val="144"/>
          <w:jc w:val="center"/>
        </w:trPr>
        <w:tc>
          <w:tcPr>
            <w:tcW w:w="4611" w:type="dxa"/>
            <w:tcBorders>
              <w:top w:val="nil"/>
              <w:left w:val="nil"/>
              <w:bottom w:val="nil"/>
              <w:right w:val="nil"/>
            </w:tcBorders>
          </w:tcPr>
          <w:p w14:paraId="5927B37F"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Others</w:t>
            </w:r>
          </w:p>
        </w:tc>
        <w:tc>
          <w:tcPr>
            <w:tcW w:w="1350" w:type="dxa"/>
            <w:tcBorders>
              <w:top w:val="nil"/>
              <w:left w:val="nil"/>
              <w:bottom w:val="nil"/>
              <w:right w:val="nil"/>
            </w:tcBorders>
          </w:tcPr>
          <w:p w14:paraId="631E009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0.0280</w:t>
            </w:r>
          </w:p>
        </w:tc>
        <w:tc>
          <w:tcPr>
            <w:tcW w:w="1350" w:type="dxa"/>
            <w:tcBorders>
              <w:top w:val="nil"/>
              <w:left w:val="nil"/>
              <w:bottom w:val="nil"/>
              <w:right w:val="nil"/>
            </w:tcBorders>
          </w:tcPr>
          <w:p w14:paraId="110907C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(0.0504)</w:t>
            </w:r>
          </w:p>
        </w:tc>
      </w:tr>
      <w:tr w:rsidR="00E95D90" w:rsidRPr="00471862" w14:paraId="5B7A190E" w14:textId="77777777" w:rsidTr="00ED532F">
        <w:trPr>
          <w:trHeight w:val="144"/>
          <w:jc w:val="center"/>
        </w:trPr>
        <w:tc>
          <w:tcPr>
            <w:tcW w:w="4611" w:type="dxa"/>
            <w:tcBorders>
              <w:top w:val="nil"/>
              <w:left w:val="nil"/>
              <w:bottom w:val="nil"/>
              <w:right w:val="nil"/>
            </w:tcBorders>
          </w:tcPr>
          <w:p w14:paraId="70BAC85A"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Caste</w:t>
            </w:r>
          </w:p>
        </w:tc>
        <w:tc>
          <w:tcPr>
            <w:tcW w:w="1350" w:type="dxa"/>
            <w:tcBorders>
              <w:top w:val="nil"/>
              <w:left w:val="nil"/>
              <w:bottom w:val="nil"/>
              <w:right w:val="nil"/>
            </w:tcBorders>
          </w:tcPr>
          <w:p w14:paraId="48A51A0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00E4902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27905B44" w14:textId="77777777" w:rsidTr="00ED532F">
        <w:trPr>
          <w:trHeight w:val="144"/>
          <w:jc w:val="center"/>
        </w:trPr>
        <w:tc>
          <w:tcPr>
            <w:tcW w:w="4611" w:type="dxa"/>
            <w:tcBorders>
              <w:top w:val="nil"/>
              <w:left w:val="nil"/>
              <w:bottom w:val="nil"/>
              <w:right w:val="nil"/>
            </w:tcBorders>
          </w:tcPr>
          <w:p w14:paraId="76200A79"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Brahmin</w:t>
            </w:r>
          </w:p>
        </w:tc>
        <w:tc>
          <w:tcPr>
            <w:tcW w:w="1350" w:type="dxa"/>
            <w:tcBorders>
              <w:top w:val="nil"/>
              <w:left w:val="nil"/>
              <w:bottom w:val="nil"/>
              <w:right w:val="nil"/>
            </w:tcBorders>
          </w:tcPr>
          <w:p w14:paraId="463EA7D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0.0409</w:t>
            </w:r>
          </w:p>
        </w:tc>
        <w:tc>
          <w:tcPr>
            <w:tcW w:w="1350" w:type="dxa"/>
            <w:tcBorders>
              <w:top w:val="nil"/>
              <w:left w:val="nil"/>
              <w:bottom w:val="nil"/>
              <w:right w:val="nil"/>
            </w:tcBorders>
          </w:tcPr>
          <w:p w14:paraId="6CB99B8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(0.0510)</w:t>
            </w:r>
          </w:p>
        </w:tc>
      </w:tr>
      <w:tr w:rsidR="00E95D90" w:rsidRPr="00471862" w14:paraId="286508C6" w14:textId="77777777" w:rsidTr="00ED532F">
        <w:trPr>
          <w:trHeight w:val="144"/>
          <w:jc w:val="center"/>
        </w:trPr>
        <w:tc>
          <w:tcPr>
            <w:tcW w:w="4611" w:type="dxa"/>
            <w:tcBorders>
              <w:top w:val="nil"/>
              <w:left w:val="nil"/>
              <w:bottom w:val="nil"/>
              <w:right w:val="nil"/>
            </w:tcBorders>
          </w:tcPr>
          <w:p w14:paraId="680A15A5"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High Caste</w:t>
            </w:r>
          </w:p>
        </w:tc>
        <w:tc>
          <w:tcPr>
            <w:tcW w:w="1350" w:type="dxa"/>
            <w:tcBorders>
              <w:top w:val="nil"/>
              <w:left w:val="nil"/>
              <w:bottom w:val="nil"/>
              <w:right w:val="nil"/>
            </w:tcBorders>
          </w:tcPr>
          <w:p w14:paraId="65ED41E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0.0638</w:t>
            </w:r>
          </w:p>
        </w:tc>
        <w:tc>
          <w:tcPr>
            <w:tcW w:w="1350" w:type="dxa"/>
            <w:tcBorders>
              <w:top w:val="nil"/>
              <w:left w:val="nil"/>
              <w:bottom w:val="nil"/>
              <w:right w:val="nil"/>
            </w:tcBorders>
          </w:tcPr>
          <w:p w14:paraId="5A05B7B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(0.0563)</w:t>
            </w:r>
          </w:p>
        </w:tc>
      </w:tr>
      <w:tr w:rsidR="00E95D90" w:rsidRPr="00471862" w14:paraId="49F70ACE" w14:textId="77777777" w:rsidTr="00ED532F">
        <w:trPr>
          <w:trHeight w:val="144"/>
          <w:jc w:val="center"/>
        </w:trPr>
        <w:tc>
          <w:tcPr>
            <w:tcW w:w="4611" w:type="dxa"/>
            <w:tcBorders>
              <w:top w:val="nil"/>
              <w:left w:val="nil"/>
              <w:bottom w:val="nil"/>
              <w:right w:val="nil"/>
            </w:tcBorders>
          </w:tcPr>
          <w:p w14:paraId="470E56FE"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Dalit</w:t>
            </w:r>
          </w:p>
        </w:tc>
        <w:tc>
          <w:tcPr>
            <w:tcW w:w="1350" w:type="dxa"/>
            <w:tcBorders>
              <w:top w:val="nil"/>
              <w:left w:val="nil"/>
              <w:bottom w:val="nil"/>
              <w:right w:val="nil"/>
            </w:tcBorders>
          </w:tcPr>
          <w:p w14:paraId="0C2C178F"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-0.177***</w:t>
            </w:r>
          </w:p>
        </w:tc>
        <w:tc>
          <w:tcPr>
            <w:tcW w:w="1350" w:type="dxa"/>
            <w:tcBorders>
              <w:top w:val="nil"/>
              <w:left w:val="nil"/>
              <w:bottom w:val="nil"/>
              <w:right w:val="nil"/>
            </w:tcBorders>
          </w:tcPr>
          <w:p w14:paraId="12906EC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(0.0493)</w:t>
            </w:r>
          </w:p>
        </w:tc>
      </w:tr>
      <w:tr w:rsidR="00E95D90" w:rsidRPr="00471862" w14:paraId="6EE1A0F1" w14:textId="77777777" w:rsidTr="00ED532F">
        <w:trPr>
          <w:trHeight w:val="144"/>
          <w:jc w:val="center"/>
        </w:trPr>
        <w:tc>
          <w:tcPr>
            <w:tcW w:w="4611" w:type="dxa"/>
            <w:tcBorders>
              <w:top w:val="nil"/>
              <w:left w:val="nil"/>
              <w:bottom w:val="nil"/>
              <w:right w:val="nil"/>
            </w:tcBorders>
          </w:tcPr>
          <w:p w14:paraId="25666F5B"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Adivasi</w:t>
            </w:r>
          </w:p>
        </w:tc>
        <w:tc>
          <w:tcPr>
            <w:tcW w:w="1350" w:type="dxa"/>
            <w:tcBorders>
              <w:top w:val="nil"/>
              <w:left w:val="nil"/>
              <w:bottom w:val="nil"/>
              <w:right w:val="nil"/>
            </w:tcBorders>
          </w:tcPr>
          <w:p w14:paraId="65CACCD3"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-0.138***</w:t>
            </w:r>
          </w:p>
        </w:tc>
        <w:tc>
          <w:tcPr>
            <w:tcW w:w="1350" w:type="dxa"/>
            <w:tcBorders>
              <w:top w:val="nil"/>
              <w:left w:val="nil"/>
              <w:bottom w:val="nil"/>
              <w:right w:val="nil"/>
            </w:tcBorders>
          </w:tcPr>
          <w:p w14:paraId="3020A18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(0.0468)</w:t>
            </w:r>
          </w:p>
        </w:tc>
      </w:tr>
      <w:tr w:rsidR="00E95D90" w:rsidRPr="00471862" w14:paraId="67FDD943" w14:textId="77777777" w:rsidTr="00ED532F">
        <w:trPr>
          <w:trHeight w:val="144"/>
          <w:jc w:val="center"/>
        </w:trPr>
        <w:tc>
          <w:tcPr>
            <w:tcW w:w="4611" w:type="dxa"/>
            <w:tcBorders>
              <w:top w:val="nil"/>
              <w:left w:val="nil"/>
              <w:bottom w:val="nil"/>
              <w:right w:val="nil"/>
            </w:tcBorders>
          </w:tcPr>
          <w:p w14:paraId="60E822C7"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Others</w:t>
            </w:r>
          </w:p>
        </w:tc>
        <w:tc>
          <w:tcPr>
            <w:tcW w:w="1350" w:type="dxa"/>
            <w:tcBorders>
              <w:top w:val="nil"/>
              <w:left w:val="nil"/>
              <w:bottom w:val="nil"/>
              <w:right w:val="nil"/>
            </w:tcBorders>
          </w:tcPr>
          <w:p w14:paraId="448B156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0.230**</w:t>
            </w:r>
          </w:p>
        </w:tc>
        <w:tc>
          <w:tcPr>
            <w:tcW w:w="1350" w:type="dxa"/>
            <w:tcBorders>
              <w:top w:val="nil"/>
              <w:left w:val="nil"/>
              <w:bottom w:val="nil"/>
              <w:right w:val="nil"/>
            </w:tcBorders>
          </w:tcPr>
          <w:p w14:paraId="26C17DA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(0.0921)</w:t>
            </w:r>
          </w:p>
        </w:tc>
      </w:tr>
      <w:tr w:rsidR="00E95D90" w:rsidRPr="00471862" w14:paraId="2E956114" w14:textId="77777777" w:rsidTr="00ED532F">
        <w:trPr>
          <w:trHeight w:val="144"/>
          <w:jc w:val="center"/>
        </w:trPr>
        <w:tc>
          <w:tcPr>
            <w:tcW w:w="4611" w:type="dxa"/>
            <w:tcBorders>
              <w:top w:val="nil"/>
              <w:left w:val="nil"/>
              <w:bottom w:val="nil"/>
              <w:right w:val="nil"/>
            </w:tcBorders>
          </w:tcPr>
          <w:p w14:paraId="1084D3A2"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Household remittance</w:t>
            </w:r>
          </w:p>
        </w:tc>
        <w:tc>
          <w:tcPr>
            <w:tcW w:w="1350" w:type="dxa"/>
            <w:tcBorders>
              <w:top w:val="nil"/>
              <w:left w:val="nil"/>
              <w:bottom w:val="nil"/>
              <w:right w:val="nil"/>
            </w:tcBorders>
          </w:tcPr>
          <w:p w14:paraId="52B79DB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692AEB6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1F96020A" w14:textId="77777777" w:rsidTr="000C41DE">
        <w:trPr>
          <w:trHeight w:val="144"/>
          <w:jc w:val="center"/>
        </w:trPr>
        <w:tc>
          <w:tcPr>
            <w:tcW w:w="4611" w:type="dxa"/>
            <w:tcBorders>
              <w:top w:val="nil"/>
              <w:left w:val="nil"/>
              <w:bottom w:val="single" w:sz="4" w:space="0" w:color="auto"/>
              <w:right w:val="nil"/>
            </w:tcBorders>
          </w:tcPr>
          <w:p w14:paraId="33B9F882"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Yes</w:t>
            </w:r>
          </w:p>
        </w:tc>
        <w:tc>
          <w:tcPr>
            <w:tcW w:w="1350" w:type="dxa"/>
            <w:tcBorders>
              <w:top w:val="nil"/>
              <w:left w:val="nil"/>
              <w:bottom w:val="single" w:sz="4" w:space="0" w:color="auto"/>
              <w:right w:val="nil"/>
            </w:tcBorders>
          </w:tcPr>
          <w:p w14:paraId="007F6E9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0.134</w:t>
            </w:r>
          </w:p>
        </w:tc>
        <w:tc>
          <w:tcPr>
            <w:tcW w:w="1350" w:type="dxa"/>
            <w:tcBorders>
              <w:top w:val="nil"/>
              <w:left w:val="nil"/>
              <w:bottom w:val="single" w:sz="4" w:space="0" w:color="auto"/>
              <w:right w:val="nil"/>
            </w:tcBorders>
          </w:tcPr>
          <w:p w14:paraId="33C17443"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(0.127)</w:t>
            </w:r>
          </w:p>
        </w:tc>
      </w:tr>
      <w:tr w:rsidR="000C41DE" w:rsidRPr="00471862" w14:paraId="1628401C" w14:textId="77777777" w:rsidTr="000C41DE">
        <w:trPr>
          <w:trHeight w:val="144"/>
          <w:jc w:val="center"/>
        </w:trPr>
        <w:tc>
          <w:tcPr>
            <w:tcW w:w="7311" w:type="dxa"/>
            <w:gridSpan w:val="3"/>
            <w:tcBorders>
              <w:top w:val="single" w:sz="4" w:space="0" w:color="auto"/>
              <w:left w:val="nil"/>
              <w:bottom w:val="single" w:sz="4" w:space="0" w:color="auto"/>
              <w:right w:val="nil"/>
            </w:tcBorders>
          </w:tcPr>
          <w:p w14:paraId="58D8F47D" w14:textId="77777777" w:rsidR="000C41DE" w:rsidRPr="000C41DE" w:rsidRDefault="000C41DE" w:rsidP="000C41DE">
            <w:pPr>
              <w:pStyle w:val="ListParagraph"/>
              <w:widowControl w:val="0"/>
              <w:numPr>
                <w:ilvl w:val="0"/>
                <w:numId w:val="14"/>
              </w:numPr>
              <w:tabs>
                <w:tab w:val="left" w:pos="4680"/>
              </w:tabs>
              <w:autoSpaceDE w:val="0"/>
              <w:autoSpaceDN w:val="0"/>
              <w:adjustRightInd w:val="0"/>
              <w:spacing w:after="0" w:line="240" w:lineRule="auto"/>
              <w:rPr>
                <w:rFonts w:ascii="Arial" w:hAnsi="Arial" w:cs="Arial"/>
                <w:b/>
                <w:i/>
                <w:sz w:val="16"/>
                <w:szCs w:val="16"/>
              </w:rPr>
            </w:pPr>
            <w:r w:rsidRPr="000C41DE">
              <w:rPr>
                <w:rFonts w:ascii="Arial" w:hAnsi="Arial" w:cs="Arial"/>
                <w:b/>
                <w:i/>
                <w:sz w:val="16"/>
                <w:szCs w:val="16"/>
              </w:rPr>
              <w:t>Employment (2005)</w:t>
            </w:r>
          </w:p>
        </w:tc>
      </w:tr>
      <w:tr w:rsidR="00E95D90" w:rsidRPr="00471862" w14:paraId="4E56EE50" w14:textId="77777777" w:rsidTr="000C41DE">
        <w:trPr>
          <w:trHeight w:val="144"/>
          <w:jc w:val="center"/>
        </w:trPr>
        <w:tc>
          <w:tcPr>
            <w:tcW w:w="4611" w:type="dxa"/>
            <w:tcBorders>
              <w:top w:val="single" w:sz="4" w:space="0" w:color="auto"/>
              <w:left w:val="nil"/>
              <w:bottom w:val="nil"/>
              <w:right w:val="nil"/>
            </w:tcBorders>
          </w:tcPr>
          <w:p w14:paraId="21302221"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Any Work</w:t>
            </w:r>
          </w:p>
        </w:tc>
        <w:tc>
          <w:tcPr>
            <w:tcW w:w="1350" w:type="dxa"/>
            <w:tcBorders>
              <w:top w:val="single" w:sz="4" w:space="0" w:color="auto"/>
              <w:left w:val="nil"/>
              <w:bottom w:val="nil"/>
              <w:right w:val="nil"/>
            </w:tcBorders>
          </w:tcPr>
          <w:p w14:paraId="4E9A090E"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065A395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0FA39E83" w14:textId="77777777" w:rsidTr="00ED532F">
        <w:trPr>
          <w:trHeight w:val="144"/>
          <w:jc w:val="center"/>
        </w:trPr>
        <w:tc>
          <w:tcPr>
            <w:tcW w:w="4611" w:type="dxa"/>
            <w:tcBorders>
              <w:top w:val="nil"/>
              <w:left w:val="nil"/>
              <w:bottom w:val="nil"/>
              <w:right w:val="nil"/>
            </w:tcBorders>
          </w:tcPr>
          <w:p w14:paraId="78014AE0"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&lt; 240Hrs</w:t>
            </w:r>
          </w:p>
        </w:tc>
        <w:tc>
          <w:tcPr>
            <w:tcW w:w="1350" w:type="dxa"/>
            <w:tcBorders>
              <w:top w:val="nil"/>
              <w:left w:val="nil"/>
              <w:bottom w:val="nil"/>
              <w:right w:val="nil"/>
            </w:tcBorders>
          </w:tcPr>
          <w:p w14:paraId="64A26F1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-0.0114</w:t>
            </w:r>
          </w:p>
        </w:tc>
        <w:tc>
          <w:tcPr>
            <w:tcW w:w="1350" w:type="dxa"/>
            <w:tcBorders>
              <w:top w:val="nil"/>
              <w:left w:val="nil"/>
              <w:bottom w:val="nil"/>
              <w:right w:val="nil"/>
            </w:tcBorders>
          </w:tcPr>
          <w:p w14:paraId="468C4E4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(0.0536)</w:t>
            </w:r>
          </w:p>
        </w:tc>
      </w:tr>
      <w:tr w:rsidR="00E95D90" w:rsidRPr="00471862" w14:paraId="6905CB56" w14:textId="77777777" w:rsidTr="00ED532F">
        <w:trPr>
          <w:trHeight w:val="144"/>
          <w:jc w:val="center"/>
        </w:trPr>
        <w:tc>
          <w:tcPr>
            <w:tcW w:w="4611" w:type="dxa"/>
            <w:tcBorders>
              <w:top w:val="nil"/>
              <w:left w:val="nil"/>
              <w:bottom w:val="nil"/>
              <w:right w:val="nil"/>
            </w:tcBorders>
          </w:tcPr>
          <w:p w14:paraId="1304BB38"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Number of Working Adults (20-50) males in HH</w:t>
            </w:r>
          </w:p>
        </w:tc>
        <w:tc>
          <w:tcPr>
            <w:tcW w:w="1350" w:type="dxa"/>
            <w:tcBorders>
              <w:top w:val="nil"/>
              <w:left w:val="nil"/>
              <w:bottom w:val="nil"/>
              <w:right w:val="nil"/>
            </w:tcBorders>
          </w:tcPr>
          <w:p w14:paraId="378F0C97"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05E2CE0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36AD1EB9" w14:textId="77777777" w:rsidTr="00ED532F">
        <w:trPr>
          <w:trHeight w:val="144"/>
          <w:jc w:val="center"/>
        </w:trPr>
        <w:tc>
          <w:tcPr>
            <w:tcW w:w="4611" w:type="dxa"/>
            <w:tcBorders>
              <w:top w:val="nil"/>
              <w:left w:val="nil"/>
              <w:bottom w:val="nil"/>
              <w:right w:val="nil"/>
            </w:tcBorders>
          </w:tcPr>
          <w:p w14:paraId="1E568D51"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0</w:t>
            </w:r>
          </w:p>
        </w:tc>
        <w:tc>
          <w:tcPr>
            <w:tcW w:w="1350" w:type="dxa"/>
            <w:tcBorders>
              <w:top w:val="nil"/>
              <w:left w:val="nil"/>
              <w:bottom w:val="nil"/>
              <w:right w:val="nil"/>
            </w:tcBorders>
          </w:tcPr>
          <w:p w14:paraId="7978258D"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0.139***</w:t>
            </w:r>
          </w:p>
        </w:tc>
        <w:tc>
          <w:tcPr>
            <w:tcW w:w="1350" w:type="dxa"/>
            <w:tcBorders>
              <w:top w:val="nil"/>
              <w:left w:val="nil"/>
              <w:bottom w:val="nil"/>
              <w:right w:val="nil"/>
            </w:tcBorders>
          </w:tcPr>
          <w:p w14:paraId="11459D3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(0.0393)</w:t>
            </w:r>
          </w:p>
        </w:tc>
      </w:tr>
      <w:tr w:rsidR="00E95D90" w:rsidRPr="00471862" w14:paraId="658909CF" w14:textId="77777777" w:rsidTr="00ED532F">
        <w:trPr>
          <w:trHeight w:val="144"/>
          <w:jc w:val="center"/>
        </w:trPr>
        <w:tc>
          <w:tcPr>
            <w:tcW w:w="4611" w:type="dxa"/>
            <w:tcBorders>
              <w:top w:val="nil"/>
              <w:left w:val="nil"/>
              <w:bottom w:val="nil"/>
              <w:right w:val="nil"/>
            </w:tcBorders>
          </w:tcPr>
          <w:p w14:paraId="2A806D95"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&gt;=2</w:t>
            </w:r>
          </w:p>
        </w:tc>
        <w:tc>
          <w:tcPr>
            <w:tcW w:w="1350" w:type="dxa"/>
            <w:tcBorders>
              <w:top w:val="nil"/>
              <w:left w:val="nil"/>
              <w:bottom w:val="nil"/>
              <w:right w:val="nil"/>
            </w:tcBorders>
          </w:tcPr>
          <w:p w14:paraId="1BF8C6D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-0.335***</w:t>
            </w:r>
          </w:p>
        </w:tc>
        <w:tc>
          <w:tcPr>
            <w:tcW w:w="1350" w:type="dxa"/>
            <w:tcBorders>
              <w:top w:val="nil"/>
              <w:left w:val="nil"/>
              <w:bottom w:val="nil"/>
              <w:right w:val="nil"/>
            </w:tcBorders>
          </w:tcPr>
          <w:p w14:paraId="31F02A07"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(0.0388)</w:t>
            </w:r>
          </w:p>
        </w:tc>
      </w:tr>
      <w:tr w:rsidR="00E95D90" w:rsidRPr="00471862" w14:paraId="11767629" w14:textId="77777777" w:rsidTr="00ED532F">
        <w:trPr>
          <w:trHeight w:val="144"/>
          <w:jc w:val="center"/>
        </w:trPr>
        <w:tc>
          <w:tcPr>
            <w:tcW w:w="4611" w:type="dxa"/>
            <w:tcBorders>
              <w:top w:val="nil"/>
              <w:left w:val="nil"/>
              <w:bottom w:val="nil"/>
              <w:right w:val="nil"/>
            </w:tcBorders>
          </w:tcPr>
          <w:p w14:paraId="554A3E0A"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Number of Working Adults (20-50) Females in HH</w:t>
            </w:r>
          </w:p>
        </w:tc>
        <w:tc>
          <w:tcPr>
            <w:tcW w:w="1350" w:type="dxa"/>
            <w:tcBorders>
              <w:top w:val="nil"/>
              <w:left w:val="nil"/>
              <w:bottom w:val="nil"/>
              <w:right w:val="nil"/>
            </w:tcBorders>
          </w:tcPr>
          <w:p w14:paraId="1C3AD86E"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188DC2C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17639C8C" w14:textId="77777777" w:rsidTr="00ED532F">
        <w:trPr>
          <w:trHeight w:val="144"/>
          <w:jc w:val="center"/>
        </w:trPr>
        <w:tc>
          <w:tcPr>
            <w:tcW w:w="4611" w:type="dxa"/>
            <w:tcBorders>
              <w:top w:val="nil"/>
              <w:left w:val="nil"/>
              <w:bottom w:val="nil"/>
              <w:right w:val="nil"/>
            </w:tcBorders>
          </w:tcPr>
          <w:p w14:paraId="089FADE8"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1</w:t>
            </w:r>
          </w:p>
        </w:tc>
        <w:tc>
          <w:tcPr>
            <w:tcW w:w="1350" w:type="dxa"/>
            <w:tcBorders>
              <w:top w:val="nil"/>
              <w:left w:val="nil"/>
              <w:bottom w:val="nil"/>
              <w:right w:val="nil"/>
            </w:tcBorders>
          </w:tcPr>
          <w:p w14:paraId="70DF5AC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0.00944</w:t>
            </w:r>
          </w:p>
        </w:tc>
        <w:tc>
          <w:tcPr>
            <w:tcW w:w="1350" w:type="dxa"/>
            <w:tcBorders>
              <w:top w:val="nil"/>
              <w:left w:val="nil"/>
              <w:bottom w:val="nil"/>
              <w:right w:val="nil"/>
            </w:tcBorders>
          </w:tcPr>
          <w:p w14:paraId="43AB22D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(0.0331)</w:t>
            </w:r>
          </w:p>
        </w:tc>
      </w:tr>
      <w:tr w:rsidR="00E95D90" w:rsidRPr="00471862" w14:paraId="1CE61FE4" w14:textId="77777777" w:rsidTr="00F17AF2">
        <w:trPr>
          <w:trHeight w:val="144"/>
          <w:jc w:val="center"/>
        </w:trPr>
        <w:tc>
          <w:tcPr>
            <w:tcW w:w="4611" w:type="dxa"/>
            <w:tcBorders>
              <w:top w:val="nil"/>
              <w:left w:val="nil"/>
              <w:bottom w:val="single" w:sz="4" w:space="0" w:color="auto"/>
              <w:right w:val="nil"/>
            </w:tcBorders>
          </w:tcPr>
          <w:p w14:paraId="63795A8F"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&gt;=2</w:t>
            </w:r>
          </w:p>
        </w:tc>
        <w:tc>
          <w:tcPr>
            <w:tcW w:w="1350" w:type="dxa"/>
            <w:tcBorders>
              <w:top w:val="nil"/>
              <w:left w:val="nil"/>
              <w:bottom w:val="single" w:sz="4" w:space="0" w:color="auto"/>
              <w:right w:val="nil"/>
            </w:tcBorders>
          </w:tcPr>
          <w:p w14:paraId="41940687"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-0.248***</w:t>
            </w:r>
          </w:p>
        </w:tc>
        <w:tc>
          <w:tcPr>
            <w:tcW w:w="1350" w:type="dxa"/>
            <w:tcBorders>
              <w:top w:val="nil"/>
              <w:left w:val="nil"/>
              <w:bottom w:val="single" w:sz="4" w:space="0" w:color="auto"/>
              <w:right w:val="nil"/>
            </w:tcBorders>
          </w:tcPr>
          <w:p w14:paraId="66CB361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(0.0678)</w:t>
            </w:r>
          </w:p>
        </w:tc>
      </w:tr>
      <w:tr w:rsidR="000C41DE" w:rsidRPr="00471862" w14:paraId="28B28758" w14:textId="77777777" w:rsidTr="00F17AF2">
        <w:trPr>
          <w:trHeight w:val="144"/>
          <w:jc w:val="center"/>
        </w:trPr>
        <w:tc>
          <w:tcPr>
            <w:tcW w:w="7311" w:type="dxa"/>
            <w:gridSpan w:val="3"/>
            <w:tcBorders>
              <w:top w:val="single" w:sz="4" w:space="0" w:color="auto"/>
              <w:left w:val="nil"/>
              <w:bottom w:val="single" w:sz="4" w:space="0" w:color="auto"/>
              <w:right w:val="single" w:sz="4" w:space="0" w:color="auto"/>
            </w:tcBorders>
          </w:tcPr>
          <w:p w14:paraId="43622F04" w14:textId="77777777" w:rsidR="000C41DE" w:rsidRPr="00F17AF2" w:rsidRDefault="00F17AF2" w:rsidP="00F17AF2">
            <w:pPr>
              <w:widowControl w:val="0"/>
              <w:tabs>
                <w:tab w:val="left" w:pos="4680"/>
              </w:tabs>
              <w:autoSpaceDE w:val="0"/>
              <w:autoSpaceDN w:val="0"/>
              <w:adjustRightInd w:val="0"/>
              <w:spacing w:after="0" w:line="240" w:lineRule="auto"/>
              <w:rPr>
                <w:rFonts w:ascii="Arial" w:hAnsi="Arial" w:cs="Arial"/>
                <w:b/>
                <w:i/>
                <w:sz w:val="16"/>
                <w:szCs w:val="16"/>
              </w:rPr>
            </w:pPr>
            <w:r w:rsidRPr="00F17AF2">
              <w:rPr>
                <w:rFonts w:ascii="Arial" w:hAnsi="Arial" w:cs="Arial"/>
                <w:b/>
                <w:i/>
                <w:sz w:val="16"/>
                <w:szCs w:val="16"/>
              </w:rPr>
              <w:t xml:space="preserve">        (3) Health &amp; Disability (2005)</w:t>
            </w:r>
          </w:p>
        </w:tc>
      </w:tr>
      <w:tr w:rsidR="00E95D90" w:rsidRPr="00471862" w14:paraId="01C7E619" w14:textId="77777777" w:rsidTr="000C41DE">
        <w:trPr>
          <w:trHeight w:val="144"/>
          <w:jc w:val="center"/>
        </w:trPr>
        <w:tc>
          <w:tcPr>
            <w:tcW w:w="4611" w:type="dxa"/>
            <w:tcBorders>
              <w:top w:val="single" w:sz="4" w:space="0" w:color="auto"/>
              <w:left w:val="nil"/>
              <w:bottom w:val="nil"/>
              <w:right w:val="nil"/>
            </w:tcBorders>
          </w:tcPr>
          <w:p w14:paraId="63FEFB1B"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NCD</w:t>
            </w:r>
          </w:p>
        </w:tc>
        <w:tc>
          <w:tcPr>
            <w:tcW w:w="1350" w:type="dxa"/>
            <w:tcBorders>
              <w:top w:val="single" w:sz="4" w:space="0" w:color="auto"/>
              <w:left w:val="nil"/>
              <w:bottom w:val="nil"/>
              <w:right w:val="nil"/>
            </w:tcBorders>
          </w:tcPr>
          <w:p w14:paraId="47F4273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7C91D5E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4889BB35" w14:textId="77777777" w:rsidTr="00ED532F">
        <w:trPr>
          <w:trHeight w:val="144"/>
          <w:jc w:val="center"/>
        </w:trPr>
        <w:tc>
          <w:tcPr>
            <w:tcW w:w="4611" w:type="dxa"/>
            <w:tcBorders>
              <w:top w:val="nil"/>
              <w:left w:val="nil"/>
              <w:bottom w:val="nil"/>
              <w:right w:val="nil"/>
            </w:tcBorders>
          </w:tcPr>
          <w:p w14:paraId="6CD30533"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Yes</w:t>
            </w:r>
          </w:p>
        </w:tc>
        <w:tc>
          <w:tcPr>
            <w:tcW w:w="1350" w:type="dxa"/>
            <w:tcBorders>
              <w:top w:val="nil"/>
              <w:left w:val="nil"/>
              <w:bottom w:val="nil"/>
              <w:right w:val="nil"/>
            </w:tcBorders>
          </w:tcPr>
          <w:p w14:paraId="767B779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0.0100</w:t>
            </w:r>
          </w:p>
        </w:tc>
        <w:tc>
          <w:tcPr>
            <w:tcW w:w="1350" w:type="dxa"/>
            <w:tcBorders>
              <w:top w:val="nil"/>
              <w:left w:val="nil"/>
              <w:bottom w:val="nil"/>
              <w:right w:val="nil"/>
            </w:tcBorders>
          </w:tcPr>
          <w:p w14:paraId="79A84C7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(0.0399)</w:t>
            </w:r>
          </w:p>
        </w:tc>
      </w:tr>
      <w:tr w:rsidR="00E95D90" w:rsidRPr="00471862" w14:paraId="65ACE21F" w14:textId="77777777" w:rsidTr="00ED532F">
        <w:trPr>
          <w:trHeight w:val="144"/>
          <w:jc w:val="center"/>
        </w:trPr>
        <w:tc>
          <w:tcPr>
            <w:tcW w:w="4611" w:type="dxa"/>
            <w:tcBorders>
              <w:top w:val="nil"/>
              <w:left w:val="nil"/>
              <w:bottom w:val="nil"/>
              <w:right w:val="nil"/>
            </w:tcBorders>
          </w:tcPr>
          <w:p w14:paraId="66DFBB97"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Disability</w:t>
            </w:r>
          </w:p>
        </w:tc>
        <w:tc>
          <w:tcPr>
            <w:tcW w:w="1350" w:type="dxa"/>
            <w:tcBorders>
              <w:top w:val="nil"/>
              <w:left w:val="nil"/>
              <w:bottom w:val="nil"/>
              <w:right w:val="nil"/>
            </w:tcBorders>
          </w:tcPr>
          <w:p w14:paraId="302C79CE"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3549A788"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15F15BD7" w14:textId="77777777" w:rsidTr="00F17AF2">
        <w:trPr>
          <w:trHeight w:val="144"/>
          <w:jc w:val="center"/>
        </w:trPr>
        <w:tc>
          <w:tcPr>
            <w:tcW w:w="4611" w:type="dxa"/>
            <w:tcBorders>
              <w:top w:val="nil"/>
              <w:left w:val="nil"/>
              <w:bottom w:val="single" w:sz="4" w:space="0" w:color="auto"/>
              <w:right w:val="nil"/>
            </w:tcBorders>
          </w:tcPr>
          <w:p w14:paraId="346BB7AC"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Yes</w:t>
            </w:r>
          </w:p>
        </w:tc>
        <w:tc>
          <w:tcPr>
            <w:tcW w:w="1350" w:type="dxa"/>
            <w:tcBorders>
              <w:top w:val="nil"/>
              <w:left w:val="nil"/>
              <w:bottom w:val="single" w:sz="4" w:space="0" w:color="auto"/>
              <w:right w:val="nil"/>
            </w:tcBorders>
          </w:tcPr>
          <w:p w14:paraId="2372175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-0.0414</w:t>
            </w:r>
          </w:p>
        </w:tc>
        <w:tc>
          <w:tcPr>
            <w:tcW w:w="1350" w:type="dxa"/>
            <w:tcBorders>
              <w:top w:val="nil"/>
              <w:left w:val="nil"/>
              <w:bottom w:val="single" w:sz="4" w:space="0" w:color="auto"/>
              <w:right w:val="nil"/>
            </w:tcBorders>
          </w:tcPr>
          <w:p w14:paraId="6AF6B7AD"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(0.0623)</w:t>
            </w:r>
          </w:p>
        </w:tc>
      </w:tr>
      <w:tr w:rsidR="00F17AF2" w:rsidRPr="00471862" w14:paraId="32FE5B3E" w14:textId="77777777" w:rsidTr="00F17AF2">
        <w:trPr>
          <w:trHeight w:val="144"/>
          <w:jc w:val="center"/>
        </w:trPr>
        <w:tc>
          <w:tcPr>
            <w:tcW w:w="4611" w:type="dxa"/>
            <w:tcBorders>
              <w:top w:val="single" w:sz="4" w:space="0" w:color="auto"/>
              <w:left w:val="nil"/>
              <w:bottom w:val="single" w:sz="4" w:space="0" w:color="auto"/>
              <w:right w:val="nil"/>
            </w:tcBorders>
          </w:tcPr>
          <w:p w14:paraId="675D0179" w14:textId="77777777" w:rsidR="00F17AF2" w:rsidRPr="00F17AF2" w:rsidRDefault="00F17AF2" w:rsidP="00F17AF2">
            <w:pPr>
              <w:widowControl w:val="0"/>
              <w:tabs>
                <w:tab w:val="left" w:pos="4680"/>
              </w:tabs>
              <w:autoSpaceDE w:val="0"/>
              <w:autoSpaceDN w:val="0"/>
              <w:adjustRightInd w:val="0"/>
              <w:spacing w:after="0" w:line="240" w:lineRule="auto"/>
              <w:rPr>
                <w:rFonts w:ascii="Arial" w:hAnsi="Arial" w:cs="Arial"/>
                <w:b/>
                <w:i/>
                <w:sz w:val="16"/>
                <w:szCs w:val="16"/>
              </w:rPr>
            </w:pPr>
            <w:r w:rsidRPr="00F17AF2">
              <w:rPr>
                <w:rFonts w:ascii="Arial" w:hAnsi="Arial" w:cs="Arial"/>
                <w:b/>
                <w:i/>
                <w:sz w:val="16"/>
                <w:szCs w:val="16"/>
              </w:rPr>
              <w:t xml:space="preserve">        (4) Media Access (2005)</w:t>
            </w:r>
          </w:p>
        </w:tc>
        <w:tc>
          <w:tcPr>
            <w:tcW w:w="1350" w:type="dxa"/>
            <w:tcBorders>
              <w:top w:val="single" w:sz="4" w:space="0" w:color="auto"/>
              <w:left w:val="nil"/>
              <w:bottom w:val="single" w:sz="4" w:space="0" w:color="auto"/>
              <w:right w:val="nil"/>
            </w:tcBorders>
          </w:tcPr>
          <w:p w14:paraId="760E6BE6" w14:textId="77777777" w:rsidR="00F17AF2" w:rsidRPr="00471862" w:rsidRDefault="00F17AF2" w:rsidP="00F17AF2">
            <w:pPr>
              <w:widowControl w:val="0"/>
              <w:tabs>
                <w:tab w:val="left" w:pos="4680"/>
              </w:tabs>
              <w:autoSpaceDE w:val="0"/>
              <w:autoSpaceDN w:val="0"/>
              <w:adjustRightInd w:val="0"/>
              <w:spacing w:after="0" w:line="240" w:lineRule="auto"/>
              <w:rPr>
                <w:rFonts w:ascii="Arial" w:hAnsi="Arial" w:cs="Arial"/>
                <w:sz w:val="16"/>
                <w:szCs w:val="16"/>
              </w:rPr>
            </w:pPr>
          </w:p>
        </w:tc>
        <w:tc>
          <w:tcPr>
            <w:tcW w:w="1350" w:type="dxa"/>
            <w:tcBorders>
              <w:top w:val="single" w:sz="4" w:space="0" w:color="auto"/>
              <w:left w:val="nil"/>
              <w:bottom w:val="single" w:sz="4" w:space="0" w:color="auto"/>
              <w:right w:val="nil"/>
            </w:tcBorders>
          </w:tcPr>
          <w:p w14:paraId="224E5ACE" w14:textId="77777777" w:rsidR="00F17AF2" w:rsidRPr="00471862" w:rsidRDefault="00F17AF2" w:rsidP="00F17AF2">
            <w:pPr>
              <w:widowControl w:val="0"/>
              <w:tabs>
                <w:tab w:val="left" w:pos="4680"/>
              </w:tabs>
              <w:autoSpaceDE w:val="0"/>
              <w:autoSpaceDN w:val="0"/>
              <w:adjustRightInd w:val="0"/>
              <w:spacing w:after="0" w:line="240" w:lineRule="auto"/>
              <w:rPr>
                <w:rFonts w:ascii="Arial" w:hAnsi="Arial" w:cs="Arial"/>
                <w:sz w:val="16"/>
                <w:szCs w:val="16"/>
              </w:rPr>
            </w:pPr>
          </w:p>
        </w:tc>
      </w:tr>
      <w:tr w:rsidR="00E95D90" w:rsidRPr="00471862" w14:paraId="2DA7B313" w14:textId="77777777" w:rsidTr="00F17AF2">
        <w:trPr>
          <w:trHeight w:val="144"/>
          <w:jc w:val="center"/>
        </w:trPr>
        <w:tc>
          <w:tcPr>
            <w:tcW w:w="4611" w:type="dxa"/>
            <w:tcBorders>
              <w:top w:val="single" w:sz="4" w:space="0" w:color="auto"/>
              <w:left w:val="nil"/>
              <w:bottom w:val="nil"/>
              <w:right w:val="nil"/>
            </w:tcBorders>
          </w:tcPr>
          <w:p w14:paraId="62FF1B29"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Radio regular Men</w:t>
            </w:r>
          </w:p>
        </w:tc>
        <w:tc>
          <w:tcPr>
            <w:tcW w:w="1350" w:type="dxa"/>
            <w:tcBorders>
              <w:top w:val="single" w:sz="4" w:space="0" w:color="auto"/>
              <w:left w:val="nil"/>
              <w:bottom w:val="nil"/>
              <w:right w:val="nil"/>
            </w:tcBorders>
          </w:tcPr>
          <w:p w14:paraId="6FC1D23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79AAEF3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28FFE7E4" w14:textId="77777777" w:rsidTr="00ED532F">
        <w:trPr>
          <w:trHeight w:val="144"/>
          <w:jc w:val="center"/>
        </w:trPr>
        <w:tc>
          <w:tcPr>
            <w:tcW w:w="4611" w:type="dxa"/>
            <w:tcBorders>
              <w:top w:val="nil"/>
              <w:left w:val="nil"/>
              <w:bottom w:val="nil"/>
              <w:right w:val="nil"/>
            </w:tcBorders>
          </w:tcPr>
          <w:p w14:paraId="158DAC42"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Regularly</w:t>
            </w:r>
          </w:p>
        </w:tc>
        <w:tc>
          <w:tcPr>
            <w:tcW w:w="1350" w:type="dxa"/>
            <w:tcBorders>
              <w:top w:val="nil"/>
              <w:left w:val="nil"/>
              <w:bottom w:val="nil"/>
              <w:right w:val="nil"/>
            </w:tcBorders>
          </w:tcPr>
          <w:p w14:paraId="771616F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-0.0360</w:t>
            </w:r>
          </w:p>
        </w:tc>
        <w:tc>
          <w:tcPr>
            <w:tcW w:w="1350" w:type="dxa"/>
            <w:tcBorders>
              <w:top w:val="nil"/>
              <w:left w:val="nil"/>
              <w:bottom w:val="nil"/>
              <w:right w:val="nil"/>
            </w:tcBorders>
          </w:tcPr>
          <w:p w14:paraId="257C34B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(0.0827)</w:t>
            </w:r>
          </w:p>
        </w:tc>
      </w:tr>
      <w:tr w:rsidR="00E95D90" w:rsidRPr="00471862" w14:paraId="67802D12" w14:textId="77777777" w:rsidTr="00ED532F">
        <w:trPr>
          <w:trHeight w:val="144"/>
          <w:jc w:val="center"/>
        </w:trPr>
        <w:tc>
          <w:tcPr>
            <w:tcW w:w="4611" w:type="dxa"/>
            <w:tcBorders>
              <w:top w:val="nil"/>
              <w:left w:val="nil"/>
              <w:bottom w:val="nil"/>
              <w:right w:val="nil"/>
            </w:tcBorders>
          </w:tcPr>
          <w:p w14:paraId="7C6FD643"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Radio regular Women</w:t>
            </w:r>
          </w:p>
        </w:tc>
        <w:tc>
          <w:tcPr>
            <w:tcW w:w="1350" w:type="dxa"/>
            <w:tcBorders>
              <w:top w:val="nil"/>
              <w:left w:val="nil"/>
              <w:bottom w:val="nil"/>
              <w:right w:val="nil"/>
            </w:tcBorders>
          </w:tcPr>
          <w:p w14:paraId="697BD0A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4DFFC04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3538E169" w14:textId="77777777" w:rsidTr="00ED532F">
        <w:trPr>
          <w:trHeight w:val="144"/>
          <w:jc w:val="center"/>
        </w:trPr>
        <w:tc>
          <w:tcPr>
            <w:tcW w:w="4611" w:type="dxa"/>
            <w:tcBorders>
              <w:top w:val="nil"/>
              <w:left w:val="nil"/>
              <w:bottom w:val="nil"/>
              <w:right w:val="nil"/>
            </w:tcBorders>
          </w:tcPr>
          <w:p w14:paraId="3B4DFE1B"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Regularly</w:t>
            </w:r>
          </w:p>
        </w:tc>
        <w:tc>
          <w:tcPr>
            <w:tcW w:w="1350" w:type="dxa"/>
            <w:tcBorders>
              <w:top w:val="nil"/>
              <w:left w:val="nil"/>
              <w:bottom w:val="nil"/>
              <w:right w:val="nil"/>
            </w:tcBorders>
          </w:tcPr>
          <w:p w14:paraId="3A1A213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0.0174</w:t>
            </w:r>
          </w:p>
        </w:tc>
        <w:tc>
          <w:tcPr>
            <w:tcW w:w="1350" w:type="dxa"/>
            <w:tcBorders>
              <w:top w:val="nil"/>
              <w:left w:val="nil"/>
              <w:bottom w:val="nil"/>
              <w:right w:val="nil"/>
            </w:tcBorders>
          </w:tcPr>
          <w:p w14:paraId="1779C2F5"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(0.0878)</w:t>
            </w:r>
          </w:p>
        </w:tc>
      </w:tr>
      <w:tr w:rsidR="00E95D90" w:rsidRPr="00471862" w14:paraId="3CD1D5FD" w14:textId="77777777" w:rsidTr="00ED532F">
        <w:trPr>
          <w:trHeight w:val="144"/>
          <w:jc w:val="center"/>
        </w:trPr>
        <w:tc>
          <w:tcPr>
            <w:tcW w:w="4611" w:type="dxa"/>
            <w:tcBorders>
              <w:top w:val="nil"/>
              <w:left w:val="nil"/>
              <w:bottom w:val="nil"/>
              <w:right w:val="nil"/>
            </w:tcBorders>
          </w:tcPr>
          <w:p w14:paraId="622C39A8"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Newspaper regular Men</w:t>
            </w:r>
          </w:p>
        </w:tc>
        <w:tc>
          <w:tcPr>
            <w:tcW w:w="1350" w:type="dxa"/>
            <w:tcBorders>
              <w:top w:val="nil"/>
              <w:left w:val="nil"/>
              <w:bottom w:val="nil"/>
              <w:right w:val="nil"/>
            </w:tcBorders>
          </w:tcPr>
          <w:p w14:paraId="55ACCAEE"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60F1F1B0"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547C7011" w14:textId="77777777" w:rsidTr="00ED532F">
        <w:trPr>
          <w:trHeight w:val="144"/>
          <w:jc w:val="center"/>
        </w:trPr>
        <w:tc>
          <w:tcPr>
            <w:tcW w:w="4611" w:type="dxa"/>
            <w:tcBorders>
              <w:top w:val="nil"/>
              <w:left w:val="nil"/>
              <w:bottom w:val="nil"/>
              <w:right w:val="nil"/>
            </w:tcBorders>
          </w:tcPr>
          <w:p w14:paraId="590B17B6"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Regularly</w:t>
            </w:r>
          </w:p>
        </w:tc>
        <w:tc>
          <w:tcPr>
            <w:tcW w:w="1350" w:type="dxa"/>
            <w:tcBorders>
              <w:top w:val="nil"/>
              <w:left w:val="nil"/>
              <w:bottom w:val="nil"/>
              <w:right w:val="nil"/>
            </w:tcBorders>
          </w:tcPr>
          <w:p w14:paraId="199981ED"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0.0904</w:t>
            </w:r>
          </w:p>
        </w:tc>
        <w:tc>
          <w:tcPr>
            <w:tcW w:w="1350" w:type="dxa"/>
            <w:tcBorders>
              <w:top w:val="nil"/>
              <w:left w:val="nil"/>
              <w:bottom w:val="nil"/>
              <w:right w:val="nil"/>
            </w:tcBorders>
          </w:tcPr>
          <w:p w14:paraId="311A2EA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(0.0748)</w:t>
            </w:r>
          </w:p>
        </w:tc>
      </w:tr>
      <w:tr w:rsidR="00E95D90" w:rsidRPr="00471862" w14:paraId="3389E88A" w14:textId="77777777" w:rsidTr="00ED532F">
        <w:trPr>
          <w:trHeight w:val="144"/>
          <w:jc w:val="center"/>
        </w:trPr>
        <w:tc>
          <w:tcPr>
            <w:tcW w:w="4611" w:type="dxa"/>
            <w:tcBorders>
              <w:top w:val="nil"/>
              <w:left w:val="nil"/>
              <w:bottom w:val="nil"/>
              <w:right w:val="nil"/>
            </w:tcBorders>
          </w:tcPr>
          <w:p w14:paraId="44E42D3E"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Newspaper regular Women</w:t>
            </w:r>
          </w:p>
        </w:tc>
        <w:tc>
          <w:tcPr>
            <w:tcW w:w="1350" w:type="dxa"/>
            <w:tcBorders>
              <w:top w:val="nil"/>
              <w:left w:val="nil"/>
              <w:bottom w:val="nil"/>
              <w:right w:val="nil"/>
            </w:tcBorders>
          </w:tcPr>
          <w:p w14:paraId="00A8810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5B6B041E"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67088CEB" w14:textId="77777777" w:rsidTr="00ED532F">
        <w:trPr>
          <w:trHeight w:val="144"/>
          <w:jc w:val="center"/>
        </w:trPr>
        <w:tc>
          <w:tcPr>
            <w:tcW w:w="4611" w:type="dxa"/>
            <w:tcBorders>
              <w:top w:val="nil"/>
              <w:left w:val="nil"/>
              <w:bottom w:val="nil"/>
              <w:right w:val="nil"/>
            </w:tcBorders>
          </w:tcPr>
          <w:p w14:paraId="4CAABBD1"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Regularly</w:t>
            </w:r>
          </w:p>
        </w:tc>
        <w:tc>
          <w:tcPr>
            <w:tcW w:w="1350" w:type="dxa"/>
            <w:tcBorders>
              <w:top w:val="nil"/>
              <w:left w:val="nil"/>
              <w:bottom w:val="nil"/>
              <w:right w:val="nil"/>
            </w:tcBorders>
          </w:tcPr>
          <w:p w14:paraId="4CF417E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0.0819</w:t>
            </w:r>
          </w:p>
        </w:tc>
        <w:tc>
          <w:tcPr>
            <w:tcW w:w="1350" w:type="dxa"/>
            <w:tcBorders>
              <w:top w:val="nil"/>
              <w:left w:val="nil"/>
              <w:bottom w:val="nil"/>
              <w:right w:val="nil"/>
            </w:tcBorders>
          </w:tcPr>
          <w:p w14:paraId="4B4667C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(0.0761)</w:t>
            </w:r>
          </w:p>
        </w:tc>
      </w:tr>
      <w:tr w:rsidR="00E95D90" w:rsidRPr="00471862" w14:paraId="58285F84" w14:textId="77777777" w:rsidTr="00ED532F">
        <w:trPr>
          <w:trHeight w:val="144"/>
          <w:jc w:val="center"/>
        </w:trPr>
        <w:tc>
          <w:tcPr>
            <w:tcW w:w="4611" w:type="dxa"/>
            <w:tcBorders>
              <w:top w:val="nil"/>
              <w:left w:val="nil"/>
              <w:bottom w:val="nil"/>
              <w:right w:val="nil"/>
            </w:tcBorders>
          </w:tcPr>
          <w:p w14:paraId="4E12F9B9"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TV regular Men</w:t>
            </w:r>
          </w:p>
        </w:tc>
        <w:tc>
          <w:tcPr>
            <w:tcW w:w="1350" w:type="dxa"/>
            <w:tcBorders>
              <w:top w:val="nil"/>
              <w:left w:val="nil"/>
              <w:bottom w:val="nil"/>
              <w:right w:val="nil"/>
            </w:tcBorders>
          </w:tcPr>
          <w:p w14:paraId="49030CB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150ABE0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50EB1AFE" w14:textId="77777777" w:rsidTr="00ED532F">
        <w:trPr>
          <w:trHeight w:val="144"/>
          <w:jc w:val="center"/>
        </w:trPr>
        <w:tc>
          <w:tcPr>
            <w:tcW w:w="4611" w:type="dxa"/>
            <w:tcBorders>
              <w:top w:val="nil"/>
              <w:left w:val="nil"/>
              <w:bottom w:val="nil"/>
              <w:right w:val="nil"/>
            </w:tcBorders>
          </w:tcPr>
          <w:p w14:paraId="1FE53069"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Regularly</w:t>
            </w:r>
          </w:p>
        </w:tc>
        <w:tc>
          <w:tcPr>
            <w:tcW w:w="1350" w:type="dxa"/>
            <w:tcBorders>
              <w:top w:val="nil"/>
              <w:left w:val="nil"/>
              <w:bottom w:val="nil"/>
              <w:right w:val="nil"/>
            </w:tcBorders>
          </w:tcPr>
          <w:p w14:paraId="367EDD60"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-0.0401</w:t>
            </w:r>
          </w:p>
        </w:tc>
        <w:tc>
          <w:tcPr>
            <w:tcW w:w="1350" w:type="dxa"/>
            <w:tcBorders>
              <w:top w:val="nil"/>
              <w:left w:val="nil"/>
              <w:bottom w:val="nil"/>
              <w:right w:val="nil"/>
            </w:tcBorders>
          </w:tcPr>
          <w:p w14:paraId="3BFF6C50"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(0.0389)</w:t>
            </w:r>
          </w:p>
        </w:tc>
      </w:tr>
      <w:tr w:rsidR="00E95D90" w:rsidRPr="00471862" w14:paraId="09148A25" w14:textId="77777777" w:rsidTr="00ED532F">
        <w:trPr>
          <w:trHeight w:val="144"/>
          <w:jc w:val="center"/>
        </w:trPr>
        <w:tc>
          <w:tcPr>
            <w:tcW w:w="4611" w:type="dxa"/>
            <w:tcBorders>
              <w:top w:val="nil"/>
              <w:left w:val="nil"/>
              <w:bottom w:val="nil"/>
              <w:right w:val="nil"/>
            </w:tcBorders>
          </w:tcPr>
          <w:p w14:paraId="66776B9F"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TV regular Women</w:t>
            </w:r>
          </w:p>
        </w:tc>
        <w:tc>
          <w:tcPr>
            <w:tcW w:w="1350" w:type="dxa"/>
            <w:tcBorders>
              <w:top w:val="nil"/>
              <w:left w:val="nil"/>
              <w:bottom w:val="nil"/>
              <w:right w:val="nil"/>
            </w:tcBorders>
          </w:tcPr>
          <w:p w14:paraId="0E689B7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5E1FE80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7C5761BC" w14:textId="77777777" w:rsidTr="00F17AF2">
        <w:trPr>
          <w:trHeight w:val="144"/>
          <w:jc w:val="center"/>
        </w:trPr>
        <w:tc>
          <w:tcPr>
            <w:tcW w:w="4611" w:type="dxa"/>
            <w:tcBorders>
              <w:top w:val="nil"/>
              <w:left w:val="nil"/>
              <w:bottom w:val="single" w:sz="4" w:space="0" w:color="auto"/>
              <w:right w:val="nil"/>
            </w:tcBorders>
          </w:tcPr>
          <w:p w14:paraId="740452C1"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Regularly</w:t>
            </w:r>
          </w:p>
        </w:tc>
        <w:tc>
          <w:tcPr>
            <w:tcW w:w="1350" w:type="dxa"/>
            <w:tcBorders>
              <w:top w:val="nil"/>
              <w:left w:val="nil"/>
              <w:bottom w:val="single" w:sz="4" w:space="0" w:color="auto"/>
              <w:right w:val="nil"/>
            </w:tcBorders>
          </w:tcPr>
          <w:p w14:paraId="64E7A17C"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0.0403</w:t>
            </w:r>
          </w:p>
        </w:tc>
        <w:tc>
          <w:tcPr>
            <w:tcW w:w="1350" w:type="dxa"/>
            <w:tcBorders>
              <w:top w:val="nil"/>
              <w:left w:val="nil"/>
              <w:bottom w:val="single" w:sz="4" w:space="0" w:color="auto"/>
              <w:right w:val="nil"/>
            </w:tcBorders>
          </w:tcPr>
          <w:p w14:paraId="252AF72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(0.0402)</w:t>
            </w:r>
          </w:p>
        </w:tc>
      </w:tr>
      <w:tr w:rsidR="00F17AF2" w:rsidRPr="00471862" w14:paraId="171D2D87" w14:textId="77777777" w:rsidTr="00F17AF2">
        <w:trPr>
          <w:trHeight w:val="144"/>
          <w:jc w:val="center"/>
        </w:trPr>
        <w:tc>
          <w:tcPr>
            <w:tcW w:w="7311" w:type="dxa"/>
            <w:gridSpan w:val="3"/>
            <w:tcBorders>
              <w:top w:val="single" w:sz="4" w:space="0" w:color="auto"/>
              <w:left w:val="nil"/>
              <w:bottom w:val="single" w:sz="4" w:space="0" w:color="auto"/>
              <w:right w:val="nil"/>
            </w:tcBorders>
          </w:tcPr>
          <w:p w14:paraId="3F4D64B4" w14:textId="77777777" w:rsidR="00F17AF2" w:rsidRPr="00F17AF2" w:rsidRDefault="00F17AF2" w:rsidP="00F17AF2">
            <w:pPr>
              <w:widowControl w:val="0"/>
              <w:tabs>
                <w:tab w:val="left" w:pos="4680"/>
              </w:tabs>
              <w:autoSpaceDE w:val="0"/>
              <w:autoSpaceDN w:val="0"/>
              <w:adjustRightInd w:val="0"/>
              <w:spacing w:after="0" w:line="240" w:lineRule="auto"/>
              <w:rPr>
                <w:rFonts w:ascii="Arial" w:hAnsi="Arial" w:cs="Arial"/>
                <w:b/>
                <w:i/>
                <w:sz w:val="16"/>
                <w:szCs w:val="16"/>
              </w:rPr>
            </w:pPr>
            <w:r w:rsidRPr="00F17AF2">
              <w:rPr>
                <w:rFonts w:ascii="Arial" w:hAnsi="Arial" w:cs="Arial"/>
                <w:b/>
                <w:i/>
                <w:sz w:val="16"/>
                <w:szCs w:val="16"/>
              </w:rPr>
              <w:t xml:space="preserve">           (5) Other Variables (2005)</w:t>
            </w:r>
          </w:p>
        </w:tc>
      </w:tr>
      <w:tr w:rsidR="00E95D90" w:rsidRPr="00471862" w14:paraId="7390BDDC" w14:textId="77777777" w:rsidTr="00F17AF2">
        <w:trPr>
          <w:trHeight w:val="144"/>
          <w:jc w:val="center"/>
        </w:trPr>
        <w:tc>
          <w:tcPr>
            <w:tcW w:w="4611" w:type="dxa"/>
            <w:tcBorders>
              <w:top w:val="single" w:sz="4" w:space="0" w:color="auto"/>
              <w:left w:val="nil"/>
              <w:bottom w:val="nil"/>
              <w:right w:val="nil"/>
            </w:tcBorders>
          </w:tcPr>
          <w:p w14:paraId="5568493E"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Social Networks</w:t>
            </w:r>
          </w:p>
        </w:tc>
        <w:tc>
          <w:tcPr>
            <w:tcW w:w="1350" w:type="dxa"/>
            <w:tcBorders>
              <w:top w:val="single" w:sz="4" w:space="0" w:color="auto"/>
              <w:left w:val="nil"/>
              <w:bottom w:val="nil"/>
              <w:right w:val="nil"/>
            </w:tcBorders>
          </w:tcPr>
          <w:p w14:paraId="1CCEA804"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single" w:sz="4" w:space="0" w:color="auto"/>
              <w:left w:val="nil"/>
              <w:bottom w:val="nil"/>
              <w:right w:val="nil"/>
            </w:tcBorders>
          </w:tcPr>
          <w:p w14:paraId="3F1068C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34057354" w14:textId="77777777" w:rsidTr="00ED532F">
        <w:trPr>
          <w:trHeight w:val="144"/>
          <w:jc w:val="center"/>
        </w:trPr>
        <w:tc>
          <w:tcPr>
            <w:tcW w:w="4611" w:type="dxa"/>
            <w:tcBorders>
              <w:top w:val="nil"/>
              <w:left w:val="nil"/>
              <w:bottom w:val="nil"/>
              <w:right w:val="nil"/>
            </w:tcBorders>
          </w:tcPr>
          <w:p w14:paraId="12D08EC5"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1</w:t>
            </w:r>
          </w:p>
        </w:tc>
        <w:tc>
          <w:tcPr>
            <w:tcW w:w="1350" w:type="dxa"/>
            <w:tcBorders>
              <w:top w:val="nil"/>
              <w:left w:val="nil"/>
              <w:bottom w:val="nil"/>
              <w:right w:val="nil"/>
            </w:tcBorders>
          </w:tcPr>
          <w:p w14:paraId="6601DA2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-0.0320</w:t>
            </w:r>
          </w:p>
        </w:tc>
        <w:tc>
          <w:tcPr>
            <w:tcW w:w="1350" w:type="dxa"/>
            <w:tcBorders>
              <w:top w:val="nil"/>
              <w:left w:val="nil"/>
              <w:bottom w:val="nil"/>
              <w:right w:val="nil"/>
            </w:tcBorders>
          </w:tcPr>
          <w:p w14:paraId="701A1786"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(0.0497)</w:t>
            </w:r>
          </w:p>
        </w:tc>
      </w:tr>
      <w:tr w:rsidR="00E95D90" w:rsidRPr="00471862" w14:paraId="1A3B9763" w14:textId="77777777" w:rsidTr="00ED532F">
        <w:trPr>
          <w:trHeight w:val="144"/>
          <w:jc w:val="center"/>
        </w:trPr>
        <w:tc>
          <w:tcPr>
            <w:tcW w:w="4611" w:type="dxa"/>
            <w:tcBorders>
              <w:top w:val="nil"/>
              <w:left w:val="nil"/>
              <w:bottom w:val="nil"/>
              <w:right w:val="nil"/>
            </w:tcBorders>
          </w:tcPr>
          <w:p w14:paraId="50263CE6"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2</w:t>
            </w:r>
          </w:p>
        </w:tc>
        <w:tc>
          <w:tcPr>
            <w:tcW w:w="1350" w:type="dxa"/>
            <w:tcBorders>
              <w:top w:val="nil"/>
              <w:left w:val="nil"/>
              <w:bottom w:val="nil"/>
              <w:right w:val="nil"/>
            </w:tcBorders>
          </w:tcPr>
          <w:p w14:paraId="65FB262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-0.0441</w:t>
            </w:r>
          </w:p>
        </w:tc>
        <w:tc>
          <w:tcPr>
            <w:tcW w:w="1350" w:type="dxa"/>
            <w:tcBorders>
              <w:top w:val="nil"/>
              <w:left w:val="nil"/>
              <w:bottom w:val="nil"/>
              <w:right w:val="nil"/>
            </w:tcBorders>
          </w:tcPr>
          <w:p w14:paraId="6EF3CE3B"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(0.0357)</w:t>
            </w:r>
          </w:p>
        </w:tc>
      </w:tr>
      <w:tr w:rsidR="00E95D90" w:rsidRPr="00471862" w14:paraId="31CE2954" w14:textId="77777777" w:rsidTr="00ED532F">
        <w:trPr>
          <w:trHeight w:val="144"/>
          <w:jc w:val="center"/>
        </w:trPr>
        <w:tc>
          <w:tcPr>
            <w:tcW w:w="4611" w:type="dxa"/>
            <w:tcBorders>
              <w:top w:val="nil"/>
              <w:left w:val="nil"/>
              <w:bottom w:val="nil"/>
              <w:right w:val="nil"/>
            </w:tcBorders>
          </w:tcPr>
          <w:p w14:paraId="7B2B5E71"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&gt;2</w:t>
            </w:r>
          </w:p>
        </w:tc>
        <w:tc>
          <w:tcPr>
            <w:tcW w:w="1350" w:type="dxa"/>
            <w:tcBorders>
              <w:top w:val="nil"/>
              <w:left w:val="nil"/>
              <w:bottom w:val="nil"/>
              <w:right w:val="nil"/>
            </w:tcBorders>
          </w:tcPr>
          <w:p w14:paraId="49D31F12"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0.0655</w:t>
            </w:r>
          </w:p>
        </w:tc>
        <w:tc>
          <w:tcPr>
            <w:tcW w:w="1350" w:type="dxa"/>
            <w:tcBorders>
              <w:top w:val="nil"/>
              <w:left w:val="nil"/>
              <w:bottom w:val="nil"/>
              <w:right w:val="nil"/>
            </w:tcBorders>
          </w:tcPr>
          <w:p w14:paraId="435BBF7E"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(0.0502)</w:t>
            </w:r>
          </w:p>
        </w:tc>
      </w:tr>
      <w:tr w:rsidR="00E95D90" w:rsidRPr="00471862" w14:paraId="45E4C5A4" w14:textId="77777777" w:rsidTr="00ED532F">
        <w:trPr>
          <w:trHeight w:val="144"/>
          <w:jc w:val="center"/>
        </w:trPr>
        <w:tc>
          <w:tcPr>
            <w:tcW w:w="4611" w:type="dxa"/>
            <w:tcBorders>
              <w:top w:val="nil"/>
              <w:left w:val="nil"/>
              <w:bottom w:val="nil"/>
              <w:right w:val="nil"/>
            </w:tcBorders>
          </w:tcPr>
          <w:p w14:paraId="4D144C37"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Theft</w:t>
            </w:r>
          </w:p>
        </w:tc>
        <w:tc>
          <w:tcPr>
            <w:tcW w:w="1350" w:type="dxa"/>
            <w:tcBorders>
              <w:top w:val="nil"/>
              <w:left w:val="nil"/>
              <w:bottom w:val="nil"/>
              <w:right w:val="nil"/>
            </w:tcBorders>
          </w:tcPr>
          <w:p w14:paraId="1EBCA583"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462649A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6DF9DA40" w14:textId="77777777" w:rsidTr="00ED532F">
        <w:trPr>
          <w:trHeight w:val="144"/>
          <w:jc w:val="center"/>
        </w:trPr>
        <w:tc>
          <w:tcPr>
            <w:tcW w:w="4611" w:type="dxa"/>
            <w:tcBorders>
              <w:top w:val="nil"/>
              <w:left w:val="nil"/>
              <w:bottom w:val="nil"/>
              <w:right w:val="nil"/>
            </w:tcBorders>
          </w:tcPr>
          <w:p w14:paraId="747EF7F8"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Yes</w:t>
            </w:r>
          </w:p>
        </w:tc>
        <w:tc>
          <w:tcPr>
            <w:tcW w:w="1350" w:type="dxa"/>
            <w:tcBorders>
              <w:top w:val="nil"/>
              <w:left w:val="nil"/>
              <w:bottom w:val="nil"/>
              <w:right w:val="nil"/>
            </w:tcBorders>
          </w:tcPr>
          <w:p w14:paraId="45FBEBAA"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-0.174***</w:t>
            </w:r>
          </w:p>
        </w:tc>
        <w:tc>
          <w:tcPr>
            <w:tcW w:w="1350" w:type="dxa"/>
            <w:tcBorders>
              <w:top w:val="nil"/>
              <w:left w:val="nil"/>
              <w:bottom w:val="nil"/>
              <w:right w:val="nil"/>
            </w:tcBorders>
          </w:tcPr>
          <w:p w14:paraId="6C8CBB4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(0.0382)</w:t>
            </w:r>
          </w:p>
        </w:tc>
      </w:tr>
      <w:tr w:rsidR="00E95D90" w:rsidRPr="00471862" w14:paraId="2EF90418" w14:textId="77777777" w:rsidTr="00ED532F">
        <w:trPr>
          <w:trHeight w:val="144"/>
          <w:jc w:val="center"/>
        </w:trPr>
        <w:tc>
          <w:tcPr>
            <w:tcW w:w="4611" w:type="dxa"/>
            <w:tcBorders>
              <w:top w:val="nil"/>
              <w:left w:val="nil"/>
              <w:bottom w:val="nil"/>
              <w:right w:val="nil"/>
            </w:tcBorders>
          </w:tcPr>
          <w:p w14:paraId="2536B779"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Conflict in village</w:t>
            </w:r>
          </w:p>
        </w:tc>
        <w:tc>
          <w:tcPr>
            <w:tcW w:w="1350" w:type="dxa"/>
            <w:tcBorders>
              <w:top w:val="nil"/>
              <w:left w:val="nil"/>
              <w:bottom w:val="nil"/>
              <w:right w:val="nil"/>
            </w:tcBorders>
          </w:tcPr>
          <w:p w14:paraId="3F2957ED"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c>
          <w:tcPr>
            <w:tcW w:w="1350" w:type="dxa"/>
            <w:tcBorders>
              <w:top w:val="nil"/>
              <w:left w:val="nil"/>
              <w:bottom w:val="nil"/>
              <w:right w:val="nil"/>
            </w:tcBorders>
          </w:tcPr>
          <w:p w14:paraId="301EF711"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p>
        </w:tc>
      </w:tr>
      <w:tr w:rsidR="00E95D90" w:rsidRPr="00471862" w14:paraId="39FC2288" w14:textId="77777777" w:rsidTr="00F17AF2">
        <w:trPr>
          <w:trHeight w:val="144"/>
          <w:jc w:val="center"/>
        </w:trPr>
        <w:tc>
          <w:tcPr>
            <w:tcW w:w="4611" w:type="dxa"/>
            <w:tcBorders>
              <w:top w:val="nil"/>
              <w:left w:val="nil"/>
              <w:bottom w:val="single" w:sz="4" w:space="0" w:color="auto"/>
              <w:right w:val="nil"/>
            </w:tcBorders>
          </w:tcPr>
          <w:p w14:paraId="221EDA0C" w14:textId="77777777" w:rsidR="00E95D90" w:rsidRPr="00471862" w:rsidRDefault="00E95D90" w:rsidP="00ED532F">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 xml:space="preserve">  Yes</w:t>
            </w:r>
          </w:p>
        </w:tc>
        <w:tc>
          <w:tcPr>
            <w:tcW w:w="1350" w:type="dxa"/>
            <w:tcBorders>
              <w:top w:val="nil"/>
              <w:left w:val="nil"/>
              <w:bottom w:val="single" w:sz="4" w:space="0" w:color="auto"/>
              <w:right w:val="nil"/>
            </w:tcBorders>
          </w:tcPr>
          <w:p w14:paraId="149FC33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-0.132***</w:t>
            </w:r>
          </w:p>
        </w:tc>
        <w:tc>
          <w:tcPr>
            <w:tcW w:w="1350" w:type="dxa"/>
            <w:tcBorders>
              <w:top w:val="nil"/>
              <w:left w:val="nil"/>
              <w:bottom w:val="single" w:sz="4" w:space="0" w:color="auto"/>
              <w:right w:val="nil"/>
            </w:tcBorders>
          </w:tcPr>
          <w:p w14:paraId="50111269" w14:textId="77777777" w:rsidR="00E95D90" w:rsidRPr="00471862" w:rsidRDefault="00E95D90" w:rsidP="00ED532F">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(0.0320)</w:t>
            </w:r>
          </w:p>
        </w:tc>
      </w:tr>
      <w:tr w:rsidR="00F17AF2" w:rsidRPr="00471862" w14:paraId="6EC4C603" w14:textId="77777777" w:rsidTr="00F90917">
        <w:trPr>
          <w:trHeight w:val="144"/>
          <w:jc w:val="center"/>
        </w:trPr>
        <w:tc>
          <w:tcPr>
            <w:tcW w:w="7311" w:type="dxa"/>
            <w:gridSpan w:val="3"/>
            <w:tcBorders>
              <w:top w:val="single" w:sz="4" w:space="0" w:color="auto"/>
              <w:left w:val="nil"/>
              <w:bottom w:val="single" w:sz="4" w:space="0" w:color="auto"/>
              <w:right w:val="nil"/>
            </w:tcBorders>
          </w:tcPr>
          <w:p w14:paraId="18C593D3" w14:textId="77777777" w:rsidR="00F17AF2" w:rsidRPr="00F17AF2" w:rsidRDefault="00F17AF2" w:rsidP="00F17AF2">
            <w:pPr>
              <w:widowControl w:val="0"/>
              <w:tabs>
                <w:tab w:val="left" w:pos="4680"/>
              </w:tabs>
              <w:autoSpaceDE w:val="0"/>
              <w:autoSpaceDN w:val="0"/>
              <w:adjustRightInd w:val="0"/>
              <w:spacing w:after="0" w:line="240" w:lineRule="auto"/>
              <w:rPr>
                <w:rFonts w:ascii="Arial" w:hAnsi="Arial" w:cs="Arial"/>
                <w:b/>
                <w:i/>
                <w:sz w:val="16"/>
                <w:szCs w:val="16"/>
              </w:rPr>
            </w:pPr>
            <w:r>
              <w:rPr>
                <w:rFonts w:ascii="Arial" w:hAnsi="Arial" w:cs="Arial"/>
                <w:b/>
                <w:i/>
                <w:sz w:val="16"/>
                <w:szCs w:val="16"/>
              </w:rPr>
              <w:t xml:space="preserve">           (6) Initial Economic Conditions </w:t>
            </w:r>
            <w:r w:rsidRPr="00F17AF2">
              <w:rPr>
                <w:rFonts w:ascii="Arial" w:hAnsi="Arial" w:cs="Arial"/>
                <w:b/>
                <w:i/>
                <w:sz w:val="16"/>
                <w:szCs w:val="16"/>
              </w:rPr>
              <w:t>(2005)</w:t>
            </w:r>
          </w:p>
        </w:tc>
      </w:tr>
      <w:tr w:rsidR="008421AA" w:rsidRPr="00471862" w14:paraId="52A940E3" w14:textId="77777777" w:rsidTr="00F17AF2">
        <w:trPr>
          <w:trHeight w:val="144"/>
          <w:jc w:val="center"/>
        </w:trPr>
        <w:tc>
          <w:tcPr>
            <w:tcW w:w="4611" w:type="dxa"/>
            <w:tcBorders>
              <w:top w:val="single" w:sz="4" w:space="0" w:color="auto"/>
              <w:left w:val="nil"/>
              <w:bottom w:val="nil"/>
              <w:right w:val="nil"/>
            </w:tcBorders>
          </w:tcPr>
          <w:p w14:paraId="0DED626B"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Monthly Per capita expenditure (’00)</w:t>
            </w:r>
          </w:p>
        </w:tc>
        <w:tc>
          <w:tcPr>
            <w:tcW w:w="1350" w:type="dxa"/>
            <w:tcBorders>
              <w:top w:val="single" w:sz="4" w:space="0" w:color="auto"/>
              <w:left w:val="nil"/>
              <w:bottom w:val="nil"/>
              <w:right w:val="nil"/>
            </w:tcBorders>
          </w:tcPr>
          <w:p w14:paraId="66E56A20"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-0.0711***</w:t>
            </w:r>
          </w:p>
        </w:tc>
        <w:tc>
          <w:tcPr>
            <w:tcW w:w="1350" w:type="dxa"/>
            <w:tcBorders>
              <w:top w:val="single" w:sz="4" w:space="0" w:color="auto"/>
              <w:left w:val="nil"/>
              <w:bottom w:val="nil"/>
              <w:right w:val="nil"/>
            </w:tcBorders>
          </w:tcPr>
          <w:p w14:paraId="0A2543DE"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(0.00586)</w:t>
            </w:r>
          </w:p>
        </w:tc>
      </w:tr>
      <w:tr w:rsidR="008421AA" w:rsidRPr="00471862" w14:paraId="4403EFB7" w14:textId="77777777" w:rsidTr="00ED532F">
        <w:trPr>
          <w:trHeight w:val="144"/>
          <w:jc w:val="center"/>
        </w:trPr>
        <w:tc>
          <w:tcPr>
            <w:tcW w:w="4611" w:type="dxa"/>
            <w:tcBorders>
              <w:top w:val="nil"/>
              <w:left w:val="nil"/>
              <w:bottom w:val="nil"/>
              <w:right w:val="nil"/>
            </w:tcBorders>
          </w:tcPr>
          <w:p w14:paraId="422B28DE"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Square of Monthly Per capita expenditure (’00)</w:t>
            </w:r>
          </w:p>
        </w:tc>
        <w:tc>
          <w:tcPr>
            <w:tcW w:w="1350" w:type="dxa"/>
            <w:tcBorders>
              <w:top w:val="nil"/>
              <w:left w:val="nil"/>
              <w:bottom w:val="nil"/>
              <w:right w:val="nil"/>
            </w:tcBorders>
          </w:tcPr>
          <w:p w14:paraId="0CCBB5C7"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0.000344***</w:t>
            </w:r>
          </w:p>
        </w:tc>
        <w:tc>
          <w:tcPr>
            <w:tcW w:w="1350" w:type="dxa"/>
            <w:tcBorders>
              <w:top w:val="nil"/>
              <w:left w:val="nil"/>
              <w:bottom w:val="nil"/>
              <w:right w:val="nil"/>
            </w:tcBorders>
          </w:tcPr>
          <w:p w14:paraId="7E0940B2"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(7.62e-05)</w:t>
            </w:r>
          </w:p>
        </w:tc>
      </w:tr>
      <w:tr w:rsidR="008421AA" w:rsidRPr="00471862" w14:paraId="15C24A2B" w14:textId="77777777" w:rsidTr="00ED532F">
        <w:trPr>
          <w:trHeight w:val="144"/>
          <w:jc w:val="center"/>
        </w:trPr>
        <w:tc>
          <w:tcPr>
            <w:tcW w:w="4611" w:type="dxa"/>
            <w:tcBorders>
              <w:top w:val="nil"/>
              <w:left w:val="nil"/>
              <w:bottom w:val="nil"/>
              <w:right w:val="nil"/>
            </w:tcBorders>
          </w:tcPr>
          <w:p w14:paraId="66100D7B"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Household per capita expenditure as fraction of highest in PSU</w:t>
            </w:r>
          </w:p>
        </w:tc>
        <w:tc>
          <w:tcPr>
            <w:tcW w:w="1350" w:type="dxa"/>
            <w:tcBorders>
              <w:top w:val="nil"/>
              <w:left w:val="nil"/>
              <w:bottom w:val="nil"/>
              <w:right w:val="nil"/>
            </w:tcBorders>
          </w:tcPr>
          <w:p w14:paraId="10E204E6"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-0.522***</w:t>
            </w:r>
          </w:p>
        </w:tc>
        <w:tc>
          <w:tcPr>
            <w:tcW w:w="1350" w:type="dxa"/>
            <w:tcBorders>
              <w:top w:val="nil"/>
              <w:left w:val="nil"/>
              <w:bottom w:val="nil"/>
              <w:right w:val="nil"/>
            </w:tcBorders>
          </w:tcPr>
          <w:p w14:paraId="49E29D88"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(0.0668)</w:t>
            </w:r>
          </w:p>
        </w:tc>
      </w:tr>
      <w:tr w:rsidR="008421AA" w:rsidRPr="00471862" w14:paraId="2865D549" w14:textId="77777777" w:rsidTr="00ED532F">
        <w:trPr>
          <w:trHeight w:val="144"/>
          <w:jc w:val="center"/>
        </w:trPr>
        <w:tc>
          <w:tcPr>
            <w:tcW w:w="4611" w:type="dxa"/>
            <w:tcBorders>
              <w:top w:val="nil"/>
              <w:left w:val="nil"/>
              <w:bottom w:val="nil"/>
              <w:right w:val="nil"/>
            </w:tcBorders>
          </w:tcPr>
          <w:p w14:paraId="59A40C57"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lastRenderedPageBreak/>
              <w:t>Ratio of share top 1% to bottom 50%</w:t>
            </w:r>
          </w:p>
        </w:tc>
        <w:tc>
          <w:tcPr>
            <w:tcW w:w="1350" w:type="dxa"/>
            <w:tcBorders>
              <w:top w:val="nil"/>
              <w:left w:val="nil"/>
              <w:bottom w:val="nil"/>
              <w:right w:val="nil"/>
            </w:tcBorders>
          </w:tcPr>
          <w:p w14:paraId="057A52B4"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-0.0881</w:t>
            </w:r>
          </w:p>
        </w:tc>
        <w:tc>
          <w:tcPr>
            <w:tcW w:w="1350" w:type="dxa"/>
            <w:tcBorders>
              <w:top w:val="nil"/>
              <w:left w:val="nil"/>
              <w:bottom w:val="nil"/>
              <w:right w:val="nil"/>
            </w:tcBorders>
          </w:tcPr>
          <w:p w14:paraId="40C388D9"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(0.127)</w:t>
            </w:r>
          </w:p>
        </w:tc>
      </w:tr>
      <w:tr w:rsidR="008421AA" w:rsidRPr="00471862" w14:paraId="665EC212" w14:textId="77777777" w:rsidTr="00ED532F">
        <w:trPr>
          <w:trHeight w:val="144"/>
          <w:jc w:val="center"/>
        </w:trPr>
        <w:tc>
          <w:tcPr>
            <w:tcW w:w="4611" w:type="dxa"/>
            <w:tcBorders>
              <w:top w:val="nil"/>
              <w:left w:val="nil"/>
              <w:bottom w:val="nil"/>
              <w:right w:val="nil"/>
            </w:tcBorders>
          </w:tcPr>
          <w:p w14:paraId="65B40CF0"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eastAsia="Times New Roman" w:hAnsi="Arial" w:cs="Arial"/>
                <w:sz w:val="16"/>
                <w:szCs w:val="16"/>
              </w:rPr>
              <w:t>Net State domestic Product (in ‘000)</w:t>
            </w:r>
          </w:p>
        </w:tc>
        <w:tc>
          <w:tcPr>
            <w:tcW w:w="1350" w:type="dxa"/>
            <w:tcBorders>
              <w:top w:val="nil"/>
              <w:left w:val="nil"/>
              <w:bottom w:val="nil"/>
              <w:right w:val="nil"/>
            </w:tcBorders>
          </w:tcPr>
          <w:p w14:paraId="47612E9A"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0.0246***</w:t>
            </w:r>
          </w:p>
        </w:tc>
        <w:tc>
          <w:tcPr>
            <w:tcW w:w="1350" w:type="dxa"/>
            <w:tcBorders>
              <w:top w:val="nil"/>
              <w:left w:val="nil"/>
              <w:bottom w:val="nil"/>
              <w:right w:val="nil"/>
            </w:tcBorders>
          </w:tcPr>
          <w:p w14:paraId="7645947F"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(0.00484)</w:t>
            </w:r>
          </w:p>
        </w:tc>
      </w:tr>
      <w:tr w:rsidR="008421AA" w:rsidRPr="00471862" w14:paraId="30D58194" w14:textId="77777777" w:rsidTr="00ED532F">
        <w:trPr>
          <w:trHeight w:val="144"/>
          <w:jc w:val="center"/>
        </w:trPr>
        <w:tc>
          <w:tcPr>
            <w:tcW w:w="4611" w:type="dxa"/>
            <w:tcBorders>
              <w:top w:val="nil"/>
              <w:left w:val="nil"/>
              <w:bottom w:val="nil"/>
              <w:right w:val="nil"/>
            </w:tcBorders>
          </w:tcPr>
          <w:p w14:paraId="5C482925"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eastAsia="Times New Roman" w:hAnsi="Arial" w:cs="Arial"/>
                <w:sz w:val="16"/>
                <w:szCs w:val="16"/>
              </w:rPr>
              <w:t>Net State domestic Product (in ‘000) Square</w:t>
            </w:r>
          </w:p>
        </w:tc>
        <w:tc>
          <w:tcPr>
            <w:tcW w:w="1350" w:type="dxa"/>
            <w:tcBorders>
              <w:top w:val="nil"/>
              <w:left w:val="nil"/>
              <w:bottom w:val="nil"/>
              <w:right w:val="nil"/>
            </w:tcBorders>
          </w:tcPr>
          <w:p w14:paraId="575F4CE7"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-0.000247***</w:t>
            </w:r>
          </w:p>
        </w:tc>
        <w:tc>
          <w:tcPr>
            <w:tcW w:w="1350" w:type="dxa"/>
            <w:tcBorders>
              <w:top w:val="nil"/>
              <w:left w:val="nil"/>
              <w:bottom w:val="nil"/>
              <w:right w:val="nil"/>
            </w:tcBorders>
          </w:tcPr>
          <w:p w14:paraId="7E16194C"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(7.34e-05)</w:t>
            </w:r>
          </w:p>
        </w:tc>
      </w:tr>
      <w:tr w:rsidR="008421AA" w:rsidRPr="00471862" w14:paraId="6BBA0EAE" w14:textId="77777777" w:rsidTr="00ED532F">
        <w:trPr>
          <w:trHeight w:val="144"/>
          <w:jc w:val="center"/>
        </w:trPr>
        <w:tc>
          <w:tcPr>
            <w:tcW w:w="4611" w:type="dxa"/>
            <w:tcBorders>
              <w:top w:val="nil"/>
              <w:left w:val="nil"/>
              <w:bottom w:val="nil"/>
              <w:right w:val="nil"/>
            </w:tcBorders>
          </w:tcPr>
          <w:p w14:paraId="09D8E61B"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Constant</w:t>
            </w:r>
          </w:p>
        </w:tc>
        <w:tc>
          <w:tcPr>
            <w:tcW w:w="1350" w:type="dxa"/>
            <w:tcBorders>
              <w:top w:val="nil"/>
              <w:left w:val="nil"/>
              <w:bottom w:val="nil"/>
              <w:right w:val="nil"/>
            </w:tcBorders>
          </w:tcPr>
          <w:p w14:paraId="61005D64"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-0.126</w:t>
            </w:r>
          </w:p>
        </w:tc>
        <w:tc>
          <w:tcPr>
            <w:tcW w:w="1350" w:type="dxa"/>
            <w:tcBorders>
              <w:top w:val="nil"/>
              <w:left w:val="nil"/>
              <w:bottom w:val="nil"/>
              <w:right w:val="nil"/>
            </w:tcBorders>
          </w:tcPr>
          <w:p w14:paraId="660BBF62"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(0.169)</w:t>
            </w:r>
          </w:p>
        </w:tc>
      </w:tr>
      <w:tr w:rsidR="008421AA" w:rsidRPr="00471862" w14:paraId="0346AF7A" w14:textId="77777777" w:rsidTr="00ED532F">
        <w:trPr>
          <w:trHeight w:val="144"/>
          <w:jc w:val="center"/>
        </w:trPr>
        <w:tc>
          <w:tcPr>
            <w:tcW w:w="4611" w:type="dxa"/>
            <w:tcBorders>
              <w:top w:val="nil"/>
              <w:left w:val="nil"/>
              <w:bottom w:val="nil"/>
              <w:right w:val="nil"/>
            </w:tcBorders>
          </w:tcPr>
          <w:p w14:paraId="5BD2219F"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Observations</w:t>
            </w:r>
          </w:p>
        </w:tc>
        <w:tc>
          <w:tcPr>
            <w:tcW w:w="1350" w:type="dxa"/>
            <w:tcBorders>
              <w:top w:val="nil"/>
              <w:left w:val="nil"/>
              <w:bottom w:val="nil"/>
              <w:right w:val="nil"/>
            </w:tcBorders>
          </w:tcPr>
          <w:p w14:paraId="2760A6B5"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27,945</w:t>
            </w:r>
          </w:p>
        </w:tc>
        <w:tc>
          <w:tcPr>
            <w:tcW w:w="1350" w:type="dxa"/>
            <w:tcBorders>
              <w:top w:val="nil"/>
              <w:left w:val="nil"/>
              <w:bottom w:val="nil"/>
              <w:right w:val="nil"/>
            </w:tcBorders>
          </w:tcPr>
          <w:p w14:paraId="41E82E58"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p>
        </w:tc>
      </w:tr>
      <w:tr w:rsidR="008421AA" w:rsidRPr="00471862" w14:paraId="6C1E418C" w14:textId="77777777" w:rsidTr="00ED532F">
        <w:tblPrEx>
          <w:tblBorders>
            <w:bottom w:val="single" w:sz="6" w:space="0" w:color="auto"/>
          </w:tblBorders>
        </w:tblPrEx>
        <w:trPr>
          <w:trHeight w:val="144"/>
          <w:jc w:val="center"/>
        </w:trPr>
        <w:tc>
          <w:tcPr>
            <w:tcW w:w="4611" w:type="dxa"/>
            <w:tcBorders>
              <w:top w:val="nil"/>
              <w:left w:val="nil"/>
              <w:bottom w:val="single" w:sz="6" w:space="0" w:color="auto"/>
              <w:right w:val="nil"/>
            </w:tcBorders>
          </w:tcPr>
          <w:p w14:paraId="49C69610" w14:textId="77777777" w:rsidR="008421AA" w:rsidRPr="00471862" w:rsidRDefault="008421AA" w:rsidP="008421AA">
            <w:pPr>
              <w:widowControl w:val="0"/>
              <w:tabs>
                <w:tab w:val="left" w:pos="4680"/>
              </w:tabs>
              <w:autoSpaceDE w:val="0"/>
              <w:autoSpaceDN w:val="0"/>
              <w:adjustRightInd w:val="0"/>
              <w:spacing w:after="0" w:line="240" w:lineRule="auto"/>
              <w:rPr>
                <w:rFonts w:ascii="Arial" w:hAnsi="Arial" w:cs="Arial"/>
                <w:sz w:val="16"/>
                <w:szCs w:val="16"/>
              </w:rPr>
            </w:pPr>
            <w:r w:rsidRPr="00471862">
              <w:rPr>
                <w:rFonts w:ascii="Arial" w:hAnsi="Arial" w:cs="Arial"/>
                <w:sz w:val="16"/>
                <w:szCs w:val="16"/>
              </w:rPr>
              <w:t>R-squared</w:t>
            </w:r>
          </w:p>
        </w:tc>
        <w:tc>
          <w:tcPr>
            <w:tcW w:w="1350" w:type="dxa"/>
            <w:tcBorders>
              <w:top w:val="nil"/>
              <w:left w:val="nil"/>
              <w:bottom w:val="single" w:sz="6" w:space="0" w:color="auto"/>
              <w:right w:val="nil"/>
            </w:tcBorders>
          </w:tcPr>
          <w:p w14:paraId="6277CD3D"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r w:rsidRPr="00471862">
              <w:rPr>
                <w:rFonts w:ascii="Arial" w:hAnsi="Arial" w:cs="Arial"/>
                <w:sz w:val="16"/>
                <w:szCs w:val="16"/>
              </w:rPr>
              <w:t>0.053</w:t>
            </w:r>
          </w:p>
        </w:tc>
        <w:tc>
          <w:tcPr>
            <w:tcW w:w="1350" w:type="dxa"/>
            <w:tcBorders>
              <w:top w:val="nil"/>
              <w:left w:val="nil"/>
              <w:bottom w:val="single" w:sz="6" w:space="0" w:color="auto"/>
              <w:right w:val="nil"/>
            </w:tcBorders>
          </w:tcPr>
          <w:p w14:paraId="29097D72" w14:textId="77777777" w:rsidR="008421AA" w:rsidRPr="00471862" w:rsidRDefault="008421AA" w:rsidP="008421AA">
            <w:pPr>
              <w:widowControl w:val="0"/>
              <w:tabs>
                <w:tab w:val="left" w:pos="4680"/>
              </w:tabs>
              <w:autoSpaceDE w:val="0"/>
              <w:autoSpaceDN w:val="0"/>
              <w:adjustRightInd w:val="0"/>
              <w:spacing w:after="0" w:line="240" w:lineRule="auto"/>
              <w:jc w:val="center"/>
              <w:rPr>
                <w:rFonts w:ascii="Arial" w:hAnsi="Arial" w:cs="Arial"/>
                <w:sz w:val="16"/>
                <w:szCs w:val="16"/>
              </w:rPr>
            </w:pPr>
          </w:p>
        </w:tc>
      </w:tr>
    </w:tbl>
    <w:p w14:paraId="5FC58E78" w14:textId="77777777" w:rsidR="00F34CC1" w:rsidRDefault="00E95D90" w:rsidP="00E95D90">
      <w:pPr>
        <w:widowControl w:val="0"/>
        <w:tabs>
          <w:tab w:val="left" w:pos="4680"/>
        </w:tabs>
        <w:autoSpaceDE w:val="0"/>
        <w:autoSpaceDN w:val="0"/>
        <w:adjustRightInd w:val="0"/>
        <w:spacing w:after="0" w:line="240" w:lineRule="auto"/>
        <w:jc w:val="center"/>
        <w:rPr>
          <w:rFonts w:ascii="Arial Narrow" w:eastAsiaTheme="minorEastAsia" w:hAnsi="Arial Narrow" w:cs="Times New Roman"/>
          <w:b/>
        </w:rPr>
      </w:pPr>
      <w:proofErr w:type="gramStart"/>
      <w:r w:rsidRPr="00471862">
        <w:rPr>
          <w:rFonts w:ascii="Arial" w:hAnsi="Arial" w:cs="Arial"/>
          <w:sz w:val="16"/>
          <w:szCs w:val="16"/>
        </w:rPr>
        <w:t>Robust Standard errors in parentheses</w:t>
      </w:r>
      <w:r w:rsidR="003A174B">
        <w:rPr>
          <w:rFonts w:ascii="Arial Narrow" w:eastAsiaTheme="minorEastAsia" w:hAnsi="Arial Narrow" w:cs="Times New Roman"/>
          <w:b/>
        </w:rPr>
        <w:t>.</w:t>
      </w:r>
      <w:proofErr w:type="gramEnd"/>
    </w:p>
    <w:p w14:paraId="38F7801D" w14:textId="77777777" w:rsidR="003A174B" w:rsidRDefault="003A174B" w:rsidP="003A174B">
      <w:pPr>
        <w:widowControl w:val="0"/>
        <w:tabs>
          <w:tab w:val="left" w:pos="4680"/>
        </w:tabs>
        <w:autoSpaceDE w:val="0"/>
        <w:autoSpaceDN w:val="0"/>
        <w:adjustRightInd w:val="0"/>
        <w:spacing w:after="0" w:line="240" w:lineRule="auto"/>
        <w:jc w:val="center"/>
        <w:rPr>
          <w:rFonts w:ascii="Arial Narrow" w:eastAsia="Times New Roman" w:hAnsi="Arial Narrow" w:cs="Times New Roman"/>
          <w:color w:val="000000"/>
          <w:lang w:val="en-US"/>
        </w:rPr>
      </w:pPr>
      <w:r w:rsidRPr="00F34CC1">
        <w:rPr>
          <w:rFonts w:ascii="Arial Narrow" w:eastAsiaTheme="minorEastAsia" w:hAnsi="Arial Narrow" w:cs="Times New Roman"/>
          <w:b/>
        </w:rPr>
        <w:t xml:space="preserve">Appendix </w:t>
      </w:r>
      <w:r w:rsidRPr="00F34CC1">
        <w:rPr>
          <w:rFonts w:ascii="Arial Narrow" w:eastAsiaTheme="minorEastAsia" w:hAnsi="Arial Narrow" w:cs="Times New Roman"/>
          <w:b/>
          <w:lang w:val="en-US"/>
        </w:rPr>
        <w:t>Table A.2</w:t>
      </w:r>
      <w:r w:rsidRPr="00F34CC1">
        <w:rPr>
          <w:rFonts w:ascii="Arial Narrow" w:eastAsia="Times New Roman" w:hAnsi="Arial Narrow" w:cs="Times New Roman"/>
          <w:b/>
          <w:color w:val="000000"/>
          <w:lang w:val="en-US"/>
        </w:rPr>
        <w:t>: Marginal Effects/</w:t>
      </w:r>
      <w:r w:rsidR="008D451D">
        <w:rPr>
          <w:rFonts w:ascii="Arial Narrow" w:eastAsia="Times New Roman" w:hAnsi="Arial Narrow" w:cs="Times New Roman"/>
          <w:b/>
          <w:color w:val="000000"/>
          <w:lang w:val="en-US"/>
        </w:rPr>
        <w:t>Associations</w:t>
      </w:r>
      <w:r w:rsidRPr="00F34CC1">
        <w:rPr>
          <w:rFonts w:ascii="Arial Narrow" w:eastAsia="Times New Roman" w:hAnsi="Arial Narrow" w:cs="Times New Roman"/>
          <w:b/>
          <w:color w:val="000000"/>
          <w:lang w:val="en-US"/>
        </w:rPr>
        <w:t xml:space="preserve"> of Covariates with Components of Subjective Well-Being </w:t>
      </w:r>
      <w:r w:rsidRPr="00F34CC1">
        <w:rPr>
          <w:rFonts w:ascii="Arial Narrow" w:eastAsia="Times New Roman" w:hAnsi="Arial Narrow" w:cs="Times New Roman"/>
          <w:color w:val="000000"/>
          <w:lang w:val="en-US"/>
        </w:rPr>
        <w:t>(an alternative estimate of marginal effects based on the average marginal effects for all the observations)</w:t>
      </w:r>
    </w:p>
    <w:tbl>
      <w:tblPr>
        <w:tblW w:w="9573" w:type="dxa"/>
        <w:tblLook w:val="04A0" w:firstRow="1" w:lastRow="0" w:firstColumn="1" w:lastColumn="0" w:noHBand="0" w:noVBand="1"/>
      </w:tblPr>
      <w:tblGrid>
        <w:gridCol w:w="1985"/>
        <w:gridCol w:w="992"/>
        <w:gridCol w:w="909"/>
        <w:gridCol w:w="909"/>
        <w:gridCol w:w="895"/>
        <w:gridCol w:w="992"/>
        <w:gridCol w:w="917"/>
        <w:gridCol w:w="553"/>
        <w:gridCol w:w="526"/>
        <w:gridCol w:w="895"/>
      </w:tblGrid>
      <w:tr w:rsidR="003A174B" w:rsidRPr="00D13BC1" w14:paraId="3A50E0B7" w14:textId="77777777" w:rsidTr="00F17AF2">
        <w:trPr>
          <w:trHeight w:val="225"/>
        </w:trPr>
        <w:tc>
          <w:tcPr>
            <w:tcW w:w="1985" w:type="dxa"/>
            <w:tcBorders>
              <w:top w:val="single" w:sz="4" w:space="0" w:color="auto"/>
              <w:right w:val="single" w:sz="4" w:space="0" w:color="auto"/>
            </w:tcBorders>
            <w:shd w:val="clear" w:color="auto" w:fill="auto"/>
            <w:noWrap/>
            <w:vAlign w:val="bottom"/>
            <w:hideMark/>
          </w:tcPr>
          <w:p w14:paraId="09FAAF4E"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 </w:t>
            </w:r>
          </w:p>
        </w:tc>
        <w:tc>
          <w:tcPr>
            <w:tcW w:w="2810" w:type="dxa"/>
            <w:gridSpan w:val="3"/>
            <w:tcBorders>
              <w:top w:val="single" w:sz="4" w:space="0" w:color="auto"/>
              <w:left w:val="single" w:sz="4" w:space="0" w:color="auto"/>
            </w:tcBorders>
            <w:shd w:val="clear" w:color="auto" w:fill="auto"/>
            <w:noWrap/>
            <w:vAlign w:val="bottom"/>
            <w:hideMark/>
          </w:tcPr>
          <w:p w14:paraId="712403D9" w14:textId="77777777" w:rsidR="003A174B" w:rsidRPr="00D13BC1" w:rsidRDefault="003A174B" w:rsidP="00B83B39">
            <w:pPr>
              <w:adjustRightInd w:val="0"/>
              <w:snapToGrid w:val="0"/>
              <w:spacing w:after="0" w:line="240" w:lineRule="auto"/>
              <w:jc w:val="center"/>
              <w:rPr>
                <w:rFonts w:ascii="Arial Narrow" w:eastAsia="Times New Roman" w:hAnsi="Arial Narrow" w:cs="Arial"/>
                <w:b/>
                <w:sz w:val="16"/>
                <w:szCs w:val="16"/>
              </w:rPr>
            </w:pPr>
            <w:r w:rsidRPr="00D13BC1">
              <w:rPr>
                <w:rFonts w:ascii="Arial Narrow" w:eastAsia="Times New Roman" w:hAnsi="Arial Narrow" w:cs="Arial"/>
                <w:b/>
                <w:sz w:val="16"/>
                <w:szCs w:val="16"/>
              </w:rPr>
              <w:t>∆SWB</w:t>
            </w:r>
          </w:p>
        </w:tc>
        <w:tc>
          <w:tcPr>
            <w:tcW w:w="895" w:type="dxa"/>
            <w:tcBorders>
              <w:top w:val="single" w:sz="4" w:space="0" w:color="auto"/>
              <w:right w:val="single" w:sz="4" w:space="0" w:color="auto"/>
            </w:tcBorders>
          </w:tcPr>
          <w:p w14:paraId="0DB484BC" w14:textId="77777777" w:rsidR="003A174B" w:rsidRPr="00D13BC1" w:rsidRDefault="003A174B" w:rsidP="00B83B39">
            <w:pPr>
              <w:adjustRightInd w:val="0"/>
              <w:snapToGrid w:val="0"/>
              <w:spacing w:after="0" w:line="240" w:lineRule="auto"/>
              <w:jc w:val="center"/>
              <w:rPr>
                <w:rFonts w:ascii="Arial Narrow" w:eastAsia="Times New Roman" w:hAnsi="Arial Narrow" w:cs="Arial"/>
                <w:b/>
                <w:sz w:val="16"/>
                <w:szCs w:val="16"/>
              </w:rPr>
            </w:pPr>
          </w:p>
        </w:tc>
        <w:tc>
          <w:tcPr>
            <w:tcW w:w="2462" w:type="dxa"/>
            <w:gridSpan w:val="3"/>
            <w:tcBorders>
              <w:top w:val="single" w:sz="4" w:space="0" w:color="auto"/>
              <w:left w:val="single" w:sz="4" w:space="0" w:color="auto"/>
            </w:tcBorders>
            <w:shd w:val="clear" w:color="auto" w:fill="auto"/>
            <w:noWrap/>
            <w:vAlign w:val="bottom"/>
            <w:hideMark/>
          </w:tcPr>
          <w:p w14:paraId="6154DF29" w14:textId="77777777" w:rsidR="003A174B" w:rsidRPr="00D13BC1" w:rsidRDefault="003A174B" w:rsidP="00B83B39">
            <w:pPr>
              <w:adjustRightInd w:val="0"/>
              <w:snapToGrid w:val="0"/>
              <w:spacing w:after="0" w:line="240" w:lineRule="auto"/>
              <w:jc w:val="center"/>
              <w:rPr>
                <w:rFonts w:ascii="Arial Narrow" w:eastAsia="Times New Roman" w:hAnsi="Arial Narrow" w:cs="Arial"/>
                <w:b/>
                <w:sz w:val="16"/>
                <w:szCs w:val="16"/>
              </w:rPr>
            </w:pPr>
            <w:r w:rsidRPr="00D13BC1">
              <w:rPr>
                <w:rFonts w:ascii="Arial Narrow" w:eastAsia="Times New Roman" w:hAnsi="Arial Narrow" w:cs="Arial"/>
                <w:b/>
                <w:sz w:val="16"/>
                <w:szCs w:val="16"/>
              </w:rPr>
              <w:t>∆OWB</w:t>
            </w:r>
          </w:p>
        </w:tc>
        <w:tc>
          <w:tcPr>
            <w:tcW w:w="1421" w:type="dxa"/>
            <w:gridSpan w:val="2"/>
            <w:tcBorders>
              <w:top w:val="single" w:sz="4" w:space="0" w:color="auto"/>
            </w:tcBorders>
          </w:tcPr>
          <w:p w14:paraId="100210F2" w14:textId="77777777" w:rsidR="003A174B" w:rsidRPr="00D13BC1" w:rsidRDefault="003A174B" w:rsidP="00B83B39">
            <w:pPr>
              <w:adjustRightInd w:val="0"/>
              <w:snapToGrid w:val="0"/>
              <w:spacing w:after="0" w:line="240" w:lineRule="auto"/>
              <w:jc w:val="center"/>
              <w:rPr>
                <w:rFonts w:ascii="Arial Narrow" w:eastAsia="Times New Roman" w:hAnsi="Arial Narrow" w:cs="Arial"/>
                <w:b/>
                <w:sz w:val="16"/>
                <w:szCs w:val="16"/>
              </w:rPr>
            </w:pPr>
          </w:p>
        </w:tc>
      </w:tr>
      <w:tr w:rsidR="003A174B" w:rsidRPr="00D13BC1" w14:paraId="653B9D34" w14:textId="77777777" w:rsidTr="00F17AF2">
        <w:trPr>
          <w:trHeight w:val="225"/>
        </w:trPr>
        <w:tc>
          <w:tcPr>
            <w:tcW w:w="1985" w:type="dxa"/>
            <w:tcBorders>
              <w:right w:val="single" w:sz="4" w:space="0" w:color="auto"/>
            </w:tcBorders>
            <w:shd w:val="clear" w:color="auto" w:fill="auto"/>
            <w:noWrap/>
            <w:vAlign w:val="bottom"/>
            <w:hideMark/>
          </w:tcPr>
          <w:p w14:paraId="4BC9AD4A"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1309BD70" w14:textId="77777777" w:rsidR="003A174B" w:rsidRPr="00D13BC1" w:rsidRDefault="004D372C"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Worse-off</w:t>
            </w:r>
          </w:p>
        </w:tc>
        <w:tc>
          <w:tcPr>
            <w:tcW w:w="909" w:type="dxa"/>
            <w:shd w:val="clear" w:color="auto" w:fill="auto"/>
            <w:noWrap/>
            <w:vAlign w:val="bottom"/>
            <w:hideMark/>
          </w:tcPr>
          <w:p w14:paraId="77B52516" w14:textId="77777777" w:rsidR="003A174B" w:rsidRPr="00D13BC1" w:rsidRDefault="004D372C"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Just the Same</w:t>
            </w:r>
          </w:p>
        </w:tc>
        <w:tc>
          <w:tcPr>
            <w:tcW w:w="909" w:type="dxa"/>
            <w:shd w:val="clear" w:color="auto" w:fill="auto"/>
            <w:noWrap/>
            <w:vAlign w:val="bottom"/>
            <w:hideMark/>
          </w:tcPr>
          <w:p w14:paraId="7B5CAE0E" w14:textId="77777777" w:rsidR="003A174B" w:rsidRPr="00D13BC1" w:rsidRDefault="004D372C" w:rsidP="004D372C">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Better-off</w:t>
            </w:r>
          </w:p>
        </w:tc>
        <w:tc>
          <w:tcPr>
            <w:tcW w:w="895" w:type="dxa"/>
            <w:tcBorders>
              <w:right w:val="single" w:sz="4" w:space="0" w:color="auto"/>
            </w:tcBorders>
            <w:vAlign w:val="bottom"/>
          </w:tcPr>
          <w:p w14:paraId="2D8E5309" w14:textId="77777777" w:rsidR="003A174B" w:rsidRPr="00D13BC1" w:rsidRDefault="009F652B"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Conver</w:t>
            </w:r>
            <w:r w:rsidR="006405A4">
              <w:rPr>
                <w:rFonts w:ascii="Arial Narrow" w:eastAsia="Times New Roman" w:hAnsi="Arial Narrow" w:cs="Arial"/>
                <w:sz w:val="16"/>
                <w:szCs w:val="16"/>
              </w:rPr>
              <w:t>ted</w:t>
            </w:r>
          </w:p>
        </w:tc>
        <w:tc>
          <w:tcPr>
            <w:tcW w:w="992" w:type="dxa"/>
            <w:tcBorders>
              <w:left w:val="single" w:sz="4" w:space="0" w:color="auto"/>
            </w:tcBorders>
            <w:shd w:val="clear" w:color="auto" w:fill="auto"/>
            <w:noWrap/>
            <w:vAlign w:val="bottom"/>
            <w:hideMark/>
          </w:tcPr>
          <w:p w14:paraId="4814552A" w14:textId="77777777" w:rsidR="003A174B" w:rsidRPr="00D13BC1" w:rsidRDefault="004D372C"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Worse-off</w:t>
            </w:r>
          </w:p>
        </w:tc>
        <w:tc>
          <w:tcPr>
            <w:tcW w:w="917" w:type="dxa"/>
            <w:shd w:val="clear" w:color="auto" w:fill="auto"/>
            <w:noWrap/>
            <w:vAlign w:val="bottom"/>
            <w:hideMark/>
          </w:tcPr>
          <w:p w14:paraId="4F13FE61" w14:textId="77777777" w:rsidR="003A174B" w:rsidRPr="00D13BC1" w:rsidRDefault="004D372C"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Just the Same</w:t>
            </w:r>
          </w:p>
        </w:tc>
        <w:tc>
          <w:tcPr>
            <w:tcW w:w="1079" w:type="dxa"/>
            <w:gridSpan w:val="2"/>
            <w:shd w:val="clear" w:color="auto" w:fill="auto"/>
            <w:noWrap/>
            <w:vAlign w:val="bottom"/>
            <w:hideMark/>
          </w:tcPr>
          <w:p w14:paraId="4D12AC13" w14:textId="77777777" w:rsidR="003A174B" w:rsidRPr="00D13BC1" w:rsidRDefault="004D372C"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Better-off</w:t>
            </w:r>
          </w:p>
        </w:tc>
        <w:tc>
          <w:tcPr>
            <w:tcW w:w="895" w:type="dxa"/>
            <w:vAlign w:val="bottom"/>
          </w:tcPr>
          <w:p w14:paraId="606030C3" w14:textId="77777777" w:rsidR="003A174B" w:rsidRPr="00D13BC1" w:rsidRDefault="006405A4" w:rsidP="009F652B">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Converted</w:t>
            </w:r>
          </w:p>
        </w:tc>
      </w:tr>
      <w:tr w:rsidR="003A174B" w:rsidRPr="00D13BC1" w14:paraId="0D682262" w14:textId="77777777" w:rsidTr="00F17AF2">
        <w:trPr>
          <w:trHeight w:val="450"/>
        </w:trPr>
        <w:tc>
          <w:tcPr>
            <w:tcW w:w="1985" w:type="dxa"/>
            <w:tcBorders>
              <w:bottom w:val="single" w:sz="4" w:space="0" w:color="auto"/>
              <w:right w:val="single" w:sz="4" w:space="0" w:color="auto"/>
            </w:tcBorders>
            <w:shd w:val="clear" w:color="auto" w:fill="auto"/>
            <w:vAlign w:val="center"/>
            <w:hideMark/>
          </w:tcPr>
          <w:p w14:paraId="3B0AB11A"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VARIABLES</w:t>
            </w:r>
          </w:p>
        </w:tc>
        <w:tc>
          <w:tcPr>
            <w:tcW w:w="992" w:type="dxa"/>
            <w:tcBorders>
              <w:left w:val="single" w:sz="4" w:space="0" w:color="auto"/>
              <w:bottom w:val="single" w:sz="4" w:space="0" w:color="auto"/>
            </w:tcBorders>
            <w:shd w:val="clear" w:color="auto" w:fill="auto"/>
            <w:vAlign w:val="bottom"/>
            <w:hideMark/>
          </w:tcPr>
          <w:p w14:paraId="24390ACA"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909" w:type="dxa"/>
            <w:tcBorders>
              <w:bottom w:val="single" w:sz="4" w:space="0" w:color="auto"/>
            </w:tcBorders>
            <w:shd w:val="clear" w:color="auto" w:fill="auto"/>
            <w:vAlign w:val="bottom"/>
            <w:hideMark/>
          </w:tcPr>
          <w:p w14:paraId="3B5FA0C7"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909" w:type="dxa"/>
            <w:tcBorders>
              <w:bottom w:val="single" w:sz="4" w:space="0" w:color="auto"/>
            </w:tcBorders>
            <w:shd w:val="clear" w:color="auto" w:fill="auto"/>
            <w:vAlign w:val="bottom"/>
            <w:hideMark/>
          </w:tcPr>
          <w:p w14:paraId="5EA7D160"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895" w:type="dxa"/>
            <w:tcBorders>
              <w:bottom w:val="single" w:sz="4" w:space="0" w:color="auto"/>
              <w:right w:val="single" w:sz="4" w:space="0" w:color="auto"/>
            </w:tcBorders>
            <w:vAlign w:val="bottom"/>
          </w:tcPr>
          <w:p w14:paraId="67183CF8"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 xml:space="preserve">ME </w:t>
            </w:r>
            <w:r>
              <w:rPr>
                <w:rFonts w:ascii="Arial Narrow" w:eastAsia="Times New Roman" w:hAnsi="Arial Narrow" w:cs="Arial"/>
                <w:b/>
                <w:sz w:val="16"/>
                <w:szCs w:val="16"/>
                <w:vertAlign w:val="superscript"/>
              </w:rPr>
              <w:t>4</w:t>
            </w:r>
            <w:r>
              <w:rPr>
                <w:rFonts w:ascii="Arial Narrow" w:eastAsia="Times New Roman" w:hAnsi="Arial Narrow" w:cs="Arial"/>
                <w:sz w:val="16"/>
                <w:szCs w:val="16"/>
              </w:rPr>
              <w:br/>
            </w:r>
          </w:p>
        </w:tc>
        <w:tc>
          <w:tcPr>
            <w:tcW w:w="992" w:type="dxa"/>
            <w:tcBorders>
              <w:left w:val="single" w:sz="4" w:space="0" w:color="auto"/>
              <w:bottom w:val="single" w:sz="4" w:space="0" w:color="auto"/>
            </w:tcBorders>
            <w:shd w:val="clear" w:color="auto" w:fill="auto"/>
            <w:vAlign w:val="bottom"/>
            <w:hideMark/>
          </w:tcPr>
          <w:p w14:paraId="27E7E1EB"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917" w:type="dxa"/>
            <w:tcBorders>
              <w:bottom w:val="single" w:sz="4" w:space="0" w:color="auto"/>
            </w:tcBorders>
            <w:shd w:val="clear" w:color="auto" w:fill="auto"/>
            <w:vAlign w:val="bottom"/>
            <w:hideMark/>
          </w:tcPr>
          <w:p w14:paraId="05D2B676"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1079" w:type="dxa"/>
            <w:gridSpan w:val="2"/>
            <w:tcBorders>
              <w:bottom w:val="single" w:sz="4" w:space="0" w:color="auto"/>
            </w:tcBorders>
            <w:shd w:val="clear" w:color="auto" w:fill="auto"/>
            <w:vAlign w:val="bottom"/>
            <w:hideMark/>
          </w:tcPr>
          <w:p w14:paraId="7FAE8848"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proofErr w:type="spellStart"/>
            <w:r w:rsidRPr="00D13BC1">
              <w:rPr>
                <w:rFonts w:ascii="Arial Narrow" w:eastAsia="Times New Roman" w:hAnsi="Arial Narrow" w:cs="Arial"/>
                <w:sz w:val="16"/>
                <w:szCs w:val="16"/>
              </w:rPr>
              <w:t>dy</w:t>
            </w:r>
            <w:proofErr w:type="spellEnd"/>
            <w:r w:rsidRPr="00D13BC1">
              <w:rPr>
                <w:rFonts w:ascii="Arial Narrow" w:eastAsia="Times New Roman" w:hAnsi="Arial Narrow" w:cs="Arial"/>
                <w:sz w:val="16"/>
                <w:szCs w:val="16"/>
              </w:rPr>
              <w:t>/dx</w:t>
            </w:r>
            <w:r w:rsidRPr="00D13BC1">
              <w:rPr>
                <w:rFonts w:ascii="Arial Narrow" w:eastAsia="Times New Roman" w:hAnsi="Arial Narrow" w:cs="Arial"/>
                <w:sz w:val="16"/>
                <w:szCs w:val="16"/>
              </w:rPr>
              <w:br/>
              <w:t>(Std. Error)</w:t>
            </w:r>
          </w:p>
        </w:tc>
        <w:tc>
          <w:tcPr>
            <w:tcW w:w="895" w:type="dxa"/>
            <w:tcBorders>
              <w:bottom w:val="single" w:sz="4" w:space="0" w:color="auto"/>
            </w:tcBorders>
            <w:vAlign w:val="bottom"/>
          </w:tcPr>
          <w:p w14:paraId="65AF33EE" w14:textId="77777777" w:rsidR="003A174B" w:rsidRPr="00D13BC1" w:rsidRDefault="003A174B" w:rsidP="00B83B39">
            <w:pPr>
              <w:adjustRightInd w:val="0"/>
              <w:snapToGrid w:val="0"/>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 xml:space="preserve">ME </w:t>
            </w:r>
            <w:r>
              <w:rPr>
                <w:rFonts w:ascii="Arial Narrow" w:eastAsia="Times New Roman" w:hAnsi="Arial Narrow" w:cs="Arial"/>
                <w:sz w:val="16"/>
                <w:szCs w:val="16"/>
                <w:vertAlign w:val="superscript"/>
              </w:rPr>
              <w:t>4</w:t>
            </w:r>
            <w:r w:rsidRPr="000C5578">
              <w:rPr>
                <w:rFonts w:ascii="Arial Narrow" w:eastAsia="Times New Roman" w:hAnsi="Arial Narrow" w:cs="Arial"/>
                <w:sz w:val="16"/>
                <w:szCs w:val="16"/>
                <w:vertAlign w:val="superscript"/>
              </w:rPr>
              <w:br/>
            </w:r>
          </w:p>
        </w:tc>
      </w:tr>
      <w:tr w:rsidR="00F17AF2" w:rsidRPr="00D13BC1" w14:paraId="4907ABA8" w14:textId="77777777" w:rsidTr="00F17AF2">
        <w:trPr>
          <w:trHeight w:val="225"/>
        </w:trPr>
        <w:tc>
          <w:tcPr>
            <w:tcW w:w="9573" w:type="dxa"/>
            <w:gridSpan w:val="10"/>
            <w:tcBorders>
              <w:bottom w:val="single" w:sz="4" w:space="0" w:color="auto"/>
            </w:tcBorders>
            <w:shd w:val="clear" w:color="auto" w:fill="auto"/>
            <w:vAlign w:val="center"/>
          </w:tcPr>
          <w:p w14:paraId="6EFBB2CF" w14:textId="77777777" w:rsidR="00F17AF2" w:rsidRPr="00D13BC1" w:rsidRDefault="00F17AF2" w:rsidP="00B83B39">
            <w:pPr>
              <w:adjustRightInd w:val="0"/>
              <w:snapToGrid w:val="0"/>
              <w:spacing w:after="0" w:line="240" w:lineRule="auto"/>
              <w:rPr>
                <w:rFonts w:ascii="Arial Narrow" w:hAnsi="Arial Narrow" w:cs="Arial"/>
                <w:b/>
                <w:sz w:val="16"/>
                <w:szCs w:val="16"/>
              </w:rPr>
            </w:pPr>
            <w:r w:rsidRPr="009B592E">
              <w:rPr>
                <w:rFonts w:ascii="Arial Narrow" w:eastAsia="Times New Roman" w:hAnsi="Arial Narrow" w:cs="Arial"/>
                <w:b/>
                <w:i/>
                <w:sz w:val="16"/>
                <w:szCs w:val="16"/>
              </w:rPr>
              <w:t>(1)</w:t>
            </w:r>
            <w:r w:rsidRPr="009B592E">
              <w:rPr>
                <w:rFonts w:ascii="Arial Narrow" w:eastAsia="Times New Roman" w:hAnsi="Arial Narrow" w:cs="Arial"/>
                <w:b/>
                <w:i/>
                <w:sz w:val="16"/>
                <w:szCs w:val="16"/>
              </w:rPr>
              <w:tab/>
              <w:t>Individual and Household Characteristics</w:t>
            </w:r>
            <w:r>
              <w:rPr>
                <w:rFonts w:ascii="Arial Narrow" w:eastAsia="Times New Roman" w:hAnsi="Arial Narrow" w:cs="Arial"/>
                <w:b/>
                <w:i/>
                <w:sz w:val="16"/>
                <w:szCs w:val="16"/>
              </w:rPr>
              <w:t xml:space="preserve"> and the Location of Households (2005) </w:t>
            </w:r>
          </w:p>
        </w:tc>
      </w:tr>
      <w:tr w:rsidR="003A174B" w:rsidRPr="00D13BC1" w14:paraId="5D585AF4" w14:textId="77777777" w:rsidTr="00F17AF2">
        <w:trPr>
          <w:trHeight w:val="225"/>
        </w:trPr>
        <w:tc>
          <w:tcPr>
            <w:tcW w:w="1985" w:type="dxa"/>
            <w:tcBorders>
              <w:top w:val="single" w:sz="4" w:space="0" w:color="auto"/>
              <w:right w:val="single" w:sz="4" w:space="0" w:color="auto"/>
            </w:tcBorders>
            <w:shd w:val="clear" w:color="auto" w:fill="auto"/>
            <w:vAlign w:val="center"/>
          </w:tcPr>
          <w:p w14:paraId="46511AA2"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Gender</w:t>
            </w:r>
          </w:p>
        </w:tc>
        <w:tc>
          <w:tcPr>
            <w:tcW w:w="992" w:type="dxa"/>
            <w:tcBorders>
              <w:top w:val="single" w:sz="4" w:space="0" w:color="auto"/>
              <w:left w:val="single" w:sz="4" w:space="0" w:color="auto"/>
            </w:tcBorders>
            <w:shd w:val="clear" w:color="auto" w:fill="auto"/>
            <w:noWrap/>
            <w:vAlign w:val="center"/>
          </w:tcPr>
          <w:p w14:paraId="30778115"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tcPr>
          <w:p w14:paraId="739FE05D"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tcPr>
          <w:p w14:paraId="576F328A"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right w:val="single" w:sz="4" w:space="0" w:color="auto"/>
            </w:tcBorders>
            <w:vAlign w:val="center"/>
          </w:tcPr>
          <w:p w14:paraId="5FF2C18E" w14:textId="77777777" w:rsidR="003A174B" w:rsidRPr="00D13BC1" w:rsidRDefault="003A174B" w:rsidP="00B83B39">
            <w:pPr>
              <w:adjustRightInd w:val="0"/>
              <w:snapToGrid w:val="0"/>
              <w:spacing w:after="0" w:line="240" w:lineRule="auto"/>
              <w:rPr>
                <w:rFonts w:ascii="Arial Narrow" w:hAnsi="Arial Narrow" w:cs="Arial"/>
                <w:b/>
                <w:sz w:val="16"/>
                <w:szCs w:val="16"/>
              </w:rPr>
            </w:pPr>
          </w:p>
        </w:tc>
        <w:tc>
          <w:tcPr>
            <w:tcW w:w="992" w:type="dxa"/>
            <w:tcBorders>
              <w:top w:val="single" w:sz="4" w:space="0" w:color="auto"/>
              <w:left w:val="single" w:sz="4" w:space="0" w:color="auto"/>
            </w:tcBorders>
            <w:shd w:val="clear" w:color="auto" w:fill="auto"/>
            <w:noWrap/>
            <w:vAlign w:val="center"/>
          </w:tcPr>
          <w:p w14:paraId="7EF8543A"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p>
        </w:tc>
        <w:tc>
          <w:tcPr>
            <w:tcW w:w="917" w:type="dxa"/>
            <w:tcBorders>
              <w:top w:val="single" w:sz="4" w:space="0" w:color="auto"/>
            </w:tcBorders>
            <w:shd w:val="clear" w:color="auto" w:fill="auto"/>
            <w:noWrap/>
            <w:vAlign w:val="center"/>
          </w:tcPr>
          <w:p w14:paraId="17C427A3"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p>
        </w:tc>
        <w:tc>
          <w:tcPr>
            <w:tcW w:w="1079" w:type="dxa"/>
            <w:gridSpan w:val="2"/>
            <w:tcBorders>
              <w:top w:val="single" w:sz="4" w:space="0" w:color="auto"/>
            </w:tcBorders>
            <w:shd w:val="clear" w:color="auto" w:fill="auto"/>
            <w:noWrap/>
            <w:vAlign w:val="center"/>
          </w:tcPr>
          <w:p w14:paraId="5B3167B6" w14:textId="77777777" w:rsidR="003A174B" w:rsidRPr="00D13BC1" w:rsidRDefault="003A174B"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tcBorders>
            <w:vAlign w:val="bottom"/>
          </w:tcPr>
          <w:p w14:paraId="1164A69C" w14:textId="77777777" w:rsidR="003A174B" w:rsidRPr="00D13BC1" w:rsidRDefault="003A174B" w:rsidP="00B83B39">
            <w:pPr>
              <w:adjustRightInd w:val="0"/>
              <w:snapToGrid w:val="0"/>
              <w:spacing w:after="0" w:line="240" w:lineRule="auto"/>
              <w:rPr>
                <w:rFonts w:ascii="Arial Narrow" w:hAnsi="Arial Narrow" w:cs="Arial"/>
                <w:b/>
                <w:sz w:val="16"/>
                <w:szCs w:val="16"/>
              </w:rPr>
            </w:pPr>
          </w:p>
        </w:tc>
      </w:tr>
      <w:tr w:rsidR="00B83B39" w:rsidRPr="00D13BC1" w14:paraId="485C3DD5" w14:textId="77777777" w:rsidTr="00F17AF2">
        <w:trPr>
          <w:trHeight w:val="225"/>
        </w:trPr>
        <w:tc>
          <w:tcPr>
            <w:tcW w:w="1985" w:type="dxa"/>
            <w:tcBorders>
              <w:right w:val="single" w:sz="4" w:space="0" w:color="auto"/>
            </w:tcBorders>
            <w:shd w:val="clear" w:color="auto" w:fill="auto"/>
            <w:vAlign w:val="center"/>
          </w:tcPr>
          <w:p w14:paraId="21A629E5"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r w:rsidRPr="00794D00">
              <w:rPr>
                <w:rFonts w:ascii="Arial Narrow" w:eastAsia="Times New Roman" w:hAnsi="Arial Narrow" w:cs="Arial"/>
                <w:b/>
                <w:sz w:val="16"/>
                <w:szCs w:val="16"/>
              </w:rPr>
              <w:t xml:space="preserve">  Female</w:t>
            </w:r>
            <w:r>
              <w:rPr>
                <w:rFonts w:ascii="Arial Narrow" w:eastAsia="Times New Roman" w:hAnsi="Arial Narrow" w:cs="Arial"/>
                <w:b/>
                <w:sz w:val="16"/>
                <w:szCs w:val="16"/>
                <w:vertAlign w:val="superscript"/>
              </w:rPr>
              <w:t>2</w:t>
            </w:r>
          </w:p>
        </w:tc>
        <w:tc>
          <w:tcPr>
            <w:tcW w:w="992" w:type="dxa"/>
            <w:tcBorders>
              <w:left w:val="single" w:sz="4" w:space="0" w:color="auto"/>
            </w:tcBorders>
            <w:shd w:val="clear" w:color="auto" w:fill="auto"/>
            <w:noWrap/>
            <w:vAlign w:val="bottom"/>
          </w:tcPr>
          <w:p w14:paraId="7EA1F534"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-0.0146**</w:t>
            </w:r>
            <w:r w:rsidR="008C7298">
              <w:rPr>
                <w:rFonts w:ascii="Arial Narrow" w:eastAsia="Times New Roman" w:hAnsi="Arial Narrow" w:cs="Arial"/>
                <w:b/>
                <w:sz w:val="16"/>
                <w:szCs w:val="16"/>
                <w:vertAlign w:val="superscript"/>
              </w:rPr>
              <w:t>1</w:t>
            </w:r>
          </w:p>
        </w:tc>
        <w:tc>
          <w:tcPr>
            <w:tcW w:w="909" w:type="dxa"/>
            <w:shd w:val="clear" w:color="auto" w:fill="auto"/>
            <w:noWrap/>
            <w:vAlign w:val="bottom"/>
          </w:tcPr>
          <w:p w14:paraId="2648C2E1"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-0.0195*</w:t>
            </w:r>
            <w:r w:rsidR="008C7298">
              <w:rPr>
                <w:rFonts w:ascii="Arial Narrow" w:eastAsia="Times New Roman" w:hAnsi="Arial Narrow" w:cs="Arial"/>
                <w:b/>
                <w:sz w:val="16"/>
                <w:szCs w:val="16"/>
                <w:vertAlign w:val="superscript"/>
              </w:rPr>
              <w:t>1</w:t>
            </w:r>
          </w:p>
        </w:tc>
        <w:tc>
          <w:tcPr>
            <w:tcW w:w="909" w:type="dxa"/>
            <w:shd w:val="clear" w:color="auto" w:fill="auto"/>
            <w:noWrap/>
            <w:vAlign w:val="bottom"/>
          </w:tcPr>
          <w:p w14:paraId="5068F64C"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0.0341**</w:t>
            </w:r>
            <w:r w:rsidR="008C7298">
              <w:rPr>
                <w:rFonts w:ascii="Arial Narrow" w:eastAsia="Times New Roman" w:hAnsi="Arial Narrow" w:cs="Arial"/>
                <w:b/>
                <w:sz w:val="16"/>
                <w:szCs w:val="16"/>
                <w:vertAlign w:val="superscript"/>
              </w:rPr>
              <w:t>1</w:t>
            </w:r>
          </w:p>
        </w:tc>
        <w:tc>
          <w:tcPr>
            <w:tcW w:w="895" w:type="dxa"/>
            <w:tcBorders>
              <w:right w:val="single" w:sz="4" w:space="0" w:color="auto"/>
            </w:tcBorders>
            <w:vAlign w:val="center"/>
          </w:tcPr>
          <w:p w14:paraId="65BDA32A" w14:textId="77777777" w:rsidR="00B83B39" w:rsidRPr="00B83B39" w:rsidRDefault="00B83B39" w:rsidP="00B83B39">
            <w:pPr>
              <w:adjustRightInd w:val="0"/>
              <w:snapToGrid w:val="0"/>
              <w:spacing w:after="0" w:line="240" w:lineRule="auto"/>
              <w:rPr>
                <w:rFonts w:ascii="Arial Narrow" w:hAnsi="Arial Narrow" w:cs="Arial"/>
                <w:b/>
                <w:sz w:val="16"/>
                <w:szCs w:val="16"/>
              </w:rPr>
            </w:pPr>
            <w:r w:rsidRPr="00B83B39">
              <w:rPr>
                <w:rFonts w:ascii="Arial Narrow" w:hAnsi="Arial Narrow" w:cs="Calibri"/>
                <w:b/>
                <w:color w:val="000000"/>
                <w:sz w:val="16"/>
                <w:szCs w:val="16"/>
              </w:rPr>
              <w:t>0.0487</w:t>
            </w:r>
          </w:p>
        </w:tc>
        <w:tc>
          <w:tcPr>
            <w:tcW w:w="992" w:type="dxa"/>
            <w:tcBorders>
              <w:left w:val="single" w:sz="4" w:space="0" w:color="auto"/>
            </w:tcBorders>
            <w:shd w:val="clear" w:color="auto" w:fill="auto"/>
            <w:noWrap/>
            <w:vAlign w:val="center"/>
          </w:tcPr>
          <w:p w14:paraId="37296F21"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0.00953*</w:t>
            </w:r>
          </w:p>
        </w:tc>
        <w:tc>
          <w:tcPr>
            <w:tcW w:w="917" w:type="dxa"/>
            <w:shd w:val="clear" w:color="auto" w:fill="auto"/>
            <w:noWrap/>
            <w:vAlign w:val="center"/>
          </w:tcPr>
          <w:p w14:paraId="4B991BE8"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0.0182*</w:t>
            </w:r>
          </w:p>
        </w:tc>
        <w:tc>
          <w:tcPr>
            <w:tcW w:w="1079" w:type="dxa"/>
            <w:gridSpan w:val="2"/>
            <w:shd w:val="clear" w:color="auto" w:fill="auto"/>
            <w:noWrap/>
            <w:vAlign w:val="center"/>
          </w:tcPr>
          <w:p w14:paraId="4BD061BB"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-0.0278*</w:t>
            </w:r>
          </w:p>
        </w:tc>
        <w:tc>
          <w:tcPr>
            <w:tcW w:w="895" w:type="dxa"/>
            <w:vAlign w:val="center"/>
          </w:tcPr>
          <w:p w14:paraId="14422398" w14:textId="77777777" w:rsidR="00B83B39" w:rsidRPr="00B83B39" w:rsidRDefault="00B83B39" w:rsidP="00B83B39">
            <w:pPr>
              <w:adjustRightInd w:val="0"/>
              <w:snapToGrid w:val="0"/>
              <w:spacing w:after="0" w:line="240" w:lineRule="auto"/>
              <w:rPr>
                <w:rFonts w:ascii="Arial Narrow" w:hAnsi="Arial Narrow" w:cs="Arial"/>
                <w:b/>
                <w:sz w:val="16"/>
                <w:szCs w:val="16"/>
              </w:rPr>
            </w:pPr>
            <w:r w:rsidRPr="00B83B39">
              <w:rPr>
                <w:rFonts w:ascii="Arial Narrow" w:hAnsi="Arial Narrow" w:cs="Calibri"/>
                <w:b/>
                <w:color w:val="000000"/>
                <w:sz w:val="16"/>
                <w:szCs w:val="16"/>
              </w:rPr>
              <w:t>-0.0374</w:t>
            </w:r>
          </w:p>
        </w:tc>
      </w:tr>
      <w:tr w:rsidR="00B83B39" w:rsidRPr="00D13BC1" w14:paraId="1BCDF5D8" w14:textId="77777777" w:rsidTr="00F17AF2">
        <w:trPr>
          <w:trHeight w:val="255"/>
        </w:trPr>
        <w:tc>
          <w:tcPr>
            <w:tcW w:w="1985" w:type="dxa"/>
            <w:tcBorders>
              <w:right w:val="single" w:sz="4" w:space="0" w:color="auto"/>
            </w:tcBorders>
            <w:shd w:val="clear" w:color="auto" w:fill="auto"/>
            <w:vAlign w:val="bottom"/>
          </w:tcPr>
          <w:p w14:paraId="15BCF663"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tcPr>
          <w:p w14:paraId="0D44FDEC"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vertAlign w:val="superscript"/>
              </w:rPr>
            </w:pPr>
            <w:r w:rsidRPr="00B83B39">
              <w:rPr>
                <w:rFonts w:ascii="Arial Narrow" w:eastAsia="Times New Roman" w:hAnsi="Arial Narrow" w:cs="Arial"/>
                <w:b/>
                <w:sz w:val="16"/>
                <w:szCs w:val="16"/>
              </w:rPr>
              <w:t>(0.00705)</w:t>
            </w:r>
          </w:p>
        </w:tc>
        <w:tc>
          <w:tcPr>
            <w:tcW w:w="909" w:type="dxa"/>
            <w:shd w:val="clear" w:color="auto" w:fill="auto"/>
            <w:noWrap/>
            <w:vAlign w:val="bottom"/>
          </w:tcPr>
          <w:p w14:paraId="2ACE04ED"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(0.01020)</w:t>
            </w:r>
          </w:p>
        </w:tc>
        <w:tc>
          <w:tcPr>
            <w:tcW w:w="909" w:type="dxa"/>
            <w:shd w:val="clear" w:color="auto" w:fill="auto"/>
            <w:noWrap/>
            <w:vAlign w:val="bottom"/>
          </w:tcPr>
          <w:p w14:paraId="3C9FC8CC"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(0.01670)</w:t>
            </w:r>
          </w:p>
        </w:tc>
        <w:tc>
          <w:tcPr>
            <w:tcW w:w="895" w:type="dxa"/>
            <w:tcBorders>
              <w:right w:val="single" w:sz="4" w:space="0" w:color="auto"/>
            </w:tcBorders>
            <w:vAlign w:val="center"/>
          </w:tcPr>
          <w:p w14:paraId="58E705A3" w14:textId="77777777" w:rsidR="00B83B39" w:rsidRPr="00B83B39"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tcPr>
          <w:p w14:paraId="31D01BA7"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(0.00578)</w:t>
            </w:r>
          </w:p>
        </w:tc>
        <w:tc>
          <w:tcPr>
            <w:tcW w:w="917" w:type="dxa"/>
            <w:shd w:val="clear" w:color="auto" w:fill="auto"/>
            <w:noWrap/>
            <w:vAlign w:val="center"/>
          </w:tcPr>
          <w:p w14:paraId="17C19C8E"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(0.01040)</w:t>
            </w:r>
          </w:p>
        </w:tc>
        <w:tc>
          <w:tcPr>
            <w:tcW w:w="1079" w:type="dxa"/>
            <w:gridSpan w:val="2"/>
            <w:shd w:val="clear" w:color="auto" w:fill="auto"/>
            <w:noWrap/>
            <w:vAlign w:val="center"/>
          </w:tcPr>
          <w:p w14:paraId="799FA09D" w14:textId="77777777" w:rsidR="00B83B39" w:rsidRPr="00B83B39" w:rsidRDefault="00B83B39" w:rsidP="00B83B39">
            <w:pPr>
              <w:adjustRightInd w:val="0"/>
              <w:snapToGrid w:val="0"/>
              <w:spacing w:after="0" w:line="240" w:lineRule="auto"/>
              <w:rPr>
                <w:rFonts w:ascii="Arial Narrow" w:eastAsia="Times New Roman" w:hAnsi="Arial Narrow" w:cs="Arial"/>
                <w:b/>
                <w:sz w:val="16"/>
                <w:szCs w:val="16"/>
              </w:rPr>
            </w:pPr>
            <w:r w:rsidRPr="00B83B39">
              <w:rPr>
                <w:rFonts w:ascii="Arial Narrow" w:eastAsia="Times New Roman" w:hAnsi="Arial Narrow" w:cs="Arial"/>
                <w:b/>
                <w:sz w:val="16"/>
                <w:szCs w:val="16"/>
              </w:rPr>
              <w:t>(0.01590)</w:t>
            </w:r>
          </w:p>
        </w:tc>
        <w:tc>
          <w:tcPr>
            <w:tcW w:w="895" w:type="dxa"/>
            <w:vAlign w:val="center"/>
          </w:tcPr>
          <w:p w14:paraId="7BE1AD9A" w14:textId="77777777" w:rsidR="00B83B39" w:rsidRPr="00B83B39" w:rsidRDefault="00B83B39" w:rsidP="00B83B39">
            <w:pPr>
              <w:adjustRightInd w:val="0"/>
              <w:snapToGrid w:val="0"/>
              <w:spacing w:after="0" w:line="240" w:lineRule="auto"/>
              <w:rPr>
                <w:rFonts w:ascii="Arial Narrow" w:hAnsi="Arial Narrow" w:cs="Arial"/>
                <w:b/>
                <w:sz w:val="16"/>
                <w:szCs w:val="16"/>
              </w:rPr>
            </w:pPr>
          </w:p>
        </w:tc>
      </w:tr>
      <w:tr w:rsidR="00B83B39" w:rsidRPr="00D13BC1" w14:paraId="25D1EA42" w14:textId="77777777" w:rsidTr="00F17AF2">
        <w:trPr>
          <w:trHeight w:val="225"/>
        </w:trPr>
        <w:tc>
          <w:tcPr>
            <w:tcW w:w="1985" w:type="dxa"/>
            <w:tcBorders>
              <w:right w:val="single" w:sz="4" w:space="0" w:color="auto"/>
            </w:tcBorders>
            <w:shd w:val="clear" w:color="auto" w:fill="auto"/>
            <w:noWrap/>
            <w:vAlign w:val="center"/>
          </w:tcPr>
          <w:p w14:paraId="475D0D8D"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Marital Status</w:t>
            </w:r>
          </w:p>
        </w:tc>
        <w:tc>
          <w:tcPr>
            <w:tcW w:w="992" w:type="dxa"/>
            <w:tcBorders>
              <w:left w:val="single" w:sz="4" w:space="0" w:color="auto"/>
            </w:tcBorders>
            <w:shd w:val="clear" w:color="auto" w:fill="auto"/>
            <w:noWrap/>
            <w:vAlign w:val="bottom"/>
          </w:tcPr>
          <w:p w14:paraId="57DDA8E5"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tcPr>
          <w:p w14:paraId="6DA54EC0"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tcPr>
          <w:p w14:paraId="79CB1BB9"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7FF391B2" w14:textId="77777777" w:rsidR="00B83B39" w:rsidRPr="00D13BC1"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tcPr>
          <w:p w14:paraId="3E2965DB"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tcPr>
          <w:p w14:paraId="553556B4"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tcPr>
          <w:p w14:paraId="7A4C108D" w14:textId="77777777" w:rsidR="00B83B39" w:rsidRPr="00D13BC1"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5323F745" w14:textId="77777777" w:rsidR="00B83B39" w:rsidRPr="00D13BC1" w:rsidRDefault="00B83B39" w:rsidP="00B83B39">
            <w:pPr>
              <w:adjustRightInd w:val="0"/>
              <w:snapToGrid w:val="0"/>
              <w:spacing w:after="0" w:line="240" w:lineRule="auto"/>
              <w:rPr>
                <w:rFonts w:ascii="Arial Narrow" w:hAnsi="Arial Narrow" w:cs="Arial"/>
                <w:b/>
                <w:sz w:val="16"/>
                <w:szCs w:val="16"/>
              </w:rPr>
            </w:pPr>
          </w:p>
        </w:tc>
      </w:tr>
      <w:tr w:rsidR="00B83B39" w:rsidRPr="00D13BC1" w14:paraId="43CEA19F" w14:textId="77777777" w:rsidTr="00F17AF2">
        <w:trPr>
          <w:trHeight w:val="225"/>
        </w:trPr>
        <w:tc>
          <w:tcPr>
            <w:tcW w:w="1985" w:type="dxa"/>
            <w:tcBorders>
              <w:right w:val="single" w:sz="4" w:space="0" w:color="auto"/>
            </w:tcBorders>
            <w:shd w:val="clear" w:color="auto" w:fill="auto"/>
            <w:vAlign w:val="center"/>
            <w:hideMark/>
          </w:tcPr>
          <w:p w14:paraId="0114B7CD"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Unmarried</w:t>
            </w:r>
          </w:p>
        </w:tc>
        <w:tc>
          <w:tcPr>
            <w:tcW w:w="992" w:type="dxa"/>
            <w:tcBorders>
              <w:left w:val="single" w:sz="4" w:space="0" w:color="auto"/>
            </w:tcBorders>
            <w:shd w:val="clear" w:color="auto" w:fill="auto"/>
            <w:noWrap/>
            <w:vAlign w:val="bottom"/>
            <w:hideMark/>
          </w:tcPr>
          <w:p w14:paraId="12DBF470"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0.0104</w:t>
            </w:r>
          </w:p>
        </w:tc>
        <w:tc>
          <w:tcPr>
            <w:tcW w:w="909" w:type="dxa"/>
            <w:shd w:val="clear" w:color="auto" w:fill="auto"/>
            <w:noWrap/>
            <w:vAlign w:val="bottom"/>
            <w:hideMark/>
          </w:tcPr>
          <w:p w14:paraId="1B3D32AD"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0.0117</w:t>
            </w:r>
          </w:p>
        </w:tc>
        <w:tc>
          <w:tcPr>
            <w:tcW w:w="909" w:type="dxa"/>
            <w:shd w:val="clear" w:color="auto" w:fill="auto"/>
            <w:noWrap/>
            <w:vAlign w:val="bottom"/>
            <w:hideMark/>
          </w:tcPr>
          <w:p w14:paraId="15CDC87E"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-0.0221</w:t>
            </w:r>
          </w:p>
        </w:tc>
        <w:tc>
          <w:tcPr>
            <w:tcW w:w="895" w:type="dxa"/>
            <w:tcBorders>
              <w:right w:val="single" w:sz="4" w:space="0" w:color="auto"/>
            </w:tcBorders>
            <w:vAlign w:val="center"/>
          </w:tcPr>
          <w:p w14:paraId="129136FF"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hAnsi="Arial Narrow" w:cs="Calibri"/>
                <w:color w:val="000000"/>
                <w:sz w:val="16"/>
                <w:szCs w:val="16"/>
              </w:rPr>
              <w:t>-0.0325</w:t>
            </w:r>
          </w:p>
        </w:tc>
        <w:tc>
          <w:tcPr>
            <w:tcW w:w="992" w:type="dxa"/>
            <w:tcBorders>
              <w:left w:val="single" w:sz="4" w:space="0" w:color="auto"/>
            </w:tcBorders>
            <w:shd w:val="clear" w:color="auto" w:fill="auto"/>
            <w:noWrap/>
            <w:vAlign w:val="center"/>
            <w:hideMark/>
          </w:tcPr>
          <w:p w14:paraId="67F78CB8"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-0.00854</w:t>
            </w:r>
          </w:p>
        </w:tc>
        <w:tc>
          <w:tcPr>
            <w:tcW w:w="917" w:type="dxa"/>
            <w:shd w:val="clear" w:color="auto" w:fill="auto"/>
            <w:noWrap/>
            <w:vAlign w:val="center"/>
            <w:hideMark/>
          </w:tcPr>
          <w:p w14:paraId="1EDE5A41"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-0.0188</w:t>
            </w:r>
          </w:p>
        </w:tc>
        <w:tc>
          <w:tcPr>
            <w:tcW w:w="1079" w:type="dxa"/>
            <w:gridSpan w:val="2"/>
            <w:shd w:val="clear" w:color="auto" w:fill="auto"/>
            <w:noWrap/>
            <w:vAlign w:val="center"/>
            <w:hideMark/>
          </w:tcPr>
          <w:p w14:paraId="533944E1"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0.0273</w:t>
            </w:r>
          </w:p>
        </w:tc>
        <w:tc>
          <w:tcPr>
            <w:tcW w:w="895" w:type="dxa"/>
            <w:vAlign w:val="center"/>
          </w:tcPr>
          <w:p w14:paraId="571460B3"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Pr>
                <w:rFonts w:ascii="Arial Narrow" w:hAnsi="Arial Narrow" w:cs="Calibri"/>
                <w:color w:val="000000"/>
                <w:sz w:val="16"/>
                <w:szCs w:val="16"/>
              </w:rPr>
              <w:t>0.0358</w:t>
            </w:r>
          </w:p>
        </w:tc>
      </w:tr>
      <w:tr w:rsidR="00B83B39" w:rsidRPr="00D13BC1" w14:paraId="7C711A97" w14:textId="77777777" w:rsidTr="00F17AF2">
        <w:trPr>
          <w:trHeight w:val="225"/>
        </w:trPr>
        <w:tc>
          <w:tcPr>
            <w:tcW w:w="1985" w:type="dxa"/>
            <w:tcBorders>
              <w:right w:val="single" w:sz="4" w:space="0" w:color="auto"/>
            </w:tcBorders>
            <w:shd w:val="clear" w:color="auto" w:fill="auto"/>
            <w:vAlign w:val="bottom"/>
            <w:hideMark/>
          </w:tcPr>
          <w:p w14:paraId="691B2E7F"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52D3A0E4"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(0.01400)</w:t>
            </w:r>
          </w:p>
        </w:tc>
        <w:tc>
          <w:tcPr>
            <w:tcW w:w="909" w:type="dxa"/>
            <w:shd w:val="clear" w:color="auto" w:fill="auto"/>
            <w:noWrap/>
            <w:vAlign w:val="bottom"/>
            <w:hideMark/>
          </w:tcPr>
          <w:p w14:paraId="1BD0341B"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(0.01410)</w:t>
            </w:r>
          </w:p>
        </w:tc>
        <w:tc>
          <w:tcPr>
            <w:tcW w:w="909" w:type="dxa"/>
            <w:shd w:val="clear" w:color="auto" w:fill="auto"/>
            <w:noWrap/>
            <w:vAlign w:val="bottom"/>
            <w:hideMark/>
          </w:tcPr>
          <w:p w14:paraId="1D6BAB27"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(0.02790)</w:t>
            </w:r>
          </w:p>
        </w:tc>
        <w:tc>
          <w:tcPr>
            <w:tcW w:w="895" w:type="dxa"/>
            <w:tcBorders>
              <w:right w:val="single" w:sz="4" w:space="0" w:color="auto"/>
            </w:tcBorders>
            <w:vAlign w:val="center"/>
          </w:tcPr>
          <w:p w14:paraId="4691CB9D" w14:textId="77777777" w:rsidR="00B83B39" w:rsidRPr="00794D00"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623D14B5"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(0.00822)</w:t>
            </w:r>
          </w:p>
        </w:tc>
        <w:tc>
          <w:tcPr>
            <w:tcW w:w="917" w:type="dxa"/>
            <w:shd w:val="clear" w:color="auto" w:fill="auto"/>
            <w:noWrap/>
            <w:vAlign w:val="center"/>
            <w:hideMark/>
          </w:tcPr>
          <w:p w14:paraId="5C505951"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(0.02000)</w:t>
            </w:r>
          </w:p>
        </w:tc>
        <w:tc>
          <w:tcPr>
            <w:tcW w:w="1079" w:type="dxa"/>
            <w:gridSpan w:val="2"/>
            <w:shd w:val="clear" w:color="auto" w:fill="auto"/>
            <w:noWrap/>
            <w:vAlign w:val="center"/>
            <w:hideMark/>
          </w:tcPr>
          <w:p w14:paraId="117F520B"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(0.02810)</w:t>
            </w:r>
          </w:p>
        </w:tc>
        <w:tc>
          <w:tcPr>
            <w:tcW w:w="895" w:type="dxa"/>
            <w:vAlign w:val="center"/>
          </w:tcPr>
          <w:p w14:paraId="5C7B2CC3" w14:textId="77777777" w:rsidR="00B83B39" w:rsidRPr="00794D00" w:rsidRDefault="00B83B39" w:rsidP="00B83B39">
            <w:pPr>
              <w:adjustRightInd w:val="0"/>
              <w:snapToGrid w:val="0"/>
              <w:spacing w:after="0" w:line="240" w:lineRule="auto"/>
              <w:rPr>
                <w:rFonts w:ascii="Arial Narrow" w:hAnsi="Arial Narrow" w:cs="Arial"/>
                <w:b/>
                <w:sz w:val="16"/>
                <w:szCs w:val="16"/>
              </w:rPr>
            </w:pPr>
          </w:p>
        </w:tc>
      </w:tr>
      <w:tr w:rsidR="00B83B39" w:rsidRPr="00D13BC1" w14:paraId="4282A7FA" w14:textId="77777777" w:rsidTr="00F17AF2">
        <w:trPr>
          <w:trHeight w:val="225"/>
        </w:trPr>
        <w:tc>
          <w:tcPr>
            <w:tcW w:w="1985" w:type="dxa"/>
            <w:tcBorders>
              <w:right w:val="single" w:sz="4" w:space="0" w:color="auto"/>
            </w:tcBorders>
            <w:shd w:val="clear" w:color="auto" w:fill="auto"/>
            <w:noWrap/>
            <w:vAlign w:val="center"/>
            <w:hideMark/>
          </w:tcPr>
          <w:p w14:paraId="1A160653"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Widowed/Divorced</w:t>
            </w:r>
          </w:p>
        </w:tc>
        <w:tc>
          <w:tcPr>
            <w:tcW w:w="992" w:type="dxa"/>
            <w:tcBorders>
              <w:left w:val="single" w:sz="4" w:space="0" w:color="auto"/>
            </w:tcBorders>
            <w:shd w:val="clear" w:color="auto" w:fill="auto"/>
            <w:noWrap/>
            <w:vAlign w:val="bottom"/>
            <w:hideMark/>
          </w:tcPr>
          <w:p w14:paraId="59FD4E2E"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0.00494</w:t>
            </w:r>
          </w:p>
        </w:tc>
        <w:tc>
          <w:tcPr>
            <w:tcW w:w="909" w:type="dxa"/>
            <w:shd w:val="clear" w:color="auto" w:fill="auto"/>
            <w:noWrap/>
            <w:vAlign w:val="bottom"/>
            <w:hideMark/>
          </w:tcPr>
          <w:p w14:paraId="65AD251B"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0.00581</w:t>
            </w:r>
          </w:p>
        </w:tc>
        <w:tc>
          <w:tcPr>
            <w:tcW w:w="909" w:type="dxa"/>
            <w:shd w:val="clear" w:color="auto" w:fill="auto"/>
            <w:noWrap/>
            <w:vAlign w:val="bottom"/>
            <w:hideMark/>
          </w:tcPr>
          <w:p w14:paraId="3E757A50"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-0.0107</w:t>
            </w:r>
          </w:p>
        </w:tc>
        <w:tc>
          <w:tcPr>
            <w:tcW w:w="895" w:type="dxa"/>
            <w:tcBorders>
              <w:right w:val="single" w:sz="4" w:space="0" w:color="auto"/>
            </w:tcBorders>
            <w:vAlign w:val="center"/>
          </w:tcPr>
          <w:p w14:paraId="3BE2326B" w14:textId="77777777" w:rsidR="00B83B39" w:rsidRPr="00794D00" w:rsidRDefault="00B83B39" w:rsidP="00B83B39">
            <w:pPr>
              <w:adjustRightInd w:val="0"/>
              <w:snapToGrid w:val="0"/>
              <w:spacing w:after="0" w:line="240" w:lineRule="auto"/>
              <w:rPr>
                <w:rFonts w:ascii="Arial Narrow" w:hAnsi="Arial Narrow" w:cs="Arial"/>
                <w:b/>
                <w:sz w:val="16"/>
                <w:szCs w:val="16"/>
              </w:rPr>
            </w:pPr>
            <w:r w:rsidRPr="00081C02">
              <w:rPr>
                <w:rFonts w:ascii="Arial Narrow" w:hAnsi="Arial Narrow" w:cs="Calibri"/>
                <w:color w:val="000000"/>
                <w:sz w:val="16"/>
                <w:szCs w:val="16"/>
              </w:rPr>
              <w:t>-0.01559</w:t>
            </w:r>
          </w:p>
        </w:tc>
        <w:tc>
          <w:tcPr>
            <w:tcW w:w="992" w:type="dxa"/>
            <w:tcBorders>
              <w:left w:val="single" w:sz="4" w:space="0" w:color="auto"/>
            </w:tcBorders>
            <w:shd w:val="clear" w:color="auto" w:fill="auto"/>
            <w:noWrap/>
            <w:vAlign w:val="center"/>
            <w:hideMark/>
          </w:tcPr>
          <w:p w14:paraId="6FB5072A"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-0.00935**</w:t>
            </w:r>
          </w:p>
        </w:tc>
        <w:tc>
          <w:tcPr>
            <w:tcW w:w="917" w:type="dxa"/>
            <w:shd w:val="clear" w:color="auto" w:fill="auto"/>
            <w:noWrap/>
            <w:vAlign w:val="center"/>
            <w:hideMark/>
          </w:tcPr>
          <w:p w14:paraId="0EE0BD5D"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-0.0207**</w:t>
            </w:r>
          </w:p>
        </w:tc>
        <w:tc>
          <w:tcPr>
            <w:tcW w:w="1079" w:type="dxa"/>
            <w:gridSpan w:val="2"/>
            <w:shd w:val="clear" w:color="auto" w:fill="auto"/>
            <w:noWrap/>
            <w:vAlign w:val="center"/>
            <w:hideMark/>
          </w:tcPr>
          <w:p w14:paraId="5ECD49DD" w14:textId="77777777" w:rsidR="00B83B39" w:rsidRPr="00794D00"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0.0300**</w:t>
            </w:r>
          </w:p>
        </w:tc>
        <w:tc>
          <w:tcPr>
            <w:tcW w:w="895" w:type="dxa"/>
            <w:vAlign w:val="center"/>
          </w:tcPr>
          <w:p w14:paraId="04977C27" w14:textId="77777777" w:rsidR="00B83B39" w:rsidRPr="00794D00" w:rsidRDefault="00B83B39" w:rsidP="00B83B39">
            <w:pPr>
              <w:adjustRightInd w:val="0"/>
              <w:snapToGrid w:val="0"/>
              <w:spacing w:after="0" w:line="240" w:lineRule="auto"/>
              <w:rPr>
                <w:rFonts w:ascii="Arial Narrow" w:hAnsi="Arial Narrow" w:cs="Arial"/>
                <w:b/>
                <w:sz w:val="16"/>
                <w:szCs w:val="16"/>
              </w:rPr>
            </w:pPr>
            <w:r>
              <w:rPr>
                <w:rFonts w:ascii="Arial Narrow" w:hAnsi="Arial Narrow" w:cs="Calibri"/>
                <w:color w:val="000000"/>
                <w:sz w:val="16"/>
                <w:szCs w:val="16"/>
              </w:rPr>
              <w:t>0.0393</w:t>
            </w:r>
          </w:p>
        </w:tc>
      </w:tr>
      <w:tr w:rsidR="00B83B39" w:rsidRPr="00D13BC1" w14:paraId="7C23380D" w14:textId="77777777" w:rsidTr="00F17AF2">
        <w:trPr>
          <w:trHeight w:val="225"/>
        </w:trPr>
        <w:tc>
          <w:tcPr>
            <w:tcW w:w="1985" w:type="dxa"/>
            <w:tcBorders>
              <w:right w:val="single" w:sz="4" w:space="0" w:color="auto"/>
            </w:tcBorders>
            <w:shd w:val="clear" w:color="auto" w:fill="auto"/>
            <w:vAlign w:val="bottom"/>
            <w:hideMark/>
          </w:tcPr>
          <w:p w14:paraId="29730A6C"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3D639A97" w14:textId="77777777" w:rsidR="00B83B39" w:rsidRPr="00D13BC1" w:rsidRDefault="00B83B39" w:rsidP="00B83B39">
            <w:pPr>
              <w:adjustRightInd w:val="0"/>
              <w:snapToGrid w:val="0"/>
              <w:spacing w:line="240" w:lineRule="auto"/>
              <w:jc w:val="center"/>
              <w:rPr>
                <w:rFonts w:ascii="Arial Narrow" w:hAnsi="Arial Narrow" w:cs="Arial"/>
                <w:sz w:val="16"/>
                <w:szCs w:val="16"/>
              </w:rPr>
            </w:pPr>
            <w:r w:rsidRPr="00081C02">
              <w:rPr>
                <w:rFonts w:ascii="Arial Narrow" w:eastAsia="Times New Roman" w:hAnsi="Arial Narrow" w:cs="Arial"/>
                <w:sz w:val="16"/>
                <w:szCs w:val="16"/>
              </w:rPr>
              <w:t>(0.00678)</w:t>
            </w:r>
          </w:p>
        </w:tc>
        <w:tc>
          <w:tcPr>
            <w:tcW w:w="909" w:type="dxa"/>
            <w:shd w:val="clear" w:color="auto" w:fill="auto"/>
            <w:noWrap/>
            <w:vAlign w:val="bottom"/>
            <w:hideMark/>
          </w:tcPr>
          <w:p w14:paraId="312E6607" w14:textId="77777777" w:rsidR="00B83B39" w:rsidRPr="00D13BC1" w:rsidRDefault="00B83B39" w:rsidP="00B83B39">
            <w:pPr>
              <w:adjustRightInd w:val="0"/>
              <w:snapToGrid w:val="0"/>
              <w:spacing w:line="240" w:lineRule="auto"/>
              <w:jc w:val="center"/>
              <w:rPr>
                <w:rFonts w:ascii="Arial Narrow" w:hAnsi="Arial Narrow" w:cs="Arial"/>
                <w:sz w:val="16"/>
                <w:szCs w:val="16"/>
              </w:rPr>
            </w:pPr>
            <w:r w:rsidRPr="00081C02">
              <w:rPr>
                <w:rFonts w:ascii="Arial Narrow" w:eastAsia="Times New Roman" w:hAnsi="Arial Narrow" w:cs="Arial"/>
                <w:sz w:val="16"/>
                <w:szCs w:val="16"/>
              </w:rPr>
              <w:t>(0.00766)</w:t>
            </w:r>
          </w:p>
        </w:tc>
        <w:tc>
          <w:tcPr>
            <w:tcW w:w="909" w:type="dxa"/>
            <w:shd w:val="clear" w:color="auto" w:fill="auto"/>
            <w:noWrap/>
            <w:vAlign w:val="bottom"/>
            <w:hideMark/>
          </w:tcPr>
          <w:p w14:paraId="5C0CE5D8" w14:textId="77777777" w:rsidR="00B83B39" w:rsidRPr="00D13BC1" w:rsidRDefault="00B83B39" w:rsidP="00B83B39">
            <w:pPr>
              <w:adjustRightInd w:val="0"/>
              <w:snapToGrid w:val="0"/>
              <w:spacing w:line="240" w:lineRule="auto"/>
              <w:jc w:val="center"/>
              <w:rPr>
                <w:rFonts w:ascii="Arial Narrow" w:hAnsi="Arial Narrow" w:cs="Arial"/>
                <w:sz w:val="16"/>
                <w:szCs w:val="16"/>
              </w:rPr>
            </w:pPr>
            <w:r w:rsidRPr="00081C02">
              <w:rPr>
                <w:rFonts w:ascii="Arial Narrow" w:eastAsia="Times New Roman" w:hAnsi="Arial Narrow" w:cs="Arial"/>
                <w:sz w:val="16"/>
                <w:szCs w:val="16"/>
              </w:rPr>
              <w:t>(0.01440)</w:t>
            </w:r>
          </w:p>
        </w:tc>
        <w:tc>
          <w:tcPr>
            <w:tcW w:w="895" w:type="dxa"/>
            <w:tcBorders>
              <w:right w:val="single" w:sz="4" w:space="0" w:color="auto"/>
            </w:tcBorders>
            <w:vAlign w:val="center"/>
          </w:tcPr>
          <w:p w14:paraId="75DA7E5C" w14:textId="77777777" w:rsidR="00B83B39" w:rsidRPr="00D13BC1" w:rsidRDefault="00B83B39" w:rsidP="00B83B39">
            <w:pPr>
              <w:adjustRightInd w:val="0"/>
              <w:snapToGrid w:val="0"/>
              <w:spacing w:line="240" w:lineRule="auto"/>
              <w:jc w:val="center"/>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5A2E8907" w14:textId="77777777" w:rsidR="00B83B39" w:rsidRPr="00D13BC1" w:rsidRDefault="00B83B39" w:rsidP="00B83B39">
            <w:pPr>
              <w:adjustRightInd w:val="0"/>
              <w:snapToGrid w:val="0"/>
              <w:spacing w:line="240" w:lineRule="auto"/>
              <w:jc w:val="center"/>
              <w:rPr>
                <w:rFonts w:ascii="Arial Narrow" w:hAnsi="Arial Narrow" w:cs="Arial"/>
                <w:sz w:val="16"/>
                <w:szCs w:val="16"/>
              </w:rPr>
            </w:pPr>
            <w:r w:rsidRPr="00081C02">
              <w:rPr>
                <w:rFonts w:ascii="Arial Narrow" w:eastAsia="Times New Roman" w:hAnsi="Arial Narrow" w:cs="Arial"/>
                <w:sz w:val="16"/>
                <w:szCs w:val="16"/>
              </w:rPr>
              <w:t>(0.00435)</w:t>
            </w:r>
          </w:p>
        </w:tc>
        <w:tc>
          <w:tcPr>
            <w:tcW w:w="917" w:type="dxa"/>
            <w:shd w:val="clear" w:color="auto" w:fill="auto"/>
            <w:noWrap/>
            <w:vAlign w:val="center"/>
            <w:hideMark/>
          </w:tcPr>
          <w:p w14:paraId="464BCA41" w14:textId="77777777" w:rsidR="00B83B39" w:rsidRPr="00D13BC1" w:rsidRDefault="00B83B39" w:rsidP="00B83B39">
            <w:pPr>
              <w:adjustRightInd w:val="0"/>
              <w:snapToGrid w:val="0"/>
              <w:spacing w:line="240" w:lineRule="auto"/>
              <w:jc w:val="center"/>
              <w:rPr>
                <w:rFonts w:ascii="Arial Narrow" w:hAnsi="Arial Narrow" w:cs="Arial"/>
                <w:sz w:val="16"/>
                <w:szCs w:val="16"/>
              </w:rPr>
            </w:pPr>
            <w:r w:rsidRPr="00081C02">
              <w:rPr>
                <w:rFonts w:ascii="Arial Narrow" w:eastAsia="Times New Roman" w:hAnsi="Arial Narrow" w:cs="Arial"/>
                <w:sz w:val="16"/>
                <w:szCs w:val="16"/>
              </w:rPr>
              <w:t>(0.01030)</w:t>
            </w:r>
          </w:p>
        </w:tc>
        <w:tc>
          <w:tcPr>
            <w:tcW w:w="1079" w:type="dxa"/>
            <w:gridSpan w:val="2"/>
            <w:shd w:val="clear" w:color="auto" w:fill="auto"/>
            <w:noWrap/>
            <w:vAlign w:val="center"/>
            <w:hideMark/>
          </w:tcPr>
          <w:p w14:paraId="649AEAFD" w14:textId="77777777" w:rsidR="00B83B39" w:rsidRPr="00D13BC1" w:rsidRDefault="00B83B39" w:rsidP="00B83B39">
            <w:pPr>
              <w:adjustRightInd w:val="0"/>
              <w:snapToGrid w:val="0"/>
              <w:spacing w:line="240" w:lineRule="auto"/>
              <w:jc w:val="center"/>
              <w:rPr>
                <w:rFonts w:ascii="Arial Narrow" w:hAnsi="Arial Narrow" w:cs="Arial"/>
                <w:sz w:val="16"/>
                <w:szCs w:val="16"/>
              </w:rPr>
            </w:pPr>
            <w:r w:rsidRPr="00081C02">
              <w:rPr>
                <w:rFonts w:ascii="Arial Narrow" w:eastAsia="Times New Roman" w:hAnsi="Arial Narrow" w:cs="Arial"/>
                <w:sz w:val="16"/>
                <w:szCs w:val="16"/>
              </w:rPr>
              <w:t>(0.01440)</w:t>
            </w:r>
          </w:p>
        </w:tc>
        <w:tc>
          <w:tcPr>
            <w:tcW w:w="895" w:type="dxa"/>
            <w:vAlign w:val="center"/>
          </w:tcPr>
          <w:p w14:paraId="2635E1C6" w14:textId="77777777" w:rsidR="00B83B39" w:rsidRPr="00D13BC1" w:rsidRDefault="00B83B39" w:rsidP="00B83B39">
            <w:pPr>
              <w:adjustRightInd w:val="0"/>
              <w:snapToGrid w:val="0"/>
              <w:spacing w:line="240" w:lineRule="auto"/>
              <w:jc w:val="center"/>
              <w:rPr>
                <w:rFonts w:ascii="Arial Narrow" w:hAnsi="Arial Narrow" w:cs="Arial"/>
                <w:sz w:val="16"/>
                <w:szCs w:val="16"/>
              </w:rPr>
            </w:pPr>
          </w:p>
        </w:tc>
      </w:tr>
      <w:tr w:rsidR="00B83B39" w:rsidRPr="00D13BC1" w14:paraId="3530878E" w14:textId="77777777" w:rsidTr="00F17AF2">
        <w:trPr>
          <w:trHeight w:val="225"/>
        </w:trPr>
        <w:tc>
          <w:tcPr>
            <w:tcW w:w="1985" w:type="dxa"/>
            <w:tcBorders>
              <w:right w:val="single" w:sz="4" w:space="0" w:color="auto"/>
            </w:tcBorders>
            <w:shd w:val="clear" w:color="auto" w:fill="auto"/>
            <w:vAlign w:val="center"/>
            <w:hideMark/>
          </w:tcPr>
          <w:p w14:paraId="6E2A43BB"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 xml:space="preserve">Age </w:t>
            </w:r>
            <w:r w:rsidRPr="007F1E2C">
              <w:rPr>
                <w:rFonts w:ascii="Arial Narrow" w:eastAsia="Times New Roman" w:hAnsi="Arial Narrow" w:cs="Arial"/>
                <w:i/>
                <w:sz w:val="16"/>
                <w:szCs w:val="16"/>
                <w:vertAlign w:val="superscript"/>
              </w:rPr>
              <w:t>3</w:t>
            </w:r>
          </w:p>
        </w:tc>
        <w:tc>
          <w:tcPr>
            <w:tcW w:w="992" w:type="dxa"/>
            <w:tcBorders>
              <w:left w:val="single" w:sz="4" w:space="0" w:color="auto"/>
            </w:tcBorders>
            <w:shd w:val="clear" w:color="auto" w:fill="auto"/>
            <w:noWrap/>
            <w:vAlign w:val="bottom"/>
            <w:hideMark/>
          </w:tcPr>
          <w:p w14:paraId="66754442"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-0.00165***</w:t>
            </w:r>
            <w:r w:rsidR="008C7298">
              <w:rPr>
                <w:rFonts w:ascii="Arial Narrow" w:eastAsia="Times New Roman" w:hAnsi="Arial Narrow" w:cs="Arial"/>
                <w:b/>
                <w:sz w:val="16"/>
                <w:szCs w:val="16"/>
                <w:vertAlign w:val="superscript"/>
              </w:rPr>
              <w:t>1</w:t>
            </w:r>
          </w:p>
        </w:tc>
        <w:tc>
          <w:tcPr>
            <w:tcW w:w="909" w:type="dxa"/>
            <w:shd w:val="clear" w:color="auto" w:fill="auto"/>
            <w:noWrap/>
            <w:vAlign w:val="bottom"/>
            <w:hideMark/>
          </w:tcPr>
          <w:p w14:paraId="3BC88466"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-0.00200***</w:t>
            </w:r>
          </w:p>
        </w:tc>
        <w:tc>
          <w:tcPr>
            <w:tcW w:w="909" w:type="dxa"/>
            <w:shd w:val="clear" w:color="auto" w:fill="auto"/>
            <w:noWrap/>
            <w:vAlign w:val="bottom"/>
            <w:hideMark/>
          </w:tcPr>
          <w:p w14:paraId="168C1087"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0.00365***</w:t>
            </w:r>
          </w:p>
        </w:tc>
        <w:tc>
          <w:tcPr>
            <w:tcW w:w="895" w:type="dxa"/>
            <w:tcBorders>
              <w:right w:val="single" w:sz="4" w:space="0" w:color="auto"/>
            </w:tcBorders>
            <w:vAlign w:val="center"/>
          </w:tcPr>
          <w:p w14:paraId="1662CBDC" w14:textId="77777777" w:rsidR="00B83B39" w:rsidRPr="007F1E2C" w:rsidRDefault="00B83B39" w:rsidP="00B83B39">
            <w:pPr>
              <w:adjustRightInd w:val="0"/>
              <w:snapToGrid w:val="0"/>
              <w:spacing w:after="0" w:line="240" w:lineRule="auto"/>
              <w:rPr>
                <w:rFonts w:ascii="Arial Narrow" w:hAnsi="Arial Narrow" w:cs="Arial"/>
                <w:i/>
                <w:sz w:val="16"/>
                <w:szCs w:val="16"/>
              </w:rPr>
            </w:pPr>
            <w:r w:rsidRPr="007F1E2C">
              <w:rPr>
                <w:rFonts w:ascii="Arial Narrow" w:hAnsi="Arial Narrow" w:cs="Calibri"/>
                <w:i/>
                <w:color w:val="000000"/>
                <w:sz w:val="16"/>
                <w:szCs w:val="16"/>
              </w:rPr>
              <w:t>0.0053</w:t>
            </w:r>
          </w:p>
        </w:tc>
        <w:tc>
          <w:tcPr>
            <w:tcW w:w="992" w:type="dxa"/>
            <w:tcBorders>
              <w:left w:val="single" w:sz="4" w:space="0" w:color="auto"/>
            </w:tcBorders>
            <w:shd w:val="clear" w:color="auto" w:fill="auto"/>
            <w:noWrap/>
            <w:vAlign w:val="center"/>
            <w:hideMark/>
          </w:tcPr>
          <w:p w14:paraId="67336EF7"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-0.00446***</w:t>
            </w:r>
          </w:p>
        </w:tc>
        <w:tc>
          <w:tcPr>
            <w:tcW w:w="917" w:type="dxa"/>
            <w:shd w:val="clear" w:color="auto" w:fill="auto"/>
            <w:noWrap/>
            <w:vAlign w:val="center"/>
            <w:hideMark/>
          </w:tcPr>
          <w:p w14:paraId="3B34F4D7"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-0.00921***</w:t>
            </w:r>
          </w:p>
        </w:tc>
        <w:tc>
          <w:tcPr>
            <w:tcW w:w="1079" w:type="dxa"/>
            <w:gridSpan w:val="2"/>
            <w:shd w:val="clear" w:color="auto" w:fill="auto"/>
            <w:noWrap/>
            <w:vAlign w:val="center"/>
            <w:hideMark/>
          </w:tcPr>
          <w:p w14:paraId="79A1A049"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0.0137***</w:t>
            </w:r>
          </w:p>
        </w:tc>
        <w:tc>
          <w:tcPr>
            <w:tcW w:w="895" w:type="dxa"/>
            <w:vAlign w:val="center"/>
          </w:tcPr>
          <w:p w14:paraId="488F1BF6" w14:textId="77777777" w:rsidR="00B83B39" w:rsidRPr="007F1E2C" w:rsidRDefault="00B83B39" w:rsidP="00B83B39">
            <w:pPr>
              <w:adjustRightInd w:val="0"/>
              <w:snapToGrid w:val="0"/>
              <w:spacing w:after="0" w:line="240" w:lineRule="auto"/>
              <w:rPr>
                <w:rFonts w:ascii="Arial Narrow" w:hAnsi="Arial Narrow" w:cs="Arial"/>
                <w:i/>
                <w:sz w:val="16"/>
                <w:szCs w:val="16"/>
              </w:rPr>
            </w:pPr>
            <w:r w:rsidRPr="007F1E2C">
              <w:rPr>
                <w:rFonts w:ascii="Arial Narrow" w:hAnsi="Arial Narrow" w:cs="Calibri"/>
                <w:i/>
                <w:color w:val="000000"/>
                <w:sz w:val="16"/>
                <w:szCs w:val="16"/>
              </w:rPr>
              <w:t>0.01819</w:t>
            </w:r>
          </w:p>
        </w:tc>
      </w:tr>
      <w:tr w:rsidR="00B83B39" w:rsidRPr="00D13BC1" w14:paraId="4F73E41E" w14:textId="77777777" w:rsidTr="00F17AF2">
        <w:trPr>
          <w:trHeight w:val="225"/>
        </w:trPr>
        <w:tc>
          <w:tcPr>
            <w:tcW w:w="1985" w:type="dxa"/>
            <w:tcBorders>
              <w:right w:val="single" w:sz="4" w:space="0" w:color="auto"/>
            </w:tcBorders>
            <w:shd w:val="clear" w:color="auto" w:fill="auto"/>
            <w:noWrap/>
            <w:vAlign w:val="bottom"/>
            <w:hideMark/>
          </w:tcPr>
          <w:p w14:paraId="21CD2E9A"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57817F85"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(0.00061)</w:t>
            </w:r>
          </w:p>
        </w:tc>
        <w:tc>
          <w:tcPr>
            <w:tcW w:w="909" w:type="dxa"/>
            <w:shd w:val="clear" w:color="auto" w:fill="auto"/>
            <w:noWrap/>
            <w:vAlign w:val="bottom"/>
            <w:hideMark/>
          </w:tcPr>
          <w:p w14:paraId="1E05E64A"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(0.00073)</w:t>
            </w:r>
          </w:p>
        </w:tc>
        <w:tc>
          <w:tcPr>
            <w:tcW w:w="909" w:type="dxa"/>
            <w:shd w:val="clear" w:color="auto" w:fill="auto"/>
            <w:noWrap/>
            <w:vAlign w:val="bottom"/>
            <w:hideMark/>
          </w:tcPr>
          <w:p w14:paraId="6360579C"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(0.00134)</w:t>
            </w:r>
          </w:p>
        </w:tc>
        <w:tc>
          <w:tcPr>
            <w:tcW w:w="895" w:type="dxa"/>
            <w:tcBorders>
              <w:right w:val="single" w:sz="4" w:space="0" w:color="auto"/>
            </w:tcBorders>
            <w:vAlign w:val="center"/>
          </w:tcPr>
          <w:p w14:paraId="020DD464" w14:textId="77777777" w:rsidR="00B83B39" w:rsidRPr="007F1E2C"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6799B633"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(0.00043)</w:t>
            </w:r>
          </w:p>
        </w:tc>
        <w:tc>
          <w:tcPr>
            <w:tcW w:w="917" w:type="dxa"/>
            <w:shd w:val="clear" w:color="auto" w:fill="auto"/>
            <w:noWrap/>
            <w:vAlign w:val="center"/>
            <w:hideMark/>
          </w:tcPr>
          <w:p w14:paraId="0EEFB360"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(0.00088)</w:t>
            </w:r>
          </w:p>
        </w:tc>
        <w:tc>
          <w:tcPr>
            <w:tcW w:w="1079" w:type="dxa"/>
            <w:gridSpan w:val="2"/>
            <w:shd w:val="clear" w:color="auto" w:fill="auto"/>
            <w:noWrap/>
            <w:vAlign w:val="center"/>
            <w:hideMark/>
          </w:tcPr>
          <w:p w14:paraId="1CC1231F"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(0.00130)</w:t>
            </w:r>
          </w:p>
        </w:tc>
        <w:tc>
          <w:tcPr>
            <w:tcW w:w="895" w:type="dxa"/>
            <w:vAlign w:val="center"/>
          </w:tcPr>
          <w:p w14:paraId="386D2D69" w14:textId="77777777" w:rsidR="00B83B39" w:rsidRPr="007F1E2C" w:rsidRDefault="00B83B39" w:rsidP="00B83B39">
            <w:pPr>
              <w:adjustRightInd w:val="0"/>
              <w:snapToGrid w:val="0"/>
              <w:spacing w:after="0" w:line="240" w:lineRule="auto"/>
              <w:rPr>
                <w:rFonts w:ascii="Arial Narrow" w:hAnsi="Arial Narrow" w:cs="Arial"/>
                <w:i/>
                <w:sz w:val="16"/>
                <w:szCs w:val="16"/>
              </w:rPr>
            </w:pPr>
          </w:p>
        </w:tc>
      </w:tr>
      <w:tr w:rsidR="00B83B39" w:rsidRPr="00D13BC1" w14:paraId="5499DA0C" w14:textId="77777777" w:rsidTr="00F17AF2">
        <w:trPr>
          <w:trHeight w:val="225"/>
        </w:trPr>
        <w:tc>
          <w:tcPr>
            <w:tcW w:w="1985" w:type="dxa"/>
            <w:tcBorders>
              <w:right w:val="single" w:sz="4" w:space="0" w:color="auto"/>
            </w:tcBorders>
            <w:shd w:val="clear" w:color="auto" w:fill="auto"/>
            <w:vAlign w:val="center"/>
            <w:hideMark/>
          </w:tcPr>
          <w:p w14:paraId="2C033DF9"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Age*Age</w:t>
            </w:r>
          </w:p>
        </w:tc>
        <w:tc>
          <w:tcPr>
            <w:tcW w:w="992" w:type="dxa"/>
            <w:tcBorders>
              <w:left w:val="single" w:sz="4" w:space="0" w:color="auto"/>
            </w:tcBorders>
            <w:shd w:val="clear" w:color="auto" w:fill="auto"/>
            <w:noWrap/>
            <w:vAlign w:val="bottom"/>
            <w:hideMark/>
          </w:tcPr>
          <w:p w14:paraId="136D4297"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1.74e-05***</w:t>
            </w:r>
          </w:p>
        </w:tc>
        <w:tc>
          <w:tcPr>
            <w:tcW w:w="909" w:type="dxa"/>
            <w:shd w:val="clear" w:color="auto" w:fill="auto"/>
            <w:noWrap/>
            <w:vAlign w:val="bottom"/>
            <w:hideMark/>
          </w:tcPr>
          <w:p w14:paraId="61A0591F"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2.11e-05***</w:t>
            </w:r>
          </w:p>
        </w:tc>
        <w:tc>
          <w:tcPr>
            <w:tcW w:w="909" w:type="dxa"/>
            <w:shd w:val="clear" w:color="auto" w:fill="auto"/>
            <w:noWrap/>
            <w:vAlign w:val="bottom"/>
            <w:hideMark/>
          </w:tcPr>
          <w:p w14:paraId="5F87D1ED"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-3.84e-05***</w:t>
            </w:r>
          </w:p>
        </w:tc>
        <w:tc>
          <w:tcPr>
            <w:tcW w:w="895" w:type="dxa"/>
            <w:tcBorders>
              <w:right w:val="single" w:sz="4" w:space="0" w:color="auto"/>
            </w:tcBorders>
            <w:vAlign w:val="center"/>
          </w:tcPr>
          <w:p w14:paraId="788D5EDD" w14:textId="77777777" w:rsidR="00B83B39" w:rsidRPr="007F1E2C" w:rsidRDefault="007F1E2C" w:rsidP="00B83B39">
            <w:pPr>
              <w:adjustRightInd w:val="0"/>
              <w:snapToGrid w:val="0"/>
              <w:spacing w:after="0" w:line="240" w:lineRule="auto"/>
              <w:rPr>
                <w:rFonts w:ascii="Arial Narrow" w:hAnsi="Arial Narrow" w:cs="Arial"/>
                <w:i/>
                <w:sz w:val="16"/>
                <w:szCs w:val="16"/>
              </w:rPr>
            </w:pPr>
            <w:r w:rsidRPr="007F1E2C">
              <w:rPr>
                <w:rFonts w:ascii="Arial Narrow" w:hAnsi="Arial Narrow" w:cs="Calibri"/>
                <w:i/>
                <w:color w:val="000000"/>
                <w:sz w:val="16"/>
                <w:szCs w:val="16"/>
              </w:rPr>
              <w:t>-0.000056</w:t>
            </w:r>
          </w:p>
        </w:tc>
        <w:tc>
          <w:tcPr>
            <w:tcW w:w="992" w:type="dxa"/>
            <w:tcBorders>
              <w:left w:val="single" w:sz="4" w:space="0" w:color="auto"/>
            </w:tcBorders>
            <w:shd w:val="clear" w:color="auto" w:fill="auto"/>
            <w:noWrap/>
            <w:vAlign w:val="center"/>
            <w:hideMark/>
          </w:tcPr>
          <w:p w14:paraId="627D4875"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4.51e-05***</w:t>
            </w:r>
          </w:p>
        </w:tc>
        <w:tc>
          <w:tcPr>
            <w:tcW w:w="917" w:type="dxa"/>
            <w:shd w:val="clear" w:color="auto" w:fill="auto"/>
            <w:noWrap/>
            <w:vAlign w:val="center"/>
            <w:hideMark/>
          </w:tcPr>
          <w:p w14:paraId="7B519A39"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9.31e-05***</w:t>
            </w:r>
          </w:p>
        </w:tc>
        <w:tc>
          <w:tcPr>
            <w:tcW w:w="1079" w:type="dxa"/>
            <w:gridSpan w:val="2"/>
            <w:shd w:val="clear" w:color="auto" w:fill="auto"/>
            <w:noWrap/>
            <w:vAlign w:val="center"/>
            <w:hideMark/>
          </w:tcPr>
          <w:p w14:paraId="0496883A"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-0.000138***</w:t>
            </w:r>
          </w:p>
        </w:tc>
        <w:tc>
          <w:tcPr>
            <w:tcW w:w="895" w:type="dxa"/>
            <w:vAlign w:val="center"/>
          </w:tcPr>
          <w:p w14:paraId="1DF4D4F1" w14:textId="77777777" w:rsidR="00B83B39" w:rsidRPr="007F1E2C" w:rsidRDefault="00B83B39" w:rsidP="00B83B39">
            <w:pPr>
              <w:adjustRightInd w:val="0"/>
              <w:snapToGrid w:val="0"/>
              <w:spacing w:after="0" w:line="240" w:lineRule="auto"/>
              <w:rPr>
                <w:rFonts w:ascii="Arial Narrow" w:hAnsi="Arial Narrow" w:cs="Arial"/>
                <w:i/>
                <w:sz w:val="16"/>
                <w:szCs w:val="16"/>
              </w:rPr>
            </w:pPr>
            <w:r w:rsidRPr="007F1E2C">
              <w:rPr>
                <w:rFonts w:ascii="Arial Narrow" w:hAnsi="Arial Narrow" w:cs="Calibri"/>
                <w:i/>
                <w:color w:val="000000"/>
                <w:sz w:val="16"/>
                <w:szCs w:val="16"/>
              </w:rPr>
              <w:t>-0.0001829</w:t>
            </w:r>
          </w:p>
        </w:tc>
      </w:tr>
      <w:tr w:rsidR="00B83B39" w:rsidRPr="00D13BC1" w14:paraId="655620EE" w14:textId="77777777" w:rsidTr="00F17AF2">
        <w:trPr>
          <w:trHeight w:val="225"/>
        </w:trPr>
        <w:tc>
          <w:tcPr>
            <w:tcW w:w="1985" w:type="dxa"/>
            <w:tcBorders>
              <w:right w:val="single" w:sz="4" w:space="0" w:color="auto"/>
            </w:tcBorders>
            <w:shd w:val="clear" w:color="auto" w:fill="auto"/>
            <w:noWrap/>
            <w:vAlign w:val="bottom"/>
            <w:hideMark/>
          </w:tcPr>
          <w:p w14:paraId="2D4ED68D"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4489B10B"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(0.00001)</w:t>
            </w:r>
          </w:p>
        </w:tc>
        <w:tc>
          <w:tcPr>
            <w:tcW w:w="909" w:type="dxa"/>
            <w:shd w:val="clear" w:color="auto" w:fill="auto"/>
            <w:noWrap/>
            <w:vAlign w:val="bottom"/>
            <w:hideMark/>
          </w:tcPr>
          <w:p w14:paraId="7159DA52"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(0.00001)</w:t>
            </w:r>
          </w:p>
        </w:tc>
        <w:tc>
          <w:tcPr>
            <w:tcW w:w="909" w:type="dxa"/>
            <w:shd w:val="clear" w:color="auto" w:fill="auto"/>
            <w:noWrap/>
            <w:vAlign w:val="bottom"/>
            <w:hideMark/>
          </w:tcPr>
          <w:p w14:paraId="1F196823"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(0.00001)</w:t>
            </w:r>
          </w:p>
        </w:tc>
        <w:tc>
          <w:tcPr>
            <w:tcW w:w="895" w:type="dxa"/>
            <w:tcBorders>
              <w:right w:val="single" w:sz="4" w:space="0" w:color="auto"/>
            </w:tcBorders>
            <w:vAlign w:val="center"/>
          </w:tcPr>
          <w:p w14:paraId="2CBCD35E" w14:textId="77777777" w:rsidR="00B83B39" w:rsidRPr="007F1E2C"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bottom"/>
            <w:hideMark/>
          </w:tcPr>
          <w:p w14:paraId="63059004"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(0.00000)</w:t>
            </w:r>
          </w:p>
        </w:tc>
        <w:tc>
          <w:tcPr>
            <w:tcW w:w="917" w:type="dxa"/>
            <w:shd w:val="clear" w:color="auto" w:fill="auto"/>
            <w:noWrap/>
            <w:vAlign w:val="bottom"/>
            <w:hideMark/>
          </w:tcPr>
          <w:p w14:paraId="6772E59B"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(0.00001)</w:t>
            </w:r>
          </w:p>
        </w:tc>
        <w:tc>
          <w:tcPr>
            <w:tcW w:w="1079" w:type="dxa"/>
            <w:gridSpan w:val="2"/>
            <w:shd w:val="clear" w:color="auto" w:fill="auto"/>
            <w:noWrap/>
            <w:vAlign w:val="bottom"/>
            <w:hideMark/>
          </w:tcPr>
          <w:p w14:paraId="3DDF6AB0" w14:textId="77777777" w:rsidR="00B83B39" w:rsidRPr="007F1E2C" w:rsidRDefault="00B83B39" w:rsidP="00B83B39">
            <w:pPr>
              <w:adjustRightInd w:val="0"/>
              <w:snapToGrid w:val="0"/>
              <w:spacing w:after="0" w:line="240" w:lineRule="auto"/>
              <w:rPr>
                <w:rFonts w:ascii="Arial Narrow" w:eastAsia="Times New Roman" w:hAnsi="Arial Narrow" w:cs="Arial"/>
                <w:i/>
                <w:sz w:val="16"/>
                <w:szCs w:val="16"/>
              </w:rPr>
            </w:pPr>
            <w:r w:rsidRPr="007F1E2C">
              <w:rPr>
                <w:rFonts w:ascii="Arial Narrow" w:eastAsia="Times New Roman" w:hAnsi="Arial Narrow" w:cs="Arial"/>
                <w:i/>
                <w:sz w:val="16"/>
                <w:szCs w:val="16"/>
              </w:rPr>
              <w:t>(0.00001)</w:t>
            </w:r>
          </w:p>
        </w:tc>
        <w:tc>
          <w:tcPr>
            <w:tcW w:w="895" w:type="dxa"/>
            <w:vAlign w:val="center"/>
          </w:tcPr>
          <w:p w14:paraId="3F0CB3AF" w14:textId="77777777" w:rsidR="00B83B39" w:rsidRPr="007F1E2C" w:rsidRDefault="00B83B39" w:rsidP="00B83B39">
            <w:pPr>
              <w:adjustRightInd w:val="0"/>
              <w:snapToGrid w:val="0"/>
              <w:spacing w:after="0" w:line="240" w:lineRule="auto"/>
              <w:rPr>
                <w:rFonts w:ascii="Arial Narrow" w:hAnsi="Arial Narrow" w:cs="Arial"/>
                <w:i/>
                <w:sz w:val="16"/>
                <w:szCs w:val="16"/>
              </w:rPr>
            </w:pPr>
          </w:p>
        </w:tc>
      </w:tr>
      <w:tr w:rsidR="00B83B39" w:rsidRPr="001356C3" w14:paraId="003683AA" w14:textId="77777777" w:rsidTr="00F17AF2">
        <w:trPr>
          <w:trHeight w:val="225"/>
        </w:trPr>
        <w:tc>
          <w:tcPr>
            <w:tcW w:w="1985" w:type="dxa"/>
            <w:tcBorders>
              <w:right w:val="single" w:sz="4" w:space="0" w:color="auto"/>
            </w:tcBorders>
            <w:shd w:val="clear" w:color="auto" w:fill="auto"/>
            <w:vAlign w:val="center"/>
            <w:hideMark/>
          </w:tcPr>
          <w:p w14:paraId="343A3AE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Household Size</w:t>
            </w:r>
          </w:p>
        </w:tc>
        <w:tc>
          <w:tcPr>
            <w:tcW w:w="992" w:type="dxa"/>
            <w:tcBorders>
              <w:left w:val="single" w:sz="4" w:space="0" w:color="auto"/>
            </w:tcBorders>
            <w:shd w:val="clear" w:color="auto" w:fill="auto"/>
            <w:noWrap/>
            <w:vAlign w:val="bottom"/>
            <w:hideMark/>
          </w:tcPr>
          <w:p w14:paraId="38F3889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71CBD14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3329B65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tcBorders>
              <w:right w:val="single" w:sz="4" w:space="0" w:color="auto"/>
            </w:tcBorders>
            <w:vAlign w:val="center"/>
          </w:tcPr>
          <w:p w14:paraId="6244FE25"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0BD6C9C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4A07A63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227F89E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vAlign w:val="center"/>
          </w:tcPr>
          <w:p w14:paraId="11DA5689"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1356C3" w14:paraId="2933C01C" w14:textId="77777777" w:rsidTr="00F17AF2">
        <w:trPr>
          <w:trHeight w:val="225"/>
        </w:trPr>
        <w:tc>
          <w:tcPr>
            <w:tcW w:w="1985" w:type="dxa"/>
            <w:tcBorders>
              <w:right w:val="single" w:sz="4" w:space="0" w:color="auto"/>
            </w:tcBorders>
            <w:shd w:val="clear" w:color="auto" w:fill="auto"/>
            <w:noWrap/>
            <w:vAlign w:val="center"/>
            <w:hideMark/>
          </w:tcPr>
          <w:p w14:paraId="4665C59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1</w:t>
            </w:r>
          </w:p>
        </w:tc>
        <w:tc>
          <w:tcPr>
            <w:tcW w:w="992" w:type="dxa"/>
            <w:tcBorders>
              <w:left w:val="single" w:sz="4" w:space="0" w:color="auto"/>
            </w:tcBorders>
            <w:shd w:val="clear" w:color="auto" w:fill="auto"/>
            <w:noWrap/>
            <w:vAlign w:val="bottom"/>
            <w:hideMark/>
          </w:tcPr>
          <w:p w14:paraId="4959C12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0.0397**</w:t>
            </w:r>
          </w:p>
        </w:tc>
        <w:tc>
          <w:tcPr>
            <w:tcW w:w="909" w:type="dxa"/>
            <w:shd w:val="clear" w:color="auto" w:fill="auto"/>
            <w:noWrap/>
            <w:vAlign w:val="bottom"/>
            <w:hideMark/>
          </w:tcPr>
          <w:p w14:paraId="13536C6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0.0321***</w:t>
            </w:r>
          </w:p>
        </w:tc>
        <w:tc>
          <w:tcPr>
            <w:tcW w:w="909" w:type="dxa"/>
            <w:shd w:val="clear" w:color="auto" w:fill="auto"/>
            <w:noWrap/>
            <w:vAlign w:val="bottom"/>
            <w:hideMark/>
          </w:tcPr>
          <w:p w14:paraId="02727B9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-0.0719**</w:t>
            </w:r>
          </w:p>
        </w:tc>
        <w:tc>
          <w:tcPr>
            <w:tcW w:w="895" w:type="dxa"/>
            <w:tcBorders>
              <w:right w:val="single" w:sz="4" w:space="0" w:color="auto"/>
            </w:tcBorders>
            <w:vAlign w:val="center"/>
          </w:tcPr>
          <w:p w14:paraId="7CFC3754"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-0.1117</w:t>
            </w:r>
          </w:p>
        </w:tc>
        <w:tc>
          <w:tcPr>
            <w:tcW w:w="992" w:type="dxa"/>
            <w:tcBorders>
              <w:left w:val="single" w:sz="4" w:space="0" w:color="auto"/>
            </w:tcBorders>
            <w:shd w:val="clear" w:color="auto" w:fill="auto"/>
            <w:noWrap/>
            <w:vAlign w:val="center"/>
            <w:hideMark/>
          </w:tcPr>
          <w:p w14:paraId="72E38BC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0.0248*</w:t>
            </w:r>
          </w:p>
        </w:tc>
        <w:tc>
          <w:tcPr>
            <w:tcW w:w="917" w:type="dxa"/>
            <w:shd w:val="clear" w:color="auto" w:fill="auto"/>
            <w:noWrap/>
            <w:vAlign w:val="center"/>
            <w:hideMark/>
          </w:tcPr>
          <w:p w14:paraId="1E7712D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0.0387**</w:t>
            </w:r>
          </w:p>
        </w:tc>
        <w:tc>
          <w:tcPr>
            <w:tcW w:w="1079" w:type="dxa"/>
            <w:gridSpan w:val="2"/>
            <w:shd w:val="clear" w:color="auto" w:fill="auto"/>
            <w:noWrap/>
            <w:vAlign w:val="center"/>
            <w:hideMark/>
          </w:tcPr>
          <w:p w14:paraId="5919793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-0.0635**</w:t>
            </w:r>
          </w:p>
        </w:tc>
        <w:tc>
          <w:tcPr>
            <w:tcW w:w="895" w:type="dxa"/>
            <w:vAlign w:val="center"/>
          </w:tcPr>
          <w:p w14:paraId="414C5A5F"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-0.0883</w:t>
            </w:r>
          </w:p>
        </w:tc>
      </w:tr>
      <w:tr w:rsidR="00B83B39" w:rsidRPr="001356C3" w14:paraId="60B9F747" w14:textId="77777777" w:rsidTr="00F17AF2">
        <w:trPr>
          <w:trHeight w:val="225"/>
        </w:trPr>
        <w:tc>
          <w:tcPr>
            <w:tcW w:w="1985" w:type="dxa"/>
            <w:tcBorders>
              <w:right w:val="single" w:sz="4" w:space="0" w:color="auto"/>
            </w:tcBorders>
            <w:shd w:val="clear" w:color="auto" w:fill="auto"/>
            <w:vAlign w:val="bottom"/>
            <w:hideMark/>
          </w:tcPr>
          <w:p w14:paraId="415DC49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454BCD9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(0.01900)</w:t>
            </w:r>
          </w:p>
        </w:tc>
        <w:tc>
          <w:tcPr>
            <w:tcW w:w="909" w:type="dxa"/>
            <w:shd w:val="clear" w:color="auto" w:fill="auto"/>
            <w:noWrap/>
            <w:vAlign w:val="bottom"/>
            <w:hideMark/>
          </w:tcPr>
          <w:p w14:paraId="0819FF0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(0.01230)</w:t>
            </w:r>
          </w:p>
        </w:tc>
        <w:tc>
          <w:tcPr>
            <w:tcW w:w="909" w:type="dxa"/>
            <w:shd w:val="clear" w:color="auto" w:fill="auto"/>
            <w:noWrap/>
            <w:vAlign w:val="bottom"/>
            <w:hideMark/>
          </w:tcPr>
          <w:p w14:paraId="685A8B9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(0.02890)</w:t>
            </w:r>
          </w:p>
        </w:tc>
        <w:tc>
          <w:tcPr>
            <w:tcW w:w="895" w:type="dxa"/>
            <w:tcBorders>
              <w:right w:val="single" w:sz="4" w:space="0" w:color="auto"/>
            </w:tcBorders>
            <w:vAlign w:val="center"/>
          </w:tcPr>
          <w:p w14:paraId="74A9C89D"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3082280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(0.01350)</w:t>
            </w:r>
          </w:p>
        </w:tc>
        <w:tc>
          <w:tcPr>
            <w:tcW w:w="917" w:type="dxa"/>
            <w:shd w:val="clear" w:color="auto" w:fill="auto"/>
            <w:noWrap/>
            <w:vAlign w:val="center"/>
            <w:hideMark/>
          </w:tcPr>
          <w:p w14:paraId="0C47155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(0.01680)</w:t>
            </w:r>
          </w:p>
        </w:tc>
        <w:tc>
          <w:tcPr>
            <w:tcW w:w="1079" w:type="dxa"/>
            <w:gridSpan w:val="2"/>
            <w:shd w:val="clear" w:color="auto" w:fill="auto"/>
            <w:noWrap/>
            <w:vAlign w:val="center"/>
            <w:hideMark/>
          </w:tcPr>
          <w:p w14:paraId="1E09D72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(0.02940)</w:t>
            </w:r>
          </w:p>
        </w:tc>
        <w:tc>
          <w:tcPr>
            <w:tcW w:w="895" w:type="dxa"/>
            <w:vAlign w:val="center"/>
          </w:tcPr>
          <w:p w14:paraId="7A8F2637"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1356C3" w14:paraId="3989A68E" w14:textId="77777777" w:rsidTr="00F17AF2">
        <w:trPr>
          <w:trHeight w:val="225"/>
        </w:trPr>
        <w:tc>
          <w:tcPr>
            <w:tcW w:w="1985" w:type="dxa"/>
            <w:tcBorders>
              <w:right w:val="single" w:sz="4" w:space="0" w:color="auto"/>
            </w:tcBorders>
            <w:shd w:val="clear" w:color="auto" w:fill="auto"/>
            <w:noWrap/>
            <w:vAlign w:val="center"/>
            <w:hideMark/>
          </w:tcPr>
          <w:p w14:paraId="59503CD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&gt;5</w:t>
            </w:r>
          </w:p>
        </w:tc>
        <w:tc>
          <w:tcPr>
            <w:tcW w:w="992" w:type="dxa"/>
            <w:tcBorders>
              <w:left w:val="single" w:sz="4" w:space="0" w:color="auto"/>
            </w:tcBorders>
            <w:shd w:val="clear" w:color="auto" w:fill="auto"/>
            <w:noWrap/>
            <w:vAlign w:val="bottom"/>
            <w:hideMark/>
          </w:tcPr>
          <w:p w14:paraId="763A694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-0.0134***</w:t>
            </w:r>
          </w:p>
        </w:tc>
        <w:tc>
          <w:tcPr>
            <w:tcW w:w="909" w:type="dxa"/>
            <w:shd w:val="clear" w:color="auto" w:fill="auto"/>
            <w:noWrap/>
            <w:vAlign w:val="bottom"/>
            <w:hideMark/>
          </w:tcPr>
          <w:p w14:paraId="39E5C7F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-0.0168***</w:t>
            </w:r>
          </w:p>
        </w:tc>
        <w:tc>
          <w:tcPr>
            <w:tcW w:w="909" w:type="dxa"/>
            <w:shd w:val="clear" w:color="auto" w:fill="auto"/>
            <w:noWrap/>
            <w:vAlign w:val="bottom"/>
            <w:hideMark/>
          </w:tcPr>
          <w:p w14:paraId="3F34723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0.0302***</w:t>
            </w:r>
          </w:p>
        </w:tc>
        <w:tc>
          <w:tcPr>
            <w:tcW w:w="895" w:type="dxa"/>
            <w:tcBorders>
              <w:right w:val="single" w:sz="4" w:space="0" w:color="auto"/>
            </w:tcBorders>
            <w:vAlign w:val="center"/>
          </w:tcPr>
          <w:p w14:paraId="5A0DB57D"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0.0436</w:t>
            </w:r>
          </w:p>
        </w:tc>
        <w:tc>
          <w:tcPr>
            <w:tcW w:w="992" w:type="dxa"/>
            <w:tcBorders>
              <w:left w:val="single" w:sz="4" w:space="0" w:color="auto"/>
            </w:tcBorders>
            <w:shd w:val="clear" w:color="auto" w:fill="auto"/>
            <w:noWrap/>
            <w:vAlign w:val="center"/>
            <w:hideMark/>
          </w:tcPr>
          <w:p w14:paraId="5AF867A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-0.00905***</w:t>
            </w:r>
          </w:p>
        </w:tc>
        <w:tc>
          <w:tcPr>
            <w:tcW w:w="917" w:type="dxa"/>
            <w:shd w:val="clear" w:color="auto" w:fill="auto"/>
            <w:noWrap/>
            <w:vAlign w:val="center"/>
            <w:hideMark/>
          </w:tcPr>
          <w:p w14:paraId="06AC88E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-0.0193***</w:t>
            </w:r>
          </w:p>
        </w:tc>
        <w:tc>
          <w:tcPr>
            <w:tcW w:w="1079" w:type="dxa"/>
            <w:gridSpan w:val="2"/>
            <w:shd w:val="clear" w:color="auto" w:fill="auto"/>
            <w:noWrap/>
            <w:vAlign w:val="center"/>
            <w:hideMark/>
          </w:tcPr>
          <w:p w14:paraId="240D7BC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0.0283***</w:t>
            </w:r>
          </w:p>
        </w:tc>
        <w:tc>
          <w:tcPr>
            <w:tcW w:w="895" w:type="dxa"/>
            <w:vAlign w:val="center"/>
          </w:tcPr>
          <w:p w14:paraId="345199E5"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0.0373</w:t>
            </w:r>
          </w:p>
        </w:tc>
      </w:tr>
      <w:tr w:rsidR="00B83B39" w:rsidRPr="001356C3" w14:paraId="35A8F453" w14:textId="77777777" w:rsidTr="00F17AF2">
        <w:trPr>
          <w:trHeight w:val="225"/>
        </w:trPr>
        <w:tc>
          <w:tcPr>
            <w:tcW w:w="1985" w:type="dxa"/>
            <w:tcBorders>
              <w:right w:val="single" w:sz="4" w:space="0" w:color="auto"/>
            </w:tcBorders>
            <w:shd w:val="clear" w:color="auto" w:fill="auto"/>
            <w:vAlign w:val="bottom"/>
            <w:hideMark/>
          </w:tcPr>
          <w:p w14:paraId="70C7708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2E35985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(0.00298)</w:t>
            </w:r>
          </w:p>
        </w:tc>
        <w:tc>
          <w:tcPr>
            <w:tcW w:w="909" w:type="dxa"/>
            <w:shd w:val="clear" w:color="auto" w:fill="auto"/>
            <w:noWrap/>
            <w:vAlign w:val="bottom"/>
            <w:hideMark/>
          </w:tcPr>
          <w:p w14:paraId="5921B6E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(0.00410)</w:t>
            </w:r>
          </w:p>
        </w:tc>
        <w:tc>
          <w:tcPr>
            <w:tcW w:w="909" w:type="dxa"/>
            <w:shd w:val="clear" w:color="auto" w:fill="auto"/>
            <w:noWrap/>
            <w:vAlign w:val="bottom"/>
            <w:hideMark/>
          </w:tcPr>
          <w:p w14:paraId="7D7223A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(0.00594)</w:t>
            </w:r>
          </w:p>
        </w:tc>
        <w:tc>
          <w:tcPr>
            <w:tcW w:w="895" w:type="dxa"/>
            <w:tcBorders>
              <w:right w:val="single" w:sz="4" w:space="0" w:color="auto"/>
            </w:tcBorders>
            <w:vAlign w:val="center"/>
          </w:tcPr>
          <w:p w14:paraId="1ECE2A1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663264C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(0.00209)</w:t>
            </w:r>
          </w:p>
        </w:tc>
        <w:tc>
          <w:tcPr>
            <w:tcW w:w="917" w:type="dxa"/>
            <w:shd w:val="clear" w:color="auto" w:fill="auto"/>
            <w:noWrap/>
            <w:vAlign w:val="center"/>
            <w:hideMark/>
          </w:tcPr>
          <w:p w14:paraId="3651737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(0.00431)</w:t>
            </w:r>
          </w:p>
        </w:tc>
        <w:tc>
          <w:tcPr>
            <w:tcW w:w="1079" w:type="dxa"/>
            <w:gridSpan w:val="2"/>
            <w:shd w:val="clear" w:color="auto" w:fill="auto"/>
            <w:noWrap/>
            <w:vAlign w:val="center"/>
            <w:hideMark/>
          </w:tcPr>
          <w:p w14:paraId="6DC6C2F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(0.00579)</w:t>
            </w:r>
          </w:p>
        </w:tc>
        <w:tc>
          <w:tcPr>
            <w:tcW w:w="895" w:type="dxa"/>
            <w:vAlign w:val="center"/>
          </w:tcPr>
          <w:p w14:paraId="7D33574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r>
      <w:tr w:rsidR="00B83B39" w:rsidRPr="001356C3" w14:paraId="781A5DC4" w14:textId="77777777" w:rsidTr="00F17AF2">
        <w:trPr>
          <w:trHeight w:val="225"/>
        </w:trPr>
        <w:tc>
          <w:tcPr>
            <w:tcW w:w="1985" w:type="dxa"/>
            <w:tcBorders>
              <w:right w:val="single" w:sz="4" w:space="0" w:color="auto"/>
            </w:tcBorders>
            <w:shd w:val="clear" w:color="auto" w:fill="auto"/>
            <w:vAlign w:val="center"/>
            <w:hideMark/>
          </w:tcPr>
          <w:p w14:paraId="2DB1D56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Sector</w:t>
            </w:r>
          </w:p>
        </w:tc>
        <w:tc>
          <w:tcPr>
            <w:tcW w:w="992" w:type="dxa"/>
            <w:tcBorders>
              <w:left w:val="single" w:sz="4" w:space="0" w:color="auto"/>
            </w:tcBorders>
            <w:shd w:val="clear" w:color="auto" w:fill="auto"/>
            <w:noWrap/>
            <w:vAlign w:val="bottom"/>
            <w:hideMark/>
          </w:tcPr>
          <w:p w14:paraId="1A55255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4F87432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13288F0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tcBorders>
              <w:right w:val="single" w:sz="4" w:space="0" w:color="auto"/>
            </w:tcBorders>
            <w:vAlign w:val="center"/>
          </w:tcPr>
          <w:p w14:paraId="1604DC0A"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537A17D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0DF1736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02E4867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vAlign w:val="center"/>
          </w:tcPr>
          <w:p w14:paraId="1407537B"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1356C3" w14:paraId="4B80DE13" w14:textId="77777777" w:rsidTr="00F17AF2">
        <w:trPr>
          <w:trHeight w:val="225"/>
        </w:trPr>
        <w:tc>
          <w:tcPr>
            <w:tcW w:w="1985" w:type="dxa"/>
            <w:tcBorders>
              <w:right w:val="single" w:sz="4" w:space="0" w:color="auto"/>
            </w:tcBorders>
            <w:shd w:val="clear" w:color="auto" w:fill="auto"/>
            <w:noWrap/>
            <w:vAlign w:val="center"/>
            <w:hideMark/>
          </w:tcPr>
          <w:p w14:paraId="268C0F0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Urban</w:t>
            </w:r>
          </w:p>
        </w:tc>
        <w:tc>
          <w:tcPr>
            <w:tcW w:w="992" w:type="dxa"/>
            <w:tcBorders>
              <w:left w:val="single" w:sz="4" w:space="0" w:color="auto"/>
            </w:tcBorders>
            <w:shd w:val="clear" w:color="auto" w:fill="auto"/>
            <w:noWrap/>
            <w:vAlign w:val="bottom"/>
            <w:hideMark/>
          </w:tcPr>
          <w:p w14:paraId="66287B4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-0.0142***</w:t>
            </w:r>
          </w:p>
        </w:tc>
        <w:tc>
          <w:tcPr>
            <w:tcW w:w="909" w:type="dxa"/>
            <w:shd w:val="clear" w:color="auto" w:fill="auto"/>
            <w:noWrap/>
            <w:vAlign w:val="bottom"/>
            <w:hideMark/>
          </w:tcPr>
          <w:p w14:paraId="3A0ED59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-0.0183***</w:t>
            </w:r>
          </w:p>
        </w:tc>
        <w:tc>
          <w:tcPr>
            <w:tcW w:w="909" w:type="dxa"/>
            <w:shd w:val="clear" w:color="auto" w:fill="auto"/>
            <w:noWrap/>
            <w:vAlign w:val="bottom"/>
            <w:hideMark/>
          </w:tcPr>
          <w:p w14:paraId="662510E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0.0326***</w:t>
            </w:r>
          </w:p>
        </w:tc>
        <w:tc>
          <w:tcPr>
            <w:tcW w:w="895" w:type="dxa"/>
            <w:tcBorders>
              <w:right w:val="single" w:sz="4" w:space="0" w:color="auto"/>
            </w:tcBorders>
            <w:vAlign w:val="center"/>
          </w:tcPr>
          <w:p w14:paraId="3705F184"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0.0469</w:t>
            </w:r>
          </w:p>
        </w:tc>
        <w:tc>
          <w:tcPr>
            <w:tcW w:w="992" w:type="dxa"/>
            <w:tcBorders>
              <w:left w:val="single" w:sz="4" w:space="0" w:color="auto"/>
            </w:tcBorders>
            <w:shd w:val="clear" w:color="auto" w:fill="auto"/>
            <w:noWrap/>
            <w:vAlign w:val="center"/>
            <w:hideMark/>
          </w:tcPr>
          <w:p w14:paraId="7A0F240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-0.0181***</w:t>
            </w:r>
          </w:p>
        </w:tc>
        <w:tc>
          <w:tcPr>
            <w:tcW w:w="917" w:type="dxa"/>
            <w:shd w:val="clear" w:color="auto" w:fill="auto"/>
            <w:noWrap/>
            <w:vAlign w:val="center"/>
            <w:hideMark/>
          </w:tcPr>
          <w:p w14:paraId="31E5060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-0.0400***</w:t>
            </w:r>
          </w:p>
        </w:tc>
        <w:tc>
          <w:tcPr>
            <w:tcW w:w="1079" w:type="dxa"/>
            <w:gridSpan w:val="2"/>
            <w:shd w:val="clear" w:color="auto" w:fill="auto"/>
            <w:noWrap/>
            <w:vAlign w:val="center"/>
            <w:hideMark/>
          </w:tcPr>
          <w:p w14:paraId="3A25992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0.0581***</w:t>
            </w:r>
          </w:p>
        </w:tc>
        <w:tc>
          <w:tcPr>
            <w:tcW w:w="895" w:type="dxa"/>
            <w:vAlign w:val="center"/>
          </w:tcPr>
          <w:p w14:paraId="4F71601B"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0.0762</w:t>
            </w:r>
          </w:p>
        </w:tc>
      </w:tr>
      <w:tr w:rsidR="00B83B39" w:rsidRPr="001356C3" w14:paraId="000445EE" w14:textId="77777777" w:rsidTr="00F17AF2">
        <w:trPr>
          <w:trHeight w:val="225"/>
        </w:trPr>
        <w:tc>
          <w:tcPr>
            <w:tcW w:w="1985" w:type="dxa"/>
            <w:tcBorders>
              <w:right w:val="single" w:sz="4" w:space="0" w:color="auto"/>
            </w:tcBorders>
            <w:shd w:val="clear" w:color="auto" w:fill="auto"/>
            <w:vAlign w:val="bottom"/>
            <w:hideMark/>
          </w:tcPr>
          <w:p w14:paraId="29D458D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5260229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(0.00333)</w:t>
            </w:r>
          </w:p>
        </w:tc>
        <w:tc>
          <w:tcPr>
            <w:tcW w:w="909" w:type="dxa"/>
            <w:shd w:val="clear" w:color="auto" w:fill="auto"/>
            <w:noWrap/>
            <w:vAlign w:val="bottom"/>
            <w:hideMark/>
          </w:tcPr>
          <w:p w14:paraId="4D1AE9F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(0.00471)</w:t>
            </w:r>
          </w:p>
        </w:tc>
        <w:tc>
          <w:tcPr>
            <w:tcW w:w="909" w:type="dxa"/>
            <w:shd w:val="clear" w:color="auto" w:fill="auto"/>
            <w:noWrap/>
            <w:vAlign w:val="bottom"/>
            <w:hideMark/>
          </w:tcPr>
          <w:p w14:paraId="1C8DB78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(0.00689)</w:t>
            </w:r>
          </w:p>
        </w:tc>
        <w:tc>
          <w:tcPr>
            <w:tcW w:w="895" w:type="dxa"/>
            <w:tcBorders>
              <w:right w:val="single" w:sz="4" w:space="0" w:color="auto"/>
            </w:tcBorders>
            <w:vAlign w:val="center"/>
          </w:tcPr>
          <w:p w14:paraId="03C60B30"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bottom"/>
            <w:hideMark/>
          </w:tcPr>
          <w:p w14:paraId="5FA7E7C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(0.00479)</w:t>
            </w:r>
          </w:p>
        </w:tc>
        <w:tc>
          <w:tcPr>
            <w:tcW w:w="917" w:type="dxa"/>
            <w:shd w:val="clear" w:color="auto" w:fill="auto"/>
            <w:noWrap/>
            <w:vAlign w:val="bottom"/>
            <w:hideMark/>
          </w:tcPr>
          <w:p w14:paraId="4774D2F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(0.00650)</w:t>
            </w:r>
          </w:p>
        </w:tc>
        <w:tc>
          <w:tcPr>
            <w:tcW w:w="1079" w:type="dxa"/>
            <w:gridSpan w:val="2"/>
            <w:shd w:val="clear" w:color="auto" w:fill="auto"/>
            <w:noWrap/>
            <w:vAlign w:val="bottom"/>
            <w:hideMark/>
          </w:tcPr>
          <w:p w14:paraId="67CDC3E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(0.00644)</w:t>
            </w:r>
          </w:p>
        </w:tc>
        <w:tc>
          <w:tcPr>
            <w:tcW w:w="895" w:type="dxa"/>
            <w:vAlign w:val="center"/>
          </w:tcPr>
          <w:p w14:paraId="5BE1C9B7"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1356C3" w14:paraId="0077F3CE" w14:textId="77777777" w:rsidTr="00F17AF2">
        <w:trPr>
          <w:trHeight w:val="225"/>
        </w:trPr>
        <w:tc>
          <w:tcPr>
            <w:tcW w:w="1985" w:type="dxa"/>
            <w:tcBorders>
              <w:right w:val="single" w:sz="4" w:space="0" w:color="auto"/>
            </w:tcBorders>
            <w:shd w:val="clear" w:color="auto" w:fill="auto"/>
            <w:noWrap/>
            <w:vAlign w:val="center"/>
            <w:hideMark/>
          </w:tcPr>
          <w:p w14:paraId="3EFB63C6"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1356C3">
              <w:rPr>
                <w:rFonts w:ascii="Arial Narrow" w:eastAsia="Times New Roman" w:hAnsi="Arial Narrow" w:cs="Arial"/>
                <w:b/>
                <w:sz w:val="16"/>
                <w:szCs w:val="16"/>
              </w:rPr>
              <w:t>Education</w:t>
            </w:r>
          </w:p>
        </w:tc>
        <w:tc>
          <w:tcPr>
            <w:tcW w:w="992" w:type="dxa"/>
            <w:tcBorders>
              <w:left w:val="single" w:sz="4" w:space="0" w:color="auto"/>
            </w:tcBorders>
            <w:shd w:val="clear" w:color="auto" w:fill="auto"/>
            <w:noWrap/>
            <w:vAlign w:val="bottom"/>
            <w:hideMark/>
          </w:tcPr>
          <w:p w14:paraId="4D2F7221"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bottom"/>
            <w:hideMark/>
          </w:tcPr>
          <w:p w14:paraId="303A4377"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bottom"/>
            <w:hideMark/>
          </w:tcPr>
          <w:p w14:paraId="463B0026"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895" w:type="dxa"/>
            <w:tcBorders>
              <w:right w:val="single" w:sz="4" w:space="0" w:color="auto"/>
            </w:tcBorders>
            <w:vAlign w:val="center"/>
          </w:tcPr>
          <w:p w14:paraId="60819C6D" w14:textId="77777777" w:rsidR="00B83B39" w:rsidRPr="001356C3" w:rsidRDefault="00B83B39" w:rsidP="00B83B39">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675AEDA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265BA9EF"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25930B3F"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895" w:type="dxa"/>
            <w:vAlign w:val="center"/>
          </w:tcPr>
          <w:p w14:paraId="15232610" w14:textId="77777777" w:rsidR="00B83B39" w:rsidRPr="001356C3" w:rsidRDefault="00B83B39" w:rsidP="00B83B39">
            <w:pPr>
              <w:adjustRightInd w:val="0"/>
              <w:snapToGrid w:val="0"/>
              <w:spacing w:after="0" w:line="240" w:lineRule="auto"/>
              <w:rPr>
                <w:rFonts w:ascii="Arial Narrow" w:hAnsi="Arial Narrow" w:cs="Arial"/>
                <w:sz w:val="16"/>
                <w:szCs w:val="16"/>
              </w:rPr>
            </w:pPr>
          </w:p>
        </w:tc>
      </w:tr>
      <w:tr w:rsidR="00B83B39" w:rsidRPr="001356C3" w14:paraId="487E8475" w14:textId="77777777" w:rsidTr="00F17AF2">
        <w:trPr>
          <w:trHeight w:val="225"/>
        </w:trPr>
        <w:tc>
          <w:tcPr>
            <w:tcW w:w="1985" w:type="dxa"/>
            <w:tcBorders>
              <w:right w:val="single" w:sz="4" w:space="0" w:color="auto"/>
            </w:tcBorders>
            <w:shd w:val="clear" w:color="auto" w:fill="auto"/>
            <w:vAlign w:val="center"/>
            <w:hideMark/>
          </w:tcPr>
          <w:p w14:paraId="14D0DDF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1-4</w:t>
            </w:r>
          </w:p>
        </w:tc>
        <w:tc>
          <w:tcPr>
            <w:tcW w:w="992" w:type="dxa"/>
            <w:tcBorders>
              <w:left w:val="single" w:sz="4" w:space="0" w:color="auto"/>
            </w:tcBorders>
            <w:shd w:val="clear" w:color="auto" w:fill="auto"/>
            <w:noWrap/>
            <w:vAlign w:val="bottom"/>
            <w:hideMark/>
          </w:tcPr>
          <w:p w14:paraId="2BDFDBB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-0.0155***</w:t>
            </w:r>
          </w:p>
        </w:tc>
        <w:tc>
          <w:tcPr>
            <w:tcW w:w="909" w:type="dxa"/>
            <w:shd w:val="clear" w:color="auto" w:fill="auto"/>
            <w:noWrap/>
            <w:vAlign w:val="bottom"/>
            <w:hideMark/>
          </w:tcPr>
          <w:p w14:paraId="45FCED6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-0.0152***</w:t>
            </w:r>
          </w:p>
        </w:tc>
        <w:tc>
          <w:tcPr>
            <w:tcW w:w="909" w:type="dxa"/>
            <w:shd w:val="clear" w:color="auto" w:fill="auto"/>
            <w:noWrap/>
            <w:vAlign w:val="bottom"/>
            <w:hideMark/>
          </w:tcPr>
          <w:p w14:paraId="132CA2E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0.0307***</w:t>
            </w:r>
          </w:p>
        </w:tc>
        <w:tc>
          <w:tcPr>
            <w:tcW w:w="895" w:type="dxa"/>
            <w:tcBorders>
              <w:right w:val="single" w:sz="4" w:space="0" w:color="auto"/>
            </w:tcBorders>
            <w:vAlign w:val="center"/>
          </w:tcPr>
          <w:p w14:paraId="3271901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0.0462</w:t>
            </w:r>
          </w:p>
        </w:tc>
        <w:tc>
          <w:tcPr>
            <w:tcW w:w="992" w:type="dxa"/>
            <w:tcBorders>
              <w:left w:val="single" w:sz="4" w:space="0" w:color="auto"/>
            </w:tcBorders>
            <w:shd w:val="clear" w:color="auto" w:fill="auto"/>
            <w:noWrap/>
            <w:vAlign w:val="center"/>
            <w:hideMark/>
          </w:tcPr>
          <w:p w14:paraId="49B0BF7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0.0123***</w:t>
            </w:r>
          </w:p>
        </w:tc>
        <w:tc>
          <w:tcPr>
            <w:tcW w:w="917" w:type="dxa"/>
            <w:shd w:val="clear" w:color="auto" w:fill="auto"/>
            <w:noWrap/>
            <w:vAlign w:val="center"/>
            <w:hideMark/>
          </w:tcPr>
          <w:p w14:paraId="1CADB8D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0.0181***</w:t>
            </w:r>
          </w:p>
        </w:tc>
        <w:tc>
          <w:tcPr>
            <w:tcW w:w="1079" w:type="dxa"/>
            <w:gridSpan w:val="2"/>
            <w:shd w:val="clear" w:color="auto" w:fill="auto"/>
            <w:noWrap/>
            <w:vAlign w:val="center"/>
            <w:hideMark/>
          </w:tcPr>
          <w:p w14:paraId="4F98883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-0.0304***</w:t>
            </w:r>
          </w:p>
        </w:tc>
        <w:tc>
          <w:tcPr>
            <w:tcW w:w="895" w:type="dxa"/>
            <w:vAlign w:val="center"/>
          </w:tcPr>
          <w:p w14:paraId="29AF633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-0.0427</w:t>
            </w:r>
          </w:p>
        </w:tc>
      </w:tr>
      <w:tr w:rsidR="00B83B39" w:rsidRPr="001356C3" w14:paraId="174CE0D1" w14:textId="77777777" w:rsidTr="00F17AF2">
        <w:trPr>
          <w:trHeight w:val="225"/>
        </w:trPr>
        <w:tc>
          <w:tcPr>
            <w:tcW w:w="1985" w:type="dxa"/>
            <w:tcBorders>
              <w:right w:val="single" w:sz="4" w:space="0" w:color="auto"/>
            </w:tcBorders>
            <w:shd w:val="clear" w:color="auto" w:fill="auto"/>
            <w:vAlign w:val="bottom"/>
            <w:hideMark/>
          </w:tcPr>
          <w:p w14:paraId="38AC54E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4642A21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(0.00447)</w:t>
            </w:r>
          </w:p>
        </w:tc>
        <w:tc>
          <w:tcPr>
            <w:tcW w:w="909" w:type="dxa"/>
            <w:shd w:val="clear" w:color="auto" w:fill="auto"/>
            <w:noWrap/>
            <w:vAlign w:val="bottom"/>
            <w:hideMark/>
          </w:tcPr>
          <w:p w14:paraId="0551740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(0.00528)</w:t>
            </w:r>
          </w:p>
        </w:tc>
        <w:tc>
          <w:tcPr>
            <w:tcW w:w="909" w:type="dxa"/>
            <w:shd w:val="clear" w:color="auto" w:fill="auto"/>
            <w:noWrap/>
            <w:vAlign w:val="bottom"/>
            <w:hideMark/>
          </w:tcPr>
          <w:p w14:paraId="20DDB77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(0.00867)</w:t>
            </w:r>
          </w:p>
        </w:tc>
        <w:tc>
          <w:tcPr>
            <w:tcW w:w="895" w:type="dxa"/>
            <w:tcBorders>
              <w:right w:val="single" w:sz="4" w:space="0" w:color="auto"/>
            </w:tcBorders>
            <w:vAlign w:val="center"/>
          </w:tcPr>
          <w:p w14:paraId="74D43887"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0C898D4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(0.00366)</w:t>
            </w:r>
          </w:p>
        </w:tc>
        <w:tc>
          <w:tcPr>
            <w:tcW w:w="917" w:type="dxa"/>
            <w:shd w:val="clear" w:color="auto" w:fill="auto"/>
            <w:noWrap/>
            <w:vAlign w:val="center"/>
            <w:hideMark/>
          </w:tcPr>
          <w:p w14:paraId="13FCB3F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(0.00513)</w:t>
            </w:r>
          </w:p>
        </w:tc>
        <w:tc>
          <w:tcPr>
            <w:tcW w:w="1079" w:type="dxa"/>
            <w:gridSpan w:val="2"/>
            <w:shd w:val="clear" w:color="auto" w:fill="auto"/>
            <w:noWrap/>
            <w:vAlign w:val="center"/>
            <w:hideMark/>
          </w:tcPr>
          <w:p w14:paraId="609174F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(0.00804)</w:t>
            </w:r>
          </w:p>
        </w:tc>
        <w:tc>
          <w:tcPr>
            <w:tcW w:w="895" w:type="dxa"/>
            <w:vAlign w:val="center"/>
          </w:tcPr>
          <w:p w14:paraId="4740AD80"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1356C3" w14:paraId="53B7A137" w14:textId="77777777" w:rsidTr="00F17AF2">
        <w:trPr>
          <w:trHeight w:val="225"/>
        </w:trPr>
        <w:tc>
          <w:tcPr>
            <w:tcW w:w="1985" w:type="dxa"/>
            <w:tcBorders>
              <w:right w:val="single" w:sz="4" w:space="0" w:color="auto"/>
            </w:tcBorders>
            <w:shd w:val="clear" w:color="auto" w:fill="auto"/>
            <w:noWrap/>
            <w:vAlign w:val="center"/>
            <w:hideMark/>
          </w:tcPr>
          <w:p w14:paraId="7B59792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5-8</w:t>
            </w:r>
          </w:p>
        </w:tc>
        <w:tc>
          <w:tcPr>
            <w:tcW w:w="992" w:type="dxa"/>
            <w:tcBorders>
              <w:left w:val="single" w:sz="4" w:space="0" w:color="auto"/>
            </w:tcBorders>
            <w:shd w:val="clear" w:color="auto" w:fill="auto"/>
            <w:noWrap/>
            <w:vAlign w:val="bottom"/>
            <w:hideMark/>
          </w:tcPr>
          <w:p w14:paraId="328ACFF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-0.0288***</w:t>
            </w:r>
          </w:p>
        </w:tc>
        <w:tc>
          <w:tcPr>
            <w:tcW w:w="909" w:type="dxa"/>
            <w:shd w:val="clear" w:color="auto" w:fill="auto"/>
            <w:noWrap/>
            <w:vAlign w:val="bottom"/>
            <w:hideMark/>
          </w:tcPr>
          <w:p w14:paraId="1258690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-0.0320***</w:t>
            </w:r>
          </w:p>
        </w:tc>
        <w:tc>
          <w:tcPr>
            <w:tcW w:w="909" w:type="dxa"/>
            <w:shd w:val="clear" w:color="auto" w:fill="auto"/>
            <w:noWrap/>
            <w:vAlign w:val="bottom"/>
            <w:hideMark/>
          </w:tcPr>
          <w:p w14:paraId="64C223E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0.0608***</w:t>
            </w:r>
          </w:p>
        </w:tc>
        <w:tc>
          <w:tcPr>
            <w:tcW w:w="895" w:type="dxa"/>
            <w:tcBorders>
              <w:right w:val="single" w:sz="4" w:space="0" w:color="auto"/>
            </w:tcBorders>
            <w:vAlign w:val="center"/>
          </w:tcPr>
          <w:p w14:paraId="06E775FD"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0.0896</w:t>
            </w:r>
          </w:p>
        </w:tc>
        <w:tc>
          <w:tcPr>
            <w:tcW w:w="992" w:type="dxa"/>
            <w:tcBorders>
              <w:left w:val="single" w:sz="4" w:space="0" w:color="auto"/>
            </w:tcBorders>
            <w:shd w:val="clear" w:color="auto" w:fill="auto"/>
            <w:noWrap/>
            <w:vAlign w:val="center"/>
            <w:hideMark/>
          </w:tcPr>
          <w:p w14:paraId="78A6191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-0.0146***</w:t>
            </w:r>
          </w:p>
        </w:tc>
        <w:tc>
          <w:tcPr>
            <w:tcW w:w="917" w:type="dxa"/>
            <w:shd w:val="clear" w:color="auto" w:fill="auto"/>
            <w:noWrap/>
            <w:vAlign w:val="center"/>
            <w:hideMark/>
          </w:tcPr>
          <w:p w14:paraId="171C76D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-0.0275***</w:t>
            </w:r>
          </w:p>
        </w:tc>
        <w:tc>
          <w:tcPr>
            <w:tcW w:w="1079" w:type="dxa"/>
            <w:gridSpan w:val="2"/>
            <w:shd w:val="clear" w:color="auto" w:fill="auto"/>
            <w:noWrap/>
            <w:vAlign w:val="center"/>
            <w:hideMark/>
          </w:tcPr>
          <w:p w14:paraId="3A07217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0.0420***</w:t>
            </w:r>
          </w:p>
        </w:tc>
        <w:tc>
          <w:tcPr>
            <w:tcW w:w="895" w:type="dxa"/>
            <w:vAlign w:val="center"/>
          </w:tcPr>
          <w:p w14:paraId="3E9ACD02"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0.0565</w:t>
            </w:r>
          </w:p>
        </w:tc>
      </w:tr>
      <w:tr w:rsidR="00B83B39" w:rsidRPr="00D13BC1" w14:paraId="391586C1" w14:textId="77777777" w:rsidTr="00F17AF2">
        <w:trPr>
          <w:trHeight w:val="225"/>
        </w:trPr>
        <w:tc>
          <w:tcPr>
            <w:tcW w:w="1985" w:type="dxa"/>
            <w:tcBorders>
              <w:right w:val="single" w:sz="4" w:space="0" w:color="auto"/>
            </w:tcBorders>
            <w:shd w:val="clear" w:color="auto" w:fill="auto"/>
            <w:vAlign w:val="bottom"/>
            <w:hideMark/>
          </w:tcPr>
          <w:p w14:paraId="46B08C8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7E0AFC5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(0.00448)</w:t>
            </w:r>
          </w:p>
        </w:tc>
        <w:tc>
          <w:tcPr>
            <w:tcW w:w="909" w:type="dxa"/>
            <w:shd w:val="clear" w:color="auto" w:fill="auto"/>
            <w:noWrap/>
            <w:vAlign w:val="bottom"/>
            <w:hideMark/>
          </w:tcPr>
          <w:p w14:paraId="067E85E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(0.00677)</w:t>
            </w:r>
          </w:p>
        </w:tc>
        <w:tc>
          <w:tcPr>
            <w:tcW w:w="909" w:type="dxa"/>
            <w:shd w:val="clear" w:color="auto" w:fill="auto"/>
            <w:noWrap/>
            <w:vAlign w:val="bottom"/>
            <w:hideMark/>
          </w:tcPr>
          <w:p w14:paraId="3EE36D5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(0.00755)</w:t>
            </w:r>
          </w:p>
        </w:tc>
        <w:tc>
          <w:tcPr>
            <w:tcW w:w="895" w:type="dxa"/>
            <w:tcBorders>
              <w:right w:val="single" w:sz="4" w:space="0" w:color="auto"/>
            </w:tcBorders>
            <w:vAlign w:val="center"/>
          </w:tcPr>
          <w:p w14:paraId="35E6A9E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center"/>
            <w:hideMark/>
          </w:tcPr>
          <w:p w14:paraId="6D11C49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(0.00276)</w:t>
            </w:r>
          </w:p>
        </w:tc>
        <w:tc>
          <w:tcPr>
            <w:tcW w:w="917" w:type="dxa"/>
            <w:shd w:val="clear" w:color="auto" w:fill="auto"/>
            <w:noWrap/>
            <w:vAlign w:val="center"/>
            <w:hideMark/>
          </w:tcPr>
          <w:p w14:paraId="5DAF800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(0.00546)</w:t>
            </w:r>
          </w:p>
        </w:tc>
        <w:tc>
          <w:tcPr>
            <w:tcW w:w="1079" w:type="dxa"/>
            <w:gridSpan w:val="2"/>
            <w:shd w:val="clear" w:color="auto" w:fill="auto"/>
            <w:noWrap/>
            <w:vAlign w:val="center"/>
            <w:hideMark/>
          </w:tcPr>
          <w:p w14:paraId="30CEE4E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(0.00704)</w:t>
            </w:r>
          </w:p>
        </w:tc>
        <w:tc>
          <w:tcPr>
            <w:tcW w:w="895" w:type="dxa"/>
            <w:vAlign w:val="center"/>
          </w:tcPr>
          <w:p w14:paraId="0C306EC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r>
      <w:tr w:rsidR="00B83B39" w:rsidRPr="00D13BC1" w14:paraId="346D238E" w14:textId="77777777" w:rsidTr="00F17AF2">
        <w:trPr>
          <w:trHeight w:val="225"/>
        </w:trPr>
        <w:tc>
          <w:tcPr>
            <w:tcW w:w="1985" w:type="dxa"/>
            <w:tcBorders>
              <w:right w:val="single" w:sz="4" w:space="0" w:color="auto"/>
            </w:tcBorders>
            <w:shd w:val="clear" w:color="auto" w:fill="auto"/>
            <w:vAlign w:val="center"/>
            <w:hideMark/>
          </w:tcPr>
          <w:p w14:paraId="09DF6D2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9-10</w:t>
            </w:r>
          </w:p>
        </w:tc>
        <w:tc>
          <w:tcPr>
            <w:tcW w:w="992" w:type="dxa"/>
            <w:tcBorders>
              <w:left w:val="single" w:sz="4" w:space="0" w:color="auto"/>
            </w:tcBorders>
            <w:shd w:val="clear" w:color="auto" w:fill="auto"/>
            <w:noWrap/>
            <w:vAlign w:val="bottom"/>
            <w:hideMark/>
          </w:tcPr>
          <w:p w14:paraId="5B6A951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-0.0440***</w:t>
            </w:r>
          </w:p>
        </w:tc>
        <w:tc>
          <w:tcPr>
            <w:tcW w:w="909" w:type="dxa"/>
            <w:shd w:val="clear" w:color="auto" w:fill="auto"/>
            <w:noWrap/>
            <w:vAlign w:val="bottom"/>
            <w:hideMark/>
          </w:tcPr>
          <w:p w14:paraId="22E6176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-0.0564***</w:t>
            </w:r>
          </w:p>
        </w:tc>
        <w:tc>
          <w:tcPr>
            <w:tcW w:w="909" w:type="dxa"/>
            <w:shd w:val="clear" w:color="auto" w:fill="auto"/>
            <w:noWrap/>
            <w:vAlign w:val="bottom"/>
            <w:hideMark/>
          </w:tcPr>
          <w:p w14:paraId="701C9CE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0.100***</w:t>
            </w:r>
          </w:p>
        </w:tc>
        <w:tc>
          <w:tcPr>
            <w:tcW w:w="895" w:type="dxa"/>
            <w:tcBorders>
              <w:right w:val="single" w:sz="4" w:space="0" w:color="auto"/>
            </w:tcBorders>
            <w:vAlign w:val="center"/>
          </w:tcPr>
          <w:p w14:paraId="14BC9653"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0.1436</w:t>
            </w:r>
          </w:p>
        </w:tc>
        <w:tc>
          <w:tcPr>
            <w:tcW w:w="992" w:type="dxa"/>
            <w:tcBorders>
              <w:left w:val="single" w:sz="4" w:space="0" w:color="auto"/>
            </w:tcBorders>
            <w:shd w:val="clear" w:color="auto" w:fill="auto"/>
            <w:noWrap/>
            <w:vAlign w:val="center"/>
            <w:hideMark/>
          </w:tcPr>
          <w:p w14:paraId="21DFB56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-0.0211***</w:t>
            </w:r>
          </w:p>
        </w:tc>
        <w:tc>
          <w:tcPr>
            <w:tcW w:w="917" w:type="dxa"/>
            <w:shd w:val="clear" w:color="auto" w:fill="auto"/>
            <w:noWrap/>
            <w:vAlign w:val="center"/>
            <w:hideMark/>
          </w:tcPr>
          <w:p w14:paraId="1E3F4D0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-0.0425***</w:t>
            </w:r>
          </w:p>
        </w:tc>
        <w:tc>
          <w:tcPr>
            <w:tcW w:w="1079" w:type="dxa"/>
            <w:gridSpan w:val="2"/>
            <w:shd w:val="clear" w:color="auto" w:fill="auto"/>
            <w:noWrap/>
            <w:vAlign w:val="center"/>
            <w:hideMark/>
          </w:tcPr>
          <w:p w14:paraId="7D7A846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0.0636***</w:t>
            </w:r>
          </w:p>
        </w:tc>
        <w:tc>
          <w:tcPr>
            <w:tcW w:w="895" w:type="dxa"/>
            <w:vAlign w:val="center"/>
          </w:tcPr>
          <w:p w14:paraId="6036E146"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0.0847</w:t>
            </w:r>
          </w:p>
        </w:tc>
      </w:tr>
      <w:tr w:rsidR="00B83B39" w:rsidRPr="00D13BC1" w14:paraId="073FCFE5" w14:textId="77777777" w:rsidTr="00F17AF2">
        <w:trPr>
          <w:trHeight w:val="225"/>
        </w:trPr>
        <w:tc>
          <w:tcPr>
            <w:tcW w:w="1985" w:type="dxa"/>
            <w:tcBorders>
              <w:right w:val="single" w:sz="4" w:space="0" w:color="auto"/>
            </w:tcBorders>
            <w:shd w:val="clear" w:color="auto" w:fill="auto"/>
            <w:noWrap/>
            <w:vAlign w:val="bottom"/>
            <w:hideMark/>
          </w:tcPr>
          <w:p w14:paraId="59F9D25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6007C9B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(0.00614)</w:t>
            </w:r>
          </w:p>
        </w:tc>
        <w:tc>
          <w:tcPr>
            <w:tcW w:w="909" w:type="dxa"/>
            <w:shd w:val="clear" w:color="auto" w:fill="auto"/>
            <w:noWrap/>
            <w:vAlign w:val="bottom"/>
            <w:hideMark/>
          </w:tcPr>
          <w:p w14:paraId="25D3725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(0.00977)</w:t>
            </w:r>
          </w:p>
        </w:tc>
        <w:tc>
          <w:tcPr>
            <w:tcW w:w="909" w:type="dxa"/>
            <w:shd w:val="clear" w:color="auto" w:fill="auto"/>
            <w:noWrap/>
            <w:vAlign w:val="bottom"/>
            <w:hideMark/>
          </w:tcPr>
          <w:p w14:paraId="3BD53D4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(0.00929)</w:t>
            </w:r>
          </w:p>
        </w:tc>
        <w:tc>
          <w:tcPr>
            <w:tcW w:w="895" w:type="dxa"/>
            <w:tcBorders>
              <w:right w:val="single" w:sz="4" w:space="0" w:color="auto"/>
            </w:tcBorders>
            <w:vAlign w:val="center"/>
          </w:tcPr>
          <w:p w14:paraId="7E9DB5CB"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0354327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(0.00347)</w:t>
            </w:r>
          </w:p>
        </w:tc>
        <w:tc>
          <w:tcPr>
            <w:tcW w:w="917" w:type="dxa"/>
            <w:shd w:val="clear" w:color="auto" w:fill="auto"/>
            <w:noWrap/>
            <w:vAlign w:val="center"/>
            <w:hideMark/>
          </w:tcPr>
          <w:p w14:paraId="5021EE7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(0.00696)</w:t>
            </w:r>
          </w:p>
        </w:tc>
        <w:tc>
          <w:tcPr>
            <w:tcW w:w="1079" w:type="dxa"/>
            <w:gridSpan w:val="2"/>
            <w:shd w:val="clear" w:color="auto" w:fill="auto"/>
            <w:noWrap/>
            <w:vAlign w:val="center"/>
            <w:hideMark/>
          </w:tcPr>
          <w:p w14:paraId="40C5BA7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(0.00841)</w:t>
            </w:r>
          </w:p>
        </w:tc>
        <w:tc>
          <w:tcPr>
            <w:tcW w:w="895" w:type="dxa"/>
            <w:vAlign w:val="center"/>
          </w:tcPr>
          <w:p w14:paraId="7C8EA43E"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7CD52862" w14:textId="77777777" w:rsidTr="00F17AF2">
        <w:trPr>
          <w:trHeight w:val="225"/>
        </w:trPr>
        <w:tc>
          <w:tcPr>
            <w:tcW w:w="1985" w:type="dxa"/>
            <w:tcBorders>
              <w:right w:val="single" w:sz="4" w:space="0" w:color="auto"/>
            </w:tcBorders>
            <w:shd w:val="clear" w:color="auto" w:fill="auto"/>
            <w:vAlign w:val="center"/>
            <w:hideMark/>
          </w:tcPr>
          <w:p w14:paraId="361730E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&gt;10</w:t>
            </w:r>
          </w:p>
        </w:tc>
        <w:tc>
          <w:tcPr>
            <w:tcW w:w="992" w:type="dxa"/>
            <w:tcBorders>
              <w:left w:val="single" w:sz="4" w:space="0" w:color="auto"/>
            </w:tcBorders>
            <w:shd w:val="clear" w:color="auto" w:fill="auto"/>
            <w:noWrap/>
            <w:vAlign w:val="bottom"/>
            <w:hideMark/>
          </w:tcPr>
          <w:p w14:paraId="32BCB86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-0.0439***</w:t>
            </w:r>
          </w:p>
        </w:tc>
        <w:tc>
          <w:tcPr>
            <w:tcW w:w="909" w:type="dxa"/>
            <w:shd w:val="clear" w:color="auto" w:fill="auto"/>
            <w:noWrap/>
            <w:vAlign w:val="bottom"/>
            <w:hideMark/>
          </w:tcPr>
          <w:p w14:paraId="0CFC46F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-0.0563***</w:t>
            </w:r>
          </w:p>
        </w:tc>
        <w:tc>
          <w:tcPr>
            <w:tcW w:w="909" w:type="dxa"/>
            <w:shd w:val="clear" w:color="auto" w:fill="auto"/>
            <w:noWrap/>
            <w:vAlign w:val="bottom"/>
            <w:hideMark/>
          </w:tcPr>
          <w:p w14:paraId="453BB7B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0.100***</w:t>
            </w:r>
          </w:p>
        </w:tc>
        <w:tc>
          <w:tcPr>
            <w:tcW w:w="895" w:type="dxa"/>
            <w:tcBorders>
              <w:right w:val="single" w:sz="4" w:space="0" w:color="auto"/>
            </w:tcBorders>
            <w:vAlign w:val="center"/>
          </w:tcPr>
          <w:p w14:paraId="1F02D719"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0.1437</w:t>
            </w:r>
          </w:p>
        </w:tc>
        <w:tc>
          <w:tcPr>
            <w:tcW w:w="992" w:type="dxa"/>
            <w:tcBorders>
              <w:left w:val="single" w:sz="4" w:space="0" w:color="auto"/>
            </w:tcBorders>
            <w:shd w:val="clear" w:color="auto" w:fill="auto"/>
            <w:noWrap/>
            <w:vAlign w:val="center"/>
            <w:hideMark/>
          </w:tcPr>
          <w:p w14:paraId="4B028CB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-0.0447***</w:t>
            </w:r>
          </w:p>
        </w:tc>
        <w:tc>
          <w:tcPr>
            <w:tcW w:w="917" w:type="dxa"/>
            <w:shd w:val="clear" w:color="auto" w:fill="auto"/>
            <w:noWrap/>
            <w:vAlign w:val="center"/>
            <w:hideMark/>
          </w:tcPr>
          <w:p w14:paraId="3BDDDA0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-0.116***</w:t>
            </w:r>
          </w:p>
        </w:tc>
        <w:tc>
          <w:tcPr>
            <w:tcW w:w="1079" w:type="dxa"/>
            <w:gridSpan w:val="2"/>
            <w:shd w:val="clear" w:color="auto" w:fill="auto"/>
            <w:noWrap/>
            <w:vAlign w:val="center"/>
            <w:hideMark/>
          </w:tcPr>
          <w:p w14:paraId="4902B85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0.160***</w:t>
            </w:r>
          </w:p>
        </w:tc>
        <w:tc>
          <w:tcPr>
            <w:tcW w:w="895" w:type="dxa"/>
            <w:vAlign w:val="center"/>
          </w:tcPr>
          <w:p w14:paraId="0867452B"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0.204</w:t>
            </w:r>
          </w:p>
        </w:tc>
      </w:tr>
      <w:tr w:rsidR="00B83B39" w:rsidRPr="00D13BC1" w14:paraId="02F07BC5" w14:textId="77777777" w:rsidTr="00F17AF2">
        <w:trPr>
          <w:trHeight w:val="225"/>
        </w:trPr>
        <w:tc>
          <w:tcPr>
            <w:tcW w:w="1985" w:type="dxa"/>
            <w:tcBorders>
              <w:right w:val="single" w:sz="4" w:space="0" w:color="auto"/>
            </w:tcBorders>
            <w:shd w:val="clear" w:color="auto" w:fill="auto"/>
            <w:noWrap/>
            <w:vAlign w:val="bottom"/>
            <w:hideMark/>
          </w:tcPr>
          <w:p w14:paraId="187B266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477DC99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(0.00649)</w:t>
            </w:r>
          </w:p>
        </w:tc>
        <w:tc>
          <w:tcPr>
            <w:tcW w:w="909" w:type="dxa"/>
            <w:shd w:val="clear" w:color="auto" w:fill="auto"/>
            <w:noWrap/>
            <w:vAlign w:val="bottom"/>
            <w:hideMark/>
          </w:tcPr>
          <w:p w14:paraId="3FAB5CD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(0.01060)</w:t>
            </w:r>
          </w:p>
        </w:tc>
        <w:tc>
          <w:tcPr>
            <w:tcW w:w="909" w:type="dxa"/>
            <w:shd w:val="clear" w:color="auto" w:fill="auto"/>
            <w:noWrap/>
            <w:vAlign w:val="bottom"/>
            <w:hideMark/>
          </w:tcPr>
          <w:p w14:paraId="2C15FD7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(0.01110)</w:t>
            </w:r>
          </w:p>
        </w:tc>
        <w:tc>
          <w:tcPr>
            <w:tcW w:w="895" w:type="dxa"/>
            <w:tcBorders>
              <w:right w:val="single" w:sz="4" w:space="0" w:color="auto"/>
            </w:tcBorders>
            <w:vAlign w:val="center"/>
          </w:tcPr>
          <w:p w14:paraId="62A9E279"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2A621BC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(0.00584)</w:t>
            </w:r>
          </w:p>
        </w:tc>
        <w:tc>
          <w:tcPr>
            <w:tcW w:w="917" w:type="dxa"/>
            <w:shd w:val="clear" w:color="auto" w:fill="auto"/>
            <w:noWrap/>
            <w:vAlign w:val="center"/>
            <w:hideMark/>
          </w:tcPr>
          <w:p w14:paraId="10D0FA7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(0.01050)</w:t>
            </w:r>
          </w:p>
        </w:tc>
        <w:tc>
          <w:tcPr>
            <w:tcW w:w="1079" w:type="dxa"/>
            <w:gridSpan w:val="2"/>
            <w:shd w:val="clear" w:color="auto" w:fill="auto"/>
            <w:noWrap/>
            <w:vAlign w:val="center"/>
            <w:hideMark/>
          </w:tcPr>
          <w:p w14:paraId="3C245D4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(0.01020)</w:t>
            </w:r>
          </w:p>
        </w:tc>
        <w:tc>
          <w:tcPr>
            <w:tcW w:w="895" w:type="dxa"/>
            <w:vAlign w:val="center"/>
          </w:tcPr>
          <w:p w14:paraId="5A1C18CE"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0B698D19" w14:textId="77777777" w:rsidTr="00F17AF2">
        <w:trPr>
          <w:trHeight w:val="225"/>
        </w:trPr>
        <w:tc>
          <w:tcPr>
            <w:tcW w:w="1985" w:type="dxa"/>
            <w:tcBorders>
              <w:right w:val="single" w:sz="4" w:space="0" w:color="auto"/>
            </w:tcBorders>
            <w:shd w:val="clear" w:color="auto" w:fill="auto"/>
            <w:vAlign w:val="center"/>
            <w:hideMark/>
          </w:tcPr>
          <w:p w14:paraId="5EC8DB6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Religion</w:t>
            </w:r>
          </w:p>
        </w:tc>
        <w:tc>
          <w:tcPr>
            <w:tcW w:w="992" w:type="dxa"/>
            <w:tcBorders>
              <w:left w:val="single" w:sz="4" w:space="0" w:color="auto"/>
            </w:tcBorders>
            <w:shd w:val="clear" w:color="auto" w:fill="auto"/>
            <w:noWrap/>
            <w:vAlign w:val="bottom"/>
            <w:hideMark/>
          </w:tcPr>
          <w:p w14:paraId="5A94F58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1F9C0BF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4084E1D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44D8FBC0"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33EDE4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2DE10D8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2DCFAF9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138FB6EE"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7431888D" w14:textId="77777777" w:rsidTr="00F17AF2">
        <w:trPr>
          <w:trHeight w:val="225"/>
        </w:trPr>
        <w:tc>
          <w:tcPr>
            <w:tcW w:w="1985" w:type="dxa"/>
            <w:tcBorders>
              <w:right w:val="single" w:sz="4" w:space="0" w:color="auto"/>
            </w:tcBorders>
            <w:shd w:val="clear" w:color="auto" w:fill="auto"/>
            <w:noWrap/>
            <w:vAlign w:val="center"/>
            <w:hideMark/>
          </w:tcPr>
          <w:p w14:paraId="6B56BA3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Muslim</w:t>
            </w:r>
          </w:p>
        </w:tc>
        <w:tc>
          <w:tcPr>
            <w:tcW w:w="992" w:type="dxa"/>
            <w:tcBorders>
              <w:left w:val="single" w:sz="4" w:space="0" w:color="auto"/>
            </w:tcBorders>
            <w:shd w:val="clear" w:color="auto" w:fill="auto"/>
            <w:noWrap/>
            <w:vAlign w:val="bottom"/>
            <w:hideMark/>
          </w:tcPr>
          <w:p w14:paraId="7933C54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-0.0162*</w:t>
            </w:r>
          </w:p>
        </w:tc>
        <w:tc>
          <w:tcPr>
            <w:tcW w:w="909" w:type="dxa"/>
            <w:shd w:val="clear" w:color="auto" w:fill="auto"/>
            <w:noWrap/>
            <w:vAlign w:val="bottom"/>
            <w:hideMark/>
          </w:tcPr>
          <w:p w14:paraId="5223E5D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-0.0211</w:t>
            </w:r>
          </w:p>
        </w:tc>
        <w:tc>
          <w:tcPr>
            <w:tcW w:w="909" w:type="dxa"/>
            <w:shd w:val="clear" w:color="auto" w:fill="auto"/>
            <w:noWrap/>
            <w:vAlign w:val="bottom"/>
            <w:hideMark/>
          </w:tcPr>
          <w:p w14:paraId="463674F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0.0373*</w:t>
            </w:r>
          </w:p>
        </w:tc>
        <w:tc>
          <w:tcPr>
            <w:tcW w:w="895" w:type="dxa"/>
            <w:tcBorders>
              <w:right w:val="single" w:sz="4" w:space="0" w:color="auto"/>
            </w:tcBorders>
            <w:vAlign w:val="center"/>
          </w:tcPr>
          <w:p w14:paraId="32317F6C"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0.0535</w:t>
            </w:r>
          </w:p>
        </w:tc>
        <w:tc>
          <w:tcPr>
            <w:tcW w:w="992" w:type="dxa"/>
            <w:tcBorders>
              <w:left w:val="single" w:sz="4" w:space="0" w:color="auto"/>
            </w:tcBorders>
            <w:shd w:val="clear" w:color="auto" w:fill="auto"/>
            <w:noWrap/>
            <w:vAlign w:val="center"/>
            <w:hideMark/>
          </w:tcPr>
          <w:p w14:paraId="2FF2105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0.0380***</w:t>
            </w:r>
          </w:p>
        </w:tc>
        <w:tc>
          <w:tcPr>
            <w:tcW w:w="917" w:type="dxa"/>
            <w:shd w:val="clear" w:color="auto" w:fill="auto"/>
            <w:noWrap/>
            <w:vAlign w:val="center"/>
            <w:hideMark/>
          </w:tcPr>
          <w:p w14:paraId="746A166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0.0596***</w:t>
            </w:r>
          </w:p>
        </w:tc>
        <w:tc>
          <w:tcPr>
            <w:tcW w:w="1079" w:type="dxa"/>
            <w:gridSpan w:val="2"/>
            <w:shd w:val="clear" w:color="auto" w:fill="auto"/>
            <w:noWrap/>
            <w:vAlign w:val="center"/>
            <w:hideMark/>
          </w:tcPr>
          <w:p w14:paraId="24EB234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-0.0976***</w:t>
            </w:r>
          </w:p>
        </w:tc>
        <w:tc>
          <w:tcPr>
            <w:tcW w:w="895" w:type="dxa"/>
            <w:vAlign w:val="center"/>
          </w:tcPr>
          <w:p w14:paraId="6BB40505"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-0.1356</w:t>
            </w:r>
          </w:p>
        </w:tc>
      </w:tr>
      <w:tr w:rsidR="00B83B39" w:rsidRPr="00D13BC1" w14:paraId="1A67FCDA" w14:textId="77777777" w:rsidTr="00F17AF2">
        <w:trPr>
          <w:trHeight w:val="225"/>
        </w:trPr>
        <w:tc>
          <w:tcPr>
            <w:tcW w:w="1985" w:type="dxa"/>
            <w:tcBorders>
              <w:right w:val="single" w:sz="4" w:space="0" w:color="auto"/>
            </w:tcBorders>
            <w:shd w:val="clear" w:color="auto" w:fill="auto"/>
            <w:vAlign w:val="bottom"/>
            <w:hideMark/>
          </w:tcPr>
          <w:p w14:paraId="2B506D4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477C1CF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(0.00940)</w:t>
            </w:r>
          </w:p>
        </w:tc>
        <w:tc>
          <w:tcPr>
            <w:tcW w:w="909" w:type="dxa"/>
            <w:shd w:val="clear" w:color="auto" w:fill="auto"/>
            <w:noWrap/>
            <w:vAlign w:val="bottom"/>
            <w:hideMark/>
          </w:tcPr>
          <w:p w14:paraId="7F70456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(0.01370)</w:t>
            </w:r>
          </w:p>
        </w:tc>
        <w:tc>
          <w:tcPr>
            <w:tcW w:w="909" w:type="dxa"/>
            <w:shd w:val="clear" w:color="auto" w:fill="auto"/>
            <w:noWrap/>
            <w:vAlign w:val="bottom"/>
            <w:hideMark/>
          </w:tcPr>
          <w:p w14:paraId="1124B06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(0.02260)</w:t>
            </w:r>
          </w:p>
        </w:tc>
        <w:tc>
          <w:tcPr>
            <w:tcW w:w="895" w:type="dxa"/>
            <w:tcBorders>
              <w:right w:val="single" w:sz="4" w:space="0" w:color="auto"/>
            </w:tcBorders>
            <w:vAlign w:val="center"/>
          </w:tcPr>
          <w:p w14:paraId="478F5939"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615EAD5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(0.01020)</w:t>
            </w:r>
          </w:p>
        </w:tc>
        <w:tc>
          <w:tcPr>
            <w:tcW w:w="917" w:type="dxa"/>
            <w:shd w:val="clear" w:color="auto" w:fill="auto"/>
            <w:noWrap/>
            <w:vAlign w:val="center"/>
            <w:hideMark/>
          </w:tcPr>
          <w:p w14:paraId="082C769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(0.01260)</w:t>
            </w:r>
          </w:p>
        </w:tc>
        <w:tc>
          <w:tcPr>
            <w:tcW w:w="1079" w:type="dxa"/>
            <w:gridSpan w:val="2"/>
            <w:shd w:val="clear" w:color="auto" w:fill="auto"/>
            <w:noWrap/>
            <w:vAlign w:val="center"/>
            <w:hideMark/>
          </w:tcPr>
          <w:p w14:paraId="2CCF2B9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(0.01980)</w:t>
            </w:r>
          </w:p>
        </w:tc>
        <w:tc>
          <w:tcPr>
            <w:tcW w:w="895" w:type="dxa"/>
            <w:vAlign w:val="center"/>
          </w:tcPr>
          <w:p w14:paraId="22C92A49"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65CA812A" w14:textId="77777777" w:rsidTr="00F17AF2">
        <w:trPr>
          <w:trHeight w:val="225"/>
        </w:trPr>
        <w:tc>
          <w:tcPr>
            <w:tcW w:w="1985" w:type="dxa"/>
            <w:tcBorders>
              <w:right w:val="single" w:sz="4" w:space="0" w:color="auto"/>
            </w:tcBorders>
            <w:shd w:val="clear" w:color="auto" w:fill="auto"/>
            <w:noWrap/>
            <w:vAlign w:val="center"/>
            <w:hideMark/>
          </w:tcPr>
          <w:p w14:paraId="225BF1D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Others</w:t>
            </w:r>
          </w:p>
        </w:tc>
        <w:tc>
          <w:tcPr>
            <w:tcW w:w="992" w:type="dxa"/>
            <w:tcBorders>
              <w:left w:val="single" w:sz="4" w:space="0" w:color="auto"/>
            </w:tcBorders>
            <w:shd w:val="clear" w:color="auto" w:fill="auto"/>
            <w:noWrap/>
            <w:vAlign w:val="bottom"/>
            <w:hideMark/>
          </w:tcPr>
          <w:p w14:paraId="3C5A8DB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-0.0335***</w:t>
            </w:r>
          </w:p>
        </w:tc>
        <w:tc>
          <w:tcPr>
            <w:tcW w:w="909" w:type="dxa"/>
            <w:shd w:val="clear" w:color="auto" w:fill="auto"/>
            <w:noWrap/>
            <w:vAlign w:val="bottom"/>
            <w:hideMark/>
          </w:tcPr>
          <w:p w14:paraId="78FC7F6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-0.0510***</w:t>
            </w:r>
          </w:p>
        </w:tc>
        <w:tc>
          <w:tcPr>
            <w:tcW w:w="909" w:type="dxa"/>
            <w:shd w:val="clear" w:color="auto" w:fill="auto"/>
            <w:noWrap/>
            <w:vAlign w:val="bottom"/>
            <w:hideMark/>
          </w:tcPr>
          <w:p w14:paraId="09B1446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0.0845***</w:t>
            </w:r>
          </w:p>
        </w:tc>
        <w:tc>
          <w:tcPr>
            <w:tcW w:w="895" w:type="dxa"/>
            <w:tcBorders>
              <w:right w:val="single" w:sz="4" w:space="0" w:color="auto"/>
            </w:tcBorders>
            <w:vAlign w:val="center"/>
          </w:tcPr>
          <w:p w14:paraId="709ADC8A"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0.118</w:t>
            </w:r>
          </w:p>
        </w:tc>
        <w:tc>
          <w:tcPr>
            <w:tcW w:w="992" w:type="dxa"/>
            <w:tcBorders>
              <w:left w:val="single" w:sz="4" w:space="0" w:color="auto"/>
            </w:tcBorders>
            <w:shd w:val="clear" w:color="auto" w:fill="auto"/>
            <w:noWrap/>
            <w:vAlign w:val="center"/>
            <w:hideMark/>
          </w:tcPr>
          <w:p w14:paraId="000B9D4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-0.00241</w:t>
            </w:r>
          </w:p>
        </w:tc>
        <w:tc>
          <w:tcPr>
            <w:tcW w:w="917" w:type="dxa"/>
            <w:shd w:val="clear" w:color="auto" w:fill="auto"/>
            <w:noWrap/>
            <w:vAlign w:val="center"/>
            <w:hideMark/>
          </w:tcPr>
          <w:p w14:paraId="589CC20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-0.00539</w:t>
            </w:r>
          </w:p>
        </w:tc>
        <w:tc>
          <w:tcPr>
            <w:tcW w:w="1079" w:type="dxa"/>
            <w:gridSpan w:val="2"/>
            <w:shd w:val="clear" w:color="auto" w:fill="auto"/>
            <w:noWrap/>
            <w:vAlign w:val="center"/>
            <w:hideMark/>
          </w:tcPr>
          <w:p w14:paraId="10CC19E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0.0078</w:t>
            </w:r>
          </w:p>
        </w:tc>
        <w:tc>
          <w:tcPr>
            <w:tcW w:w="895" w:type="dxa"/>
            <w:vAlign w:val="center"/>
          </w:tcPr>
          <w:p w14:paraId="0109889C"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0.01021</w:t>
            </w:r>
          </w:p>
        </w:tc>
      </w:tr>
      <w:tr w:rsidR="00B83B39" w:rsidRPr="00D13BC1" w14:paraId="5215052D" w14:textId="77777777" w:rsidTr="00F17AF2">
        <w:trPr>
          <w:trHeight w:val="225"/>
        </w:trPr>
        <w:tc>
          <w:tcPr>
            <w:tcW w:w="1985" w:type="dxa"/>
            <w:tcBorders>
              <w:right w:val="single" w:sz="4" w:space="0" w:color="auto"/>
            </w:tcBorders>
            <w:shd w:val="clear" w:color="auto" w:fill="auto"/>
            <w:vAlign w:val="bottom"/>
            <w:hideMark/>
          </w:tcPr>
          <w:p w14:paraId="24CA26D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7A3FD6D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(0.00669)</w:t>
            </w:r>
          </w:p>
        </w:tc>
        <w:tc>
          <w:tcPr>
            <w:tcW w:w="909" w:type="dxa"/>
            <w:shd w:val="clear" w:color="auto" w:fill="auto"/>
            <w:noWrap/>
            <w:vAlign w:val="bottom"/>
            <w:hideMark/>
          </w:tcPr>
          <w:p w14:paraId="7E22222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(0.01090)</w:t>
            </w:r>
          </w:p>
        </w:tc>
        <w:tc>
          <w:tcPr>
            <w:tcW w:w="909" w:type="dxa"/>
            <w:shd w:val="clear" w:color="auto" w:fill="auto"/>
            <w:noWrap/>
            <w:vAlign w:val="bottom"/>
            <w:hideMark/>
          </w:tcPr>
          <w:p w14:paraId="7E849AB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(0.01460)</w:t>
            </w:r>
          </w:p>
        </w:tc>
        <w:tc>
          <w:tcPr>
            <w:tcW w:w="895" w:type="dxa"/>
            <w:tcBorders>
              <w:right w:val="single" w:sz="4" w:space="0" w:color="auto"/>
            </w:tcBorders>
            <w:vAlign w:val="center"/>
          </w:tcPr>
          <w:p w14:paraId="40303E0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15C7E9B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(0.00419)</w:t>
            </w:r>
          </w:p>
        </w:tc>
        <w:tc>
          <w:tcPr>
            <w:tcW w:w="917" w:type="dxa"/>
            <w:shd w:val="clear" w:color="auto" w:fill="auto"/>
            <w:noWrap/>
            <w:vAlign w:val="center"/>
            <w:hideMark/>
          </w:tcPr>
          <w:p w14:paraId="315D9ED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(0.00951)</w:t>
            </w:r>
          </w:p>
        </w:tc>
        <w:tc>
          <w:tcPr>
            <w:tcW w:w="1079" w:type="dxa"/>
            <w:gridSpan w:val="2"/>
            <w:shd w:val="clear" w:color="auto" w:fill="auto"/>
            <w:noWrap/>
            <w:vAlign w:val="center"/>
            <w:hideMark/>
          </w:tcPr>
          <w:p w14:paraId="6FA29E8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(0.01370)</w:t>
            </w:r>
          </w:p>
        </w:tc>
        <w:tc>
          <w:tcPr>
            <w:tcW w:w="895" w:type="dxa"/>
            <w:vAlign w:val="center"/>
          </w:tcPr>
          <w:p w14:paraId="4CA787E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r>
      <w:tr w:rsidR="00B83B39" w:rsidRPr="00D13BC1" w14:paraId="1F995C1E" w14:textId="77777777" w:rsidTr="00F17AF2">
        <w:trPr>
          <w:trHeight w:val="225"/>
        </w:trPr>
        <w:tc>
          <w:tcPr>
            <w:tcW w:w="1985" w:type="dxa"/>
            <w:tcBorders>
              <w:right w:val="single" w:sz="4" w:space="0" w:color="auto"/>
            </w:tcBorders>
            <w:shd w:val="clear" w:color="auto" w:fill="auto"/>
            <w:vAlign w:val="center"/>
            <w:hideMark/>
          </w:tcPr>
          <w:p w14:paraId="0B7476E7"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Caste</w:t>
            </w:r>
          </w:p>
        </w:tc>
        <w:tc>
          <w:tcPr>
            <w:tcW w:w="992" w:type="dxa"/>
            <w:tcBorders>
              <w:left w:val="single" w:sz="4" w:space="0" w:color="auto"/>
            </w:tcBorders>
            <w:shd w:val="clear" w:color="auto" w:fill="auto"/>
            <w:noWrap/>
            <w:vAlign w:val="bottom"/>
            <w:hideMark/>
          </w:tcPr>
          <w:p w14:paraId="0E023072"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0509458E"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4FBE1EA5"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4BAA7369" w14:textId="77777777" w:rsidR="00B83B39" w:rsidRPr="001356C3"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651A6A52"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416DAA33"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27273B46"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2719B09E" w14:textId="77777777" w:rsidR="00B83B39" w:rsidRPr="001356C3" w:rsidRDefault="00B83B39" w:rsidP="00B83B39">
            <w:pPr>
              <w:adjustRightInd w:val="0"/>
              <w:snapToGrid w:val="0"/>
              <w:spacing w:after="0" w:line="240" w:lineRule="auto"/>
              <w:rPr>
                <w:rFonts w:ascii="Arial Narrow" w:hAnsi="Arial Narrow" w:cs="Arial"/>
                <w:b/>
                <w:sz w:val="16"/>
                <w:szCs w:val="16"/>
              </w:rPr>
            </w:pPr>
          </w:p>
        </w:tc>
      </w:tr>
      <w:tr w:rsidR="00B83B39" w:rsidRPr="00D13BC1" w14:paraId="68F2F7B9" w14:textId="77777777" w:rsidTr="00F17AF2">
        <w:trPr>
          <w:trHeight w:val="225"/>
        </w:trPr>
        <w:tc>
          <w:tcPr>
            <w:tcW w:w="1985" w:type="dxa"/>
            <w:tcBorders>
              <w:right w:val="single" w:sz="4" w:space="0" w:color="auto"/>
            </w:tcBorders>
            <w:shd w:val="clear" w:color="auto" w:fill="auto"/>
            <w:noWrap/>
            <w:vAlign w:val="center"/>
            <w:hideMark/>
          </w:tcPr>
          <w:p w14:paraId="596F9FA6"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 xml:space="preserve">  Brahmin</w:t>
            </w:r>
          </w:p>
        </w:tc>
        <w:tc>
          <w:tcPr>
            <w:tcW w:w="992" w:type="dxa"/>
            <w:tcBorders>
              <w:left w:val="single" w:sz="4" w:space="0" w:color="auto"/>
            </w:tcBorders>
            <w:shd w:val="clear" w:color="auto" w:fill="auto"/>
            <w:noWrap/>
            <w:vAlign w:val="bottom"/>
            <w:hideMark/>
          </w:tcPr>
          <w:p w14:paraId="2A4C785A"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0.0036</w:t>
            </w:r>
          </w:p>
        </w:tc>
        <w:tc>
          <w:tcPr>
            <w:tcW w:w="909" w:type="dxa"/>
            <w:shd w:val="clear" w:color="auto" w:fill="auto"/>
            <w:noWrap/>
            <w:vAlign w:val="bottom"/>
            <w:hideMark/>
          </w:tcPr>
          <w:p w14:paraId="52B1CE64"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0.00482</w:t>
            </w:r>
          </w:p>
        </w:tc>
        <w:tc>
          <w:tcPr>
            <w:tcW w:w="909" w:type="dxa"/>
            <w:shd w:val="clear" w:color="auto" w:fill="auto"/>
            <w:noWrap/>
            <w:vAlign w:val="bottom"/>
            <w:hideMark/>
          </w:tcPr>
          <w:p w14:paraId="0A47A6ED"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-0.00842</w:t>
            </w:r>
          </w:p>
        </w:tc>
        <w:tc>
          <w:tcPr>
            <w:tcW w:w="895" w:type="dxa"/>
            <w:tcBorders>
              <w:right w:val="single" w:sz="4" w:space="0" w:color="auto"/>
            </w:tcBorders>
            <w:vAlign w:val="center"/>
          </w:tcPr>
          <w:p w14:paraId="79DB8858" w14:textId="77777777" w:rsidR="00B83B39" w:rsidRPr="001356C3" w:rsidRDefault="00B83B39" w:rsidP="00B83B39">
            <w:pPr>
              <w:adjustRightInd w:val="0"/>
              <w:snapToGrid w:val="0"/>
              <w:spacing w:after="0" w:line="240" w:lineRule="auto"/>
              <w:rPr>
                <w:rFonts w:ascii="Arial Narrow" w:hAnsi="Arial Narrow" w:cs="Arial"/>
                <w:b/>
                <w:sz w:val="16"/>
                <w:szCs w:val="16"/>
              </w:rPr>
            </w:pPr>
            <w:r w:rsidRPr="00081C02">
              <w:rPr>
                <w:rFonts w:ascii="Arial Narrow" w:hAnsi="Arial Narrow" w:cs="Calibri"/>
                <w:color w:val="000000"/>
                <w:sz w:val="16"/>
                <w:szCs w:val="16"/>
              </w:rPr>
              <w:t>-0.01202</w:t>
            </w:r>
          </w:p>
        </w:tc>
        <w:tc>
          <w:tcPr>
            <w:tcW w:w="992" w:type="dxa"/>
            <w:tcBorders>
              <w:left w:val="single" w:sz="4" w:space="0" w:color="auto"/>
            </w:tcBorders>
            <w:shd w:val="clear" w:color="auto" w:fill="auto"/>
            <w:noWrap/>
            <w:vAlign w:val="center"/>
            <w:hideMark/>
          </w:tcPr>
          <w:p w14:paraId="760A8549"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-0.00638*</w:t>
            </w:r>
          </w:p>
        </w:tc>
        <w:tc>
          <w:tcPr>
            <w:tcW w:w="917" w:type="dxa"/>
            <w:shd w:val="clear" w:color="auto" w:fill="auto"/>
            <w:noWrap/>
            <w:vAlign w:val="center"/>
            <w:hideMark/>
          </w:tcPr>
          <w:p w14:paraId="0CA84253"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-0.0139</w:t>
            </w:r>
          </w:p>
        </w:tc>
        <w:tc>
          <w:tcPr>
            <w:tcW w:w="1079" w:type="dxa"/>
            <w:gridSpan w:val="2"/>
            <w:shd w:val="clear" w:color="auto" w:fill="auto"/>
            <w:noWrap/>
            <w:vAlign w:val="center"/>
            <w:hideMark/>
          </w:tcPr>
          <w:p w14:paraId="2E0526EC"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0.0203*</w:t>
            </w:r>
          </w:p>
        </w:tc>
        <w:tc>
          <w:tcPr>
            <w:tcW w:w="895" w:type="dxa"/>
            <w:vAlign w:val="center"/>
          </w:tcPr>
          <w:p w14:paraId="16B2EB20" w14:textId="77777777" w:rsidR="00B83B39" w:rsidRPr="001356C3" w:rsidRDefault="00B83B39" w:rsidP="00B83B39">
            <w:pPr>
              <w:adjustRightInd w:val="0"/>
              <w:snapToGrid w:val="0"/>
              <w:spacing w:after="0" w:line="240" w:lineRule="auto"/>
              <w:rPr>
                <w:rFonts w:ascii="Arial Narrow" w:hAnsi="Arial Narrow" w:cs="Arial"/>
                <w:b/>
                <w:sz w:val="16"/>
                <w:szCs w:val="16"/>
              </w:rPr>
            </w:pPr>
            <w:r>
              <w:rPr>
                <w:rFonts w:ascii="Arial Narrow" w:hAnsi="Arial Narrow" w:cs="Calibri"/>
                <w:color w:val="000000"/>
                <w:sz w:val="16"/>
                <w:szCs w:val="16"/>
              </w:rPr>
              <w:t>0.0267</w:t>
            </w:r>
          </w:p>
        </w:tc>
      </w:tr>
      <w:tr w:rsidR="00B83B39" w:rsidRPr="00D13BC1" w14:paraId="451BF99A" w14:textId="77777777" w:rsidTr="00F17AF2">
        <w:trPr>
          <w:trHeight w:val="225"/>
        </w:trPr>
        <w:tc>
          <w:tcPr>
            <w:tcW w:w="1985" w:type="dxa"/>
            <w:tcBorders>
              <w:right w:val="single" w:sz="4" w:space="0" w:color="auto"/>
            </w:tcBorders>
            <w:shd w:val="clear" w:color="auto" w:fill="auto"/>
            <w:vAlign w:val="bottom"/>
            <w:hideMark/>
          </w:tcPr>
          <w:p w14:paraId="4C1670E3"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13F597E6"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(0.00556)</w:t>
            </w:r>
          </w:p>
        </w:tc>
        <w:tc>
          <w:tcPr>
            <w:tcW w:w="909" w:type="dxa"/>
            <w:shd w:val="clear" w:color="auto" w:fill="auto"/>
            <w:noWrap/>
            <w:vAlign w:val="bottom"/>
            <w:hideMark/>
          </w:tcPr>
          <w:p w14:paraId="4FD10774"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(0.00722)</w:t>
            </w:r>
          </w:p>
        </w:tc>
        <w:tc>
          <w:tcPr>
            <w:tcW w:w="909" w:type="dxa"/>
            <w:shd w:val="clear" w:color="auto" w:fill="auto"/>
            <w:noWrap/>
            <w:vAlign w:val="bottom"/>
            <w:hideMark/>
          </w:tcPr>
          <w:p w14:paraId="2117D02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(0.01270)</w:t>
            </w:r>
          </w:p>
        </w:tc>
        <w:tc>
          <w:tcPr>
            <w:tcW w:w="895" w:type="dxa"/>
            <w:tcBorders>
              <w:right w:val="single" w:sz="4" w:space="0" w:color="auto"/>
            </w:tcBorders>
            <w:vAlign w:val="center"/>
          </w:tcPr>
          <w:p w14:paraId="29980D14" w14:textId="77777777" w:rsidR="00B83B39" w:rsidRPr="001356C3"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493A8D9C"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(0.00378)</w:t>
            </w:r>
          </w:p>
        </w:tc>
        <w:tc>
          <w:tcPr>
            <w:tcW w:w="917" w:type="dxa"/>
            <w:shd w:val="clear" w:color="auto" w:fill="auto"/>
            <w:noWrap/>
            <w:vAlign w:val="center"/>
            <w:hideMark/>
          </w:tcPr>
          <w:p w14:paraId="66576F3D"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(0.00867)</w:t>
            </w:r>
          </w:p>
        </w:tc>
        <w:tc>
          <w:tcPr>
            <w:tcW w:w="1079" w:type="dxa"/>
            <w:gridSpan w:val="2"/>
            <w:shd w:val="clear" w:color="auto" w:fill="auto"/>
            <w:noWrap/>
            <w:vAlign w:val="center"/>
            <w:hideMark/>
          </w:tcPr>
          <w:p w14:paraId="435361A2"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(0.01230)</w:t>
            </w:r>
          </w:p>
        </w:tc>
        <w:tc>
          <w:tcPr>
            <w:tcW w:w="895" w:type="dxa"/>
            <w:vAlign w:val="center"/>
          </w:tcPr>
          <w:p w14:paraId="70D561F5" w14:textId="77777777" w:rsidR="00B83B39" w:rsidRPr="001356C3" w:rsidRDefault="00B83B39" w:rsidP="00B83B39">
            <w:pPr>
              <w:adjustRightInd w:val="0"/>
              <w:snapToGrid w:val="0"/>
              <w:spacing w:after="0" w:line="240" w:lineRule="auto"/>
              <w:rPr>
                <w:rFonts w:ascii="Arial Narrow" w:hAnsi="Arial Narrow" w:cs="Arial"/>
                <w:b/>
                <w:sz w:val="16"/>
                <w:szCs w:val="16"/>
              </w:rPr>
            </w:pPr>
          </w:p>
        </w:tc>
      </w:tr>
      <w:tr w:rsidR="00B83B39" w:rsidRPr="00D13BC1" w14:paraId="45C258A6" w14:textId="77777777" w:rsidTr="00F17AF2">
        <w:trPr>
          <w:trHeight w:val="225"/>
        </w:trPr>
        <w:tc>
          <w:tcPr>
            <w:tcW w:w="1985" w:type="dxa"/>
            <w:tcBorders>
              <w:right w:val="single" w:sz="4" w:space="0" w:color="auto"/>
            </w:tcBorders>
            <w:shd w:val="clear" w:color="auto" w:fill="auto"/>
            <w:noWrap/>
            <w:vAlign w:val="center"/>
            <w:hideMark/>
          </w:tcPr>
          <w:p w14:paraId="5D435DB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1356C3">
              <w:rPr>
                <w:rFonts w:ascii="Arial Narrow" w:eastAsia="Times New Roman" w:hAnsi="Arial Narrow" w:cs="Arial"/>
                <w:sz w:val="16"/>
                <w:szCs w:val="16"/>
              </w:rPr>
              <w:t xml:space="preserve">  High Caste</w:t>
            </w:r>
          </w:p>
        </w:tc>
        <w:tc>
          <w:tcPr>
            <w:tcW w:w="992" w:type="dxa"/>
            <w:tcBorders>
              <w:left w:val="single" w:sz="4" w:space="0" w:color="auto"/>
            </w:tcBorders>
            <w:shd w:val="clear" w:color="auto" w:fill="auto"/>
            <w:noWrap/>
            <w:vAlign w:val="bottom"/>
            <w:hideMark/>
          </w:tcPr>
          <w:p w14:paraId="7C6E137B"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0.00467</w:t>
            </w:r>
          </w:p>
        </w:tc>
        <w:tc>
          <w:tcPr>
            <w:tcW w:w="909" w:type="dxa"/>
            <w:shd w:val="clear" w:color="auto" w:fill="auto"/>
            <w:noWrap/>
            <w:vAlign w:val="bottom"/>
            <w:hideMark/>
          </w:tcPr>
          <w:p w14:paraId="25EE6121"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0.0062</w:t>
            </w:r>
          </w:p>
        </w:tc>
        <w:tc>
          <w:tcPr>
            <w:tcW w:w="909" w:type="dxa"/>
            <w:shd w:val="clear" w:color="auto" w:fill="auto"/>
            <w:noWrap/>
            <w:vAlign w:val="bottom"/>
            <w:hideMark/>
          </w:tcPr>
          <w:p w14:paraId="4510E3D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-0.0109</w:t>
            </w:r>
          </w:p>
        </w:tc>
        <w:tc>
          <w:tcPr>
            <w:tcW w:w="895" w:type="dxa"/>
            <w:tcBorders>
              <w:right w:val="single" w:sz="4" w:space="0" w:color="auto"/>
            </w:tcBorders>
            <w:vAlign w:val="center"/>
          </w:tcPr>
          <w:p w14:paraId="34007E93" w14:textId="77777777" w:rsidR="00B83B39" w:rsidRPr="001356C3" w:rsidRDefault="00B83B39" w:rsidP="00B83B39">
            <w:pPr>
              <w:adjustRightInd w:val="0"/>
              <w:snapToGrid w:val="0"/>
              <w:spacing w:after="0" w:line="240" w:lineRule="auto"/>
              <w:rPr>
                <w:rFonts w:ascii="Arial Narrow" w:hAnsi="Arial Narrow" w:cs="Arial"/>
                <w:b/>
                <w:sz w:val="16"/>
                <w:szCs w:val="16"/>
              </w:rPr>
            </w:pPr>
            <w:r w:rsidRPr="00081C02">
              <w:rPr>
                <w:rFonts w:ascii="Arial Narrow" w:hAnsi="Arial Narrow" w:cs="Calibri"/>
                <w:color w:val="000000"/>
                <w:sz w:val="16"/>
                <w:szCs w:val="16"/>
              </w:rPr>
              <w:t>-0.0156</w:t>
            </w:r>
          </w:p>
        </w:tc>
        <w:tc>
          <w:tcPr>
            <w:tcW w:w="992" w:type="dxa"/>
            <w:tcBorders>
              <w:left w:val="single" w:sz="4" w:space="0" w:color="auto"/>
            </w:tcBorders>
            <w:shd w:val="clear" w:color="auto" w:fill="auto"/>
            <w:noWrap/>
            <w:vAlign w:val="center"/>
            <w:hideMark/>
          </w:tcPr>
          <w:p w14:paraId="1204A958"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-0.00714***</w:t>
            </w:r>
          </w:p>
        </w:tc>
        <w:tc>
          <w:tcPr>
            <w:tcW w:w="917" w:type="dxa"/>
            <w:shd w:val="clear" w:color="auto" w:fill="auto"/>
            <w:noWrap/>
            <w:vAlign w:val="center"/>
            <w:hideMark/>
          </w:tcPr>
          <w:p w14:paraId="57E14393"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-0.0157***</w:t>
            </w:r>
          </w:p>
        </w:tc>
        <w:tc>
          <w:tcPr>
            <w:tcW w:w="1079" w:type="dxa"/>
            <w:gridSpan w:val="2"/>
            <w:shd w:val="clear" w:color="auto" w:fill="auto"/>
            <w:noWrap/>
            <w:vAlign w:val="center"/>
            <w:hideMark/>
          </w:tcPr>
          <w:p w14:paraId="77EA377D"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0.0229***</w:t>
            </w:r>
          </w:p>
        </w:tc>
        <w:tc>
          <w:tcPr>
            <w:tcW w:w="895" w:type="dxa"/>
            <w:vAlign w:val="center"/>
          </w:tcPr>
          <w:p w14:paraId="6F5FB57C" w14:textId="77777777" w:rsidR="00B83B39" w:rsidRPr="001356C3" w:rsidRDefault="00B83B39" w:rsidP="00B83B39">
            <w:pPr>
              <w:adjustRightInd w:val="0"/>
              <w:snapToGrid w:val="0"/>
              <w:spacing w:after="0" w:line="240" w:lineRule="auto"/>
              <w:rPr>
                <w:rFonts w:ascii="Arial Narrow" w:hAnsi="Arial Narrow" w:cs="Arial"/>
                <w:b/>
                <w:sz w:val="16"/>
                <w:szCs w:val="16"/>
              </w:rPr>
            </w:pPr>
            <w:r>
              <w:rPr>
                <w:rFonts w:ascii="Arial Narrow" w:hAnsi="Arial Narrow" w:cs="Calibri"/>
                <w:color w:val="000000"/>
                <w:sz w:val="16"/>
                <w:szCs w:val="16"/>
              </w:rPr>
              <w:t>0.0301</w:t>
            </w:r>
          </w:p>
        </w:tc>
      </w:tr>
      <w:tr w:rsidR="00B83B39" w:rsidRPr="00D13BC1" w14:paraId="34F95AD2" w14:textId="77777777" w:rsidTr="00F17AF2">
        <w:trPr>
          <w:trHeight w:val="225"/>
        </w:trPr>
        <w:tc>
          <w:tcPr>
            <w:tcW w:w="1985" w:type="dxa"/>
            <w:tcBorders>
              <w:right w:val="single" w:sz="4" w:space="0" w:color="auto"/>
            </w:tcBorders>
            <w:shd w:val="clear" w:color="auto" w:fill="auto"/>
            <w:vAlign w:val="bottom"/>
            <w:hideMark/>
          </w:tcPr>
          <w:p w14:paraId="4BCFA2DC"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77A7A17E"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(0.00354)</w:t>
            </w:r>
          </w:p>
        </w:tc>
        <w:tc>
          <w:tcPr>
            <w:tcW w:w="909" w:type="dxa"/>
            <w:shd w:val="clear" w:color="auto" w:fill="auto"/>
            <w:noWrap/>
            <w:vAlign w:val="bottom"/>
            <w:hideMark/>
          </w:tcPr>
          <w:p w14:paraId="74EB5B3A"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(0.00460)</w:t>
            </w:r>
          </w:p>
        </w:tc>
        <w:tc>
          <w:tcPr>
            <w:tcW w:w="909" w:type="dxa"/>
            <w:shd w:val="clear" w:color="auto" w:fill="auto"/>
            <w:noWrap/>
            <w:vAlign w:val="bottom"/>
            <w:hideMark/>
          </w:tcPr>
          <w:p w14:paraId="0417B50A"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(0.00803)</w:t>
            </w:r>
          </w:p>
        </w:tc>
        <w:tc>
          <w:tcPr>
            <w:tcW w:w="895" w:type="dxa"/>
            <w:tcBorders>
              <w:right w:val="single" w:sz="4" w:space="0" w:color="auto"/>
            </w:tcBorders>
            <w:vAlign w:val="center"/>
          </w:tcPr>
          <w:p w14:paraId="1C88E29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center"/>
            <w:hideMark/>
          </w:tcPr>
          <w:p w14:paraId="4A69061B"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(0.00253)</w:t>
            </w:r>
          </w:p>
        </w:tc>
        <w:tc>
          <w:tcPr>
            <w:tcW w:w="917" w:type="dxa"/>
            <w:shd w:val="clear" w:color="auto" w:fill="auto"/>
            <w:noWrap/>
            <w:vAlign w:val="center"/>
            <w:hideMark/>
          </w:tcPr>
          <w:p w14:paraId="3A1C1872"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(0.00555)</w:t>
            </w:r>
          </w:p>
        </w:tc>
        <w:tc>
          <w:tcPr>
            <w:tcW w:w="1079" w:type="dxa"/>
            <w:gridSpan w:val="2"/>
            <w:shd w:val="clear" w:color="auto" w:fill="auto"/>
            <w:noWrap/>
            <w:vAlign w:val="center"/>
            <w:hideMark/>
          </w:tcPr>
          <w:p w14:paraId="62E290B3"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(0.00779)</w:t>
            </w:r>
          </w:p>
        </w:tc>
        <w:tc>
          <w:tcPr>
            <w:tcW w:w="895" w:type="dxa"/>
            <w:vAlign w:val="center"/>
          </w:tcPr>
          <w:p w14:paraId="28D60137"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r>
      <w:tr w:rsidR="00B83B39" w:rsidRPr="00D13BC1" w14:paraId="3F919D14" w14:textId="77777777" w:rsidTr="00F17AF2">
        <w:trPr>
          <w:trHeight w:val="225"/>
        </w:trPr>
        <w:tc>
          <w:tcPr>
            <w:tcW w:w="1985" w:type="dxa"/>
            <w:tcBorders>
              <w:right w:val="single" w:sz="4" w:space="0" w:color="auto"/>
            </w:tcBorders>
            <w:shd w:val="clear" w:color="auto" w:fill="auto"/>
            <w:vAlign w:val="center"/>
            <w:hideMark/>
          </w:tcPr>
          <w:p w14:paraId="5D1DFAD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Dalit</w:t>
            </w:r>
          </w:p>
        </w:tc>
        <w:tc>
          <w:tcPr>
            <w:tcW w:w="992" w:type="dxa"/>
            <w:tcBorders>
              <w:left w:val="single" w:sz="4" w:space="0" w:color="auto"/>
            </w:tcBorders>
            <w:shd w:val="clear" w:color="auto" w:fill="auto"/>
            <w:noWrap/>
            <w:vAlign w:val="bottom"/>
            <w:hideMark/>
          </w:tcPr>
          <w:p w14:paraId="622CC7B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0.0205***</w:t>
            </w:r>
          </w:p>
        </w:tc>
        <w:tc>
          <w:tcPr>
            <w:tcW w:w="909" w:type="dxa"/>
            <w:shd w:val="clear" w:color="auto" w:fill="auto"/>
            <w:noWrap/>
            <w:vAlign w:val="bottom"/>
            <w:hideMark/>
          </w:tcPr>
          <w:p w14:paraId="6AF5DD5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0.0239***</w:t>
            </w:r>
          </w:p>
        </w:tc>
        <w:tc>
          <w:tcPr>
            <w:tcW w:w="909" w:type="dxa"/>
            <w:shd w:val="clear" w:color="auto" w:fill="auto"/>
            <w:noWrap/>
            <w:vAlign w:val="bottom"/>
            <w:hideMark/>
          </w:tcPr>
          <w:p w14:paraId="75393F1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-0.0443***</w:t>
            </w:r>
          </w:p>
        </w:tc>
        <w:tc>
          <w:tcPr>
            <w:tcW w:w="895" w:type="dxa"/>
            <w:tcBorders>
              <w:right w:val="single" w:sz="4" w:space="0" w:color="auto"/>
            </w:tcBorders>
            <w:vAlign w:val="center"/>
          </w:tcPr>
          <w:p w14:paraId="3036A2E3"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-0.0647</w:t>
            </w:r>
          </w:p>
        </w:tc>
        <w:tc>
          <w:tcPr>
            <w:tcW w:w="992" w:type="dxa"/>
            <w:tcBorders>
              <w:left w:val="single" w:sz="4" w:space="0" w:color="auto"/>
            </w:tcBorders>
            <w:shd w:val="clear" w:color="auto" w:fill="auto"/>
            <w:noWrap/>
            <w:vAlign w:val="center"/>
            <w:hideMark/>
          </w:tcPr>
          <w:p w14:paraId="3B139B3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0.0182***</w:t>
            </w:r>
          </w:p>
        </w:tc>
        <w:tc>
          <w:tcPr>
            <w:tcW w:w="917" w:type="dxa"/>
            <w:shd w:val="clear" w:color="auto" w:fill="auto"/>
            <w:noWrap/>
            <w:vAlign w:val="center"/>
            <w:hideMark/>
          </w:tcPr>
          <w:p w14:paraId="7A370C2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0.0318***</w:t>
            </w:r>
          </w:p>
        </w:tc>
        <w:tc>
          <w:tcPr>
            <w:tcW w:w="1079" w:type="dxa"/>
            <w:gridSpan w:val="2"/>
            <w:shd w:val="clear" w:color="auto" w:fill="auto"/>
            <w:noWrap/>
            <w:vAlign w:val="center"/>
            <w:hideMark/>
          </w:tcPr>
          <w:p w14:paraId="2CDB5A8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-0.0500***</w:t>
            </w:r>
          </w:p>
        </w:tc>
        <w:tc>
          <w:tcPr>
            <w:tcW w:w="895" w:type="dxa"/>
            <w:vAlign w:val="center"/>
          </w:tcPr>
          <w:p w14:paraId="762D3686"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hAnsi="Arial Narrow" w:cs="Calibri"/>
                <w:i/>
                <w:color w:val="000000"/>
                <w:sz w:val="16"/>
                <w:szCs w:val="16"/>
              </w:rPr>
              <w:t>-0.0682</w:t>
            </w:r>
          </w:p>
        </w:tc>
      </w:tr>
      <w:tr w:rsidR="00B83B39" w:rsidRPr="00D13BC1" w14:paraId="710402BE" w14:textId="77777777" w:rsidTr="00F17AF2">
        <w:trPr>
          <w:trHeight w:val="225"/>
        </w:trPr>
        <w:tc>
          <w:tcPr>
            <w:tcW w:w="1985" w:type="dxa"/>
            <w:tcBorders>
              <w:right w:val="single" w:sz="4" w:space="0" w:color="auto"/>
            </w:tcBorders>
            <w:shd w:val="clear" w:color="auto" w:fill="auto"/>
            <w:noWrap/>
            <w:vAlign w:val="bottom"/>
            <w:hideMark/>
          </w:tcPr>
          <w:p w14:paraId="5043DF6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56DE7C2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(0.00425)</w:t>
            </w:r>
          </w:p>
        </w:tc>
        <w:tc>
          <w:tcPr>
            <w:tcW w:w="909" w:type="dxa"/>
            <w:shd w:val="clear" w:color="auto" w:fill="auto"/>
            <w:noWrap/>
            <w:vAlign w:val="bottom"/>
            <w:hideMark/>
          </w:tcPr>
          <w:p w14:paraId="304D1F0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(0.00485)</w:t>
            </w:r>
          </w:p>
        </w:tc>
        <w:tc>
          <w:tcPr>
            <w:tcW w:w="909" w:type="dxa"/>
            <w:shd w:val="clear" w:color="auto" w:fill="auto"/>
            <w:noWrap/>
            <w:vAlign w:val="bottom"/>
            <w:hideMark/>
          </w:tcPr>
          <w:p w14:paraId="19AB76D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(0.00690)</w:t>
            </w:r>
          </w:p>
        </w:tc>
        <w:tc>
          <w:tcPr>
            <w:tcW w:w="895" w:type="dxa"/>
            <w:tcBorders>
              <w:right w:val="single" w:sz="4" w:space="0" w:color="auto"/>
            </w:tcBorders>
            <w:vAlign w:val="center"/>
          </w:tcPr>
          <w:p w14:paraId="61FA7A75"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6138B35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(0.00343)</w:t>
            </w:r>
          </w:p>
        </w:tc>
        <w:tc>
          <w:tcPr>
            <w:tcW w:w="917" w:type="dxa"/>
            <w:shd w:val="clear" w:color="auto" w:fill="auto"/>
            <w:noWrap/>
            <w:vAlign w:val="center"/>
            <w:hideMark/>
          </w:tcPr>
          <w:p w14:paraId="5746075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(0.00507)</w:t>
            </w:r>
          </w:p>
        </w:tc>
        <w:tc>
          <w:tcPr>
            <w:tcW w:w="1079" w:type="dxa"/>
            <w:gridSpan w:val="2"/>
            <w:shd w:val="clear" w:color="auto" w:fill="auto"/>
            <w:noWrap/>
            <w:vAlign w:val="center"/>
            <w:hideMark/>
          </w:tcPr>
          <w:p w14:paraId="3493BD6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(0.00663)</w:t>
            </w:r>
          </w:p>
        </w:tc>
        <w:tc>
          <w:tcPr>
            <w:tcW w:w="895" w:type="dxa"/>
            <w:vAlign w:val="center"/>
          </w:tcPr>
          <w:p w14:paraId="22D56EAF"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6DEF684D" w14:textId="77777777" w:rsidTr="00F17AF2">
        <w:trPr>
          <w:trHeight w:val="225"/>
        </w:trPr>
        <w:tc>
          <w:tcPr>
            <w:tcW w:w="1985" w:type="dxa"/>
            <w:tcBorders>
              <w:right w:val="single" w:sz="4" w:space="0" w:color="auto"/>
            </w:tcBorders>
            <w:shd w:val="clear" w:color="auto" w:fill="auto"/>
            <w:vAlign w:val="center"/>
            <w:hideMark/>
          </w:tcPr>
          <w:p w14:paraId="41EA24B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Adivasi</w:t>
            </w:r>
          </w:p>
        </w:tc>
        <w:tc>
          <w:tcPr>
            <w:tcW w:w="992" w:type="dxa"/>
            <w:tcBorders>
              <w:left w:val="single" w:sz="4" w:space="0" w:color="auto"/>
            </w:tcBorders>
            <w:shd w:val="clear" w:color="auto" w:fill="auto"/>
            <w:noWrap/>
            <w:vAlign w:val="bottom"/>
            <w:hideMark/>
          </w:tcPr>
          <w:p w14:paraId="4E8E62E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-0.0108**</w:t>
            </w:r>
          </w:p>
        </w:tc>
        <w:tc>
          <w:tcPr>
            <w:tcW w:w="909" w:type="dxa"/>
            <w:shd w:val="clear" w:color="auto" w:fill="auto"/>
            <w:noWrap/>
            <w:vAlign w:val="bottom"/>
            <w:hideMark/>
          </w:tcPr>
          <w:p w14:paraId="4775387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-0.0164**</w:t>
            </w:r>
          </w:p>
        </w:tc>
        <w:tc>
          <w:tcPr>
            <w:tcW w:w="909" w:type="dxa"/>
            <w:shd w:val="clear" w:color="auto" w:fill="auto"/>
            <w:noWrap/>
            <w:vAlign w:val="bottom"/>
            <w:hideMark/>
          </w:tcPr>
          <w:p w14:paraId="77052E4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0.0273**</w:t>
            </w:r>
          </w:p>
        </w:tc>
        <w:tc>
          <w:tcPr>
            <w:tcW w:w="895" w:type="dxa"/>
            <w:tcBorders>
              <w:right w:val="single" w:sz="4" w:space="0" w:color="auto"/>
            </w:tcBorders>
            <w:vAlign w:val="center"/>
          </w:tcPr>
          <w:p w14:paraId="1CCD91AB"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0.0382</w:t>
            </w:r>
          </w:p>
        </w:tc>
        <w:tc>
          <w:tcPr>
            <w:tcW w:w="992" w:type="dxa"/>
            <w:tcBorders>
              <w:left w:val="single" w:sz="4" w:space="0" w:color="auto"/>
            </w:tcBorders>
            <w:shd w:val="clear" w:color="auto" w:fill="auto"/>
            <w:noWrap/>
            <w:vAlign w:val="center"/>
            <w:hideMark/>
          </w:tcPr>
          <w:p w14:paraId="155A1D5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0.0106***</w:t>
            </w:r>
          </w:p>
        </w:tc>
        <w:tc>
          <w:tcPr>
            <w:tcW w:w="917" w:type="dxa"/>
            <w:shd w:val="clear" w:color="auto" w:fill="auto"/>
            <w:noWrap/>
            <w:vAlign w:val="center"/>
            <w:hideMark/>
          </w:tcPr>
          <w:p w14:paraId="3D258D9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0.0199***</w:t>
            </w:r>
          </w:p>
        </w:tc>
        <w:tc>
          <w:tcPr>
            <w:tcW w:w="1079" w:type="dxa"/>
            <w:gridSpan w:val="2"/>
            <w:shd w:val="clear" w:color="auto" w:fill="auto"/>
            <w:noWrap/>
            <w:vAlign w:val="center"/>
            <w:hideMark/>
          </w:tcPr>
          <w:p w14:paraId="64B5D00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-0.0305***</w:t>
            </w:r>
          </w:p>
        </w:tc>
        <w:tc>
          <w:tcPr>
            <w:tcW w:w="895" w:type="dxa"/>
            <w:vAlign w:val="center"/>
          </w:tcPr>
          <w:p w14:paraId="2DFA1474"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-0.0411</w:t>
            </w:r>
          </w:p>
        </w:tc>
      </w:tr>
      <w:tr w:rsidR="00B83B39" w:rsidRPr="00D13BC1" w14:paraId="01B9F772" w14:textId="77777777" w:rsidTr="00F17AF2">
        <w:trPr>
          <w:trHeight w:val="225"/>
        </w:trPr>
        <w:tc>
          <w:tcPr>
            <w:tcW w:w="1985" w:type="dxa"/>
            <w:tcBorders>
              <w:right w:val="single" w:sz="4" w:space="0" w:color="auto"/>
            </w:tcBorders>
            <w:shd w:val="clear" w:color="auto" w:fill="auto"/>
            <w:noWrap/>
            <w:vAlign w:val="bottom"/>
            <w:hideMark/>
          </w:tcPr>
          <w:p w14:paraId="14813AB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3CB6A2A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(0.00431)</w:t>
            </w:r>
          </w:p>
        </w:tc>
        <w:tc>
          <w:tcPr>
            <w:tcW w:w="909" w:type="dxa"/>
            <w:shd w:val="clear" w:color="auto" w:fill="auto"/>
            <w:noWrap/>
            <w:vAlign w:val="bottom"/>
            <w:hideMark/>
          </w:tcPr>
          <w:p w14:paraId="458A932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(0.00693)</w:t>
            </w:r>
          </w:p>
        </w:tc>
        <w:tc>
          <w:tcPr>
            <w:tcW w:w="909" w:type="dxa"/>
            <w:shd w:val="clear" w:color="auto" w:fill="auto"/>
            <w:noWrap/>
            <w:vAlign w:val="bottom"/>
            <w:hideMark/>
          </w:tcPr>
          <w:p w14:paraId="703CC2C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(0.01080)</w:t>
            </w:r>
          </w:p>
        </w:tc>
        <w:tc>
          <w:tcPr>
            <w:tcW w:w="895" w:type="dxa"/>
            <w:tcBorders>
              <w:right w:val="single" w:sz="4" w:space="0" w:color="auto"/>
            </w:tcBorders>
            <w:vAlign w:val="center"/>
          </w:tcPr>
          <w:p w14:paraId="6609CE58"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213DF5B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(0.00390)</w:t>
            </w:r>
          </w:p>
        </w:tc>
        <w:tc>
          <w:tcPr>
            <w:tcW w:w="917" w:type="dxa"/>
            <w:shd w:val="clear" w:color="auto" w:fill="auto"/>
            <w:noWrap/>
            <w:vAlign w:val="center"/>
            <w:hideMark/>
          </w:tcPr>
          <w:p w14:paraId="6107341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(0.00664)</w:t>
            </w:r>
          </w:p>
        </w:tc>
        <w:tc>
          <w:tcPr>
            <w:tcW w:w="1079" w:type="dxa"/>
            <w:gridSpan w:val="2"/>
            <w:shd w:val="clear" w:color="auto" w:fill="auto"/>
            <w:noWrap/>
            <w:vAlign w:val="center"/>
            <w:hideMark/>
          </w:tcPr>
          <w:p w14:paraId="6C66E17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(0.01010)</w:t>
            </w:r>
          </w:p>
        </w:tc>
        <w:tc>
          <w:tcPr>
            <w:tcW w:w="895" w:type="dxa"/>
            <w:vAlign w:val="center"/>
          </w:tcPr>
          <w:p w14:paraId="41E4CDDA"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6C928E1F" w14:textId="77777777" w:rsidTr="00F17AF2">
        <w:trPr>
          <w:trHeight w:val="225"/>
        </w:trPr>
        <w:tc>
          <w:tcPr>
            <w:tcW w:w="1985" w:type="dxa"/>
            <w:tcBorders>
              <w:right w:val="single" w:sz="4" w:space="0" w:color="auto"/>
            </w:tcBorders>
            <w:shd w:val="clear" w:color="auto" w:fill="auto"/>
            <w:vAlign w:val="center"/>
            <w:hideMark/>
          </w:tcPr>
          <w:p w14:paraId="56567C5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Others</w:t>
            </w:r>
          </w:p>
        </w:tc>
        <w:tc>
          <w:tcPr>
            <w:tcW w:w="992" w:type="dxa"/>
            <w:tcBorders>
              <w:left w:val="single" w:sz="4" w:space="0" w:color="auto"/>
            </w:tcBorders>
            <w:shd w:val="clear" w:color="auto" w:fill="auto"/>
            <w:noWrap/>
            <w:vAlign w:val="bottom"/>
            <w:hideMark/>
          </w:tcPr>
          <w:p w14:paraId="4EEC409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0.0264**</w:t>
            </w:r>
          </w:p>
        </w:tc>
        <w:tc>
          <w:tcPr>
            <w:tcW w:w="909" w:type="dxa"/>
            <w:shd w:val="clear" w:color="auto" w:fill="auto"/>
            <w:noWrap/>
            <w:vAlign w:val="bottom"/>
            <w:hideMark/>
          </w:tcPr>
          <w:p w14:paraId="5875BEE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0.0294***</w:t>
            </w:r>
          </w:p>
        </w:tc>
        <w:tc>
          <w:tcPr>
            <w:tcW w:w="909" w:type="dxa"/>
            <w:shd w:val="clear" w:color="auto" w:fill="auto"/>
            <w:noWrap/>
            <w:vAlign w:val="bottom"/>
            <w:hideMark/>
          </w:tcPr>
          <w:p w14:paraId="382AC2D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-0.0558***</w:t>
            </w:r>
          </w:p>
        </w:tc>
        <w:tc>
          <w:tcPr>
            <w:tcW w:w="895" w:type="dxa"/>
            <w:tcBorders>
              <w:right w:val="single" w:sz="4" w:space="0" w:color="auto"/>
            </w:tcBorders>
            <w:vAlign w:val="center"/>
          </w:tcPr>
          <w:p w14:paraId="5B82BC01"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-0.0822</w:t>
            </w:r>
          </w:p>
        </w:tc>
        <w:tc>
          <w:tcPr>
            <w:tcW w:w="992" w:type="dxa"/>
            <w:tcBorders>
              <w:left w:val="single" w:sz="4" w:space="0" w:color="auto"/>
            </w:tcBorders>
            <w:shd w:val="clear" w:color="auto" w:fill="auto"/>
            <w:noWrap/>
            <w:vAlign w:val="center"/>
            <w:hideMark/>
          </w:tcPr>
          <w:p w14:paraId="417347C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-0.0196***</w:t>
            </w:r>
          </w:p>
        </w:tc>
        <w:tc>
          <w:tcPr>
            <w:tcW w:w="917" w:type="dxa"/>
            <w:shd w:val="clear" w:color="auto" w:fill="auto"/>
            <w:noWrap/>
            <w:vAlign w:val="center"/>
            <w:hideMark/>
          </w:tcPr>
          <w:p w14:paraId="7E95A03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-0.0489***</w:t>
            </w:r>
          </w:p>
        </w:tc>
        <w:tc>
          <w:tcPr>
            <w:tcW w:w="1079" w:type="dxa"/>
            <w:gridSpan w:val="2"/>
            <w:shd w:val="clear" w:color="auto" w:fill="auto"/>
            <w:noWrap/>
            <w:vAlign w:val="center"/>
            <w:hideMark/>
          </w:tcPr>
          <w:p w14:paraId="4D2F5E2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0.0684***</w:t>
            </w:r>
          </w:p>
        </w:tc>
        <w:tc>
          <w:tcPr>
            <w:tcW w:w="895" w:type="dxa"/>
            <w:vAlign w:val="center"/>
          </w:tcPr>
          <w:p w14:paraId="2D3BDCCE"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0.0879</w:t>
            </w:r>
          </w:p>
        </w:tc>
      </w:tr>
      <w:tr w:rsidR="00B83B39" w:rsidRPr="00D13BC1" w14:paraId="52348EB9" w14:textId="77777777" w:rsidTr="00F17AF2">
        <w:trPr>
          <w:trHeight w:val="225"/>
        </w:trPr>
        <w:tc>
          <w:tcPr>
            <w:tcW w:w="1985" w:type="dxa"/>
            <w:tcBorders>
              <w:right w:val="single" w:sz="4" w:space="0" w:color="auto"/>
            </w:tcBorders>
            <w:shd w:val="clear" w:color="auto" w:fill="auto"/>
            <w:noWrap/>
            <w:vAlign w:val="bottom"/>
            <w:hideMark/>
          </w:tcPr>
          <w:p w14:paraId="4D63197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6DD410B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(0.01110)</w:t>
            </w:r>
          </w:p>
        </w:tc>
        <w:tc>
          <w:tcPr>
            <w:tcW w:w="909" w:type="dxa"/>
            <w:shd w:val="clear" w:color="auto" w:fill="auto"/>
            <w:noWrap/>
            <w:vAlign w:val="bottom"/>
            <w:hideMark/>
          </w:tcPr>
          <w:p w14:paraId="7B912DD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(0.01120)</w:t>
            </w:r>
          </w:p>
        </w:tc>
        <w:tc>
          <w:tcPr>
            <w:tcW w:w="909" w:type="dxa"/>
            <w:shd w:val="clear" w:color="auto" w:fill="auto"/>
            <w:noWrap/>
            <w:vAlign w:val="bottom"/>
            <w:hideMark/>
          </w:tcPr>
          <w:p w14:paraId="0B978AC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(0.02090)</w:t>
            </w:r>
          </w:p>
        </w:tc>
        <w:tc>
          <w:tcPr>
            <w:tcW w:w="895" w:type="dxa"/>
            <w:tcBorders>
              <w:right w:val="single" w:sz="4" w:space="0" w:color="auto"/>
            </w:tcBorders>
            <w:vAlign w:val="center"/>
          </w:tcPr>
          <w:p w14:paraId="4FB31A9A"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251075E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(0.00601)</w:t>
            </w:r>
          </w:p>
        </w:tc>
        <w:tc>
          <w:tcPr>
            <w:tcW w:w="917" w:type="dxa"/>
            <w:shd w:val="clear" w:color="auto" w:fill="auto"/>
            <w:noWrap/>
            <w:vAlign w:val="center"/>
            <w:hideMark/>
          </w:tcPr>
          <w:p w14:paraId="03876D8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(0.01560)</w:t>
            </w:r>
          </w:p>
        </w:tc>
        <w:tc>
          <w:tcPr>
            <w:tcW w:w="1079" w:type="dxa"/>
            <w:gridSpan w:val="2"/>
            <w:shd w:val="clear" w:color="auto" w:fill="auto"/>
            <w:noWrap/>
            <w:vAlign w:val="center"/>
            <w:hideMark/>
          </w:tcPr>
          <w:p w14:paraId="7D822C6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(0.02080)</w:t>
            </w:r>
          </w:p>
        </w:tc>
        <w:tc>
          <w:tcPr>
            <w:tcW w:w="895" w:type="dxa"/>
            <w:vAlign w:val="center"/>
          </w:tcPr>
          <w:p w14:paraId="05EF8E59"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7A170E7C" w14:textId="77777777" w:rsidTr="00F17AF2">
        <w:trPr>
          <w:trHeight w:val="225"/>
        </w:trPr>
        <w:tc>
          <w:tcPr>
            <w:tcW w:w="1985" w:type="dxa"/>
            <w:tcBorders>
              <w:right w:val="single" w:sz="4" w:space="0" w:color="auto"/>
            </w:tcBorders>
            <w:shd w:val="clear" w:color="auto" w:fill="auto"/>
            <w:vAlign w:val="center"/>
            <w:hideMark/>
          </w:tcPr>
          <w:p w14:paraId="4554375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Household remittance</w:t>
            </w:r>
          </w:p>
        </w:tc>
        <w:tc>
          <w:tcPr>
            <w:tcW w:w="992" w:type="dxa"/>
            <w:tcBorders>
              <w:left w:val="single" w:sz="4" w:space="0" w:color="auto"/>
            </w:tcBorders>
            <w:shd w:val="clear" w:color="auto" w:fill="auto"/>
            <w:noWrap/>
            <w:vAlign w:val="bottom"/>
            <w:hideMark/>
          </w:tcPr>
          <w:p w14:paraId="4ADC8A5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09B3A46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4BB73F9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500E54F9"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0DEB03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0A1C27E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753443B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7116285B"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759B0147" w14:textId="77777777" w:rsidTr="00F17AF2">
        <w:trPr>
          <w:trHeight w:val="225"/>
        </w:trPr>
        <w:tc>
          <w:tcPr>
            <w:tcW w:w="1985" w:type="dxa"/>
            <w:tcBorders>
              <w:right w:val="single" w:sz="4" w:space="0" w:color="auto"/>
            </w:tcBorders>
            <w:shd w:val="clear" w:color="auto" w:fill="auto"/>
            <w:noWrap/>
            <w:vAlign w:val="center"/>
            <w:hideMark/>
          </w:tcPr>
          <w:p w14:paraId="6193ACB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lastRenderedPageBreak/>
              <w:t xml:space="preserve">  Yes</w:t>
            </w:r>
          </w:p>
        </w:tc>
        <w:tc>
          <w:tcPr>
            <w:tcW w:w="992" w:type="dxa"/>
            <w:tcBorders>
              <w:left w:val="single" w:sz="4" w:space="0" w:color="auto"/>
            </w:tcBorders>
            <w:shd w:val="clear" w:color="auto" w:fill="auto"/>
            <w:noWrap/>
            <w:vAlign w:val="bottom"/>
            <w:hideMark/>
          </w:tcPr>
          <w:p w14:paraId="7957056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-0.0198***</w:t>
            </w:r>
          </w:p>
        </w:tc>
        <w:tc>
          <w:tcPr>
            <w:tcW w:w="909" w:type="dxa"/>
            <w:shd w:val="clear" w:color="auto" w:fill="auto"/>
            <w:noWrap/>
            <w:vAlign w:val="bottom"/>
            <w:hideMark/>
          </w:tcPr>
          <w:p w14:paraId="1A7767C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-0.0277***</w:t>
            </w:r>
          </w:p>
        </w:tc>
        <w:tc>
          <w:tcPr>
            <w:tcW w:w="909" w:type="dxa"/>
            <w:shd w:val="clear" w:color="auto" w:fill="auto"/>
            <w:noWrap/>
            <w:vAlign w:val="bottom"/>
            <w:hideMark/>
          </w:tcPr>
          <w:p w14:paraId="71D641F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0.0475***</w:t>
            </w:r>
          </w:p>
        </w:tc>
        <w:tc>
          <w:tcPr>
            <w:tcW w:w="895" w:type="dxa"/>
            <w:tcBorders>
              <w:right w:val="single" w:sz="4" w:space="0" w:color="auto"/>
            </w:tcBorders>
            <w:vAlign w:val="center"/>
          </w:tcPr>
          <w:p w14:paraId="43ACC146"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0.0673</w:t>
            </w:r>
          </w:p>
        </w:tc>
        <w:tc>
          <w:tcPr>
            <w:tcW w:w="992" w:type="dxa"/>
            <w:tcBorders>
              <w:left w:val="single" w:sz="4" w:space="0" w:color="auto"/>
            </w:tcBorders>
            <w:shd w:val="clear" w:color="auto" w:fill="auto"/>
            <w:noWrap/>
            <w:vAlign w:val="center"/>
            <w:hideMark/>
          </w:tcPr>
          <w:p w14:paraId="557F64A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0.00768**</w:t>
            </w:r>
          </w:p>
        </w:tc>
        <w:tc>
          <w:tcPr>
            <w:tcW w:w="917" w:type="dxa"/>
            <w:shd w:val="clear" w:color="auto" w:fill="auto"/>
            <w:noWrap/>
            <w:vAlign w:val="center"/>
            <w:hideMark/>
          </w:tcPr>
          <w:p w14:paraId="134667A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0.0149**</w:t>
            </w:r>
          </w:p>
        </w:tc>
        <w:tc>
          <w:tcPr>
            <w:tcW w:w="1079" w:type="dxa"/>
            <w:gridSpan w:val="2"/>
            <w:shd w:val="clear" w:color="auto" w:fill="auto"/>
            <w:noWrap/>
            <w:vAlign w:val="center"/>
            <w:hideMark/>
          </w:tcPr>
          <w:p w14:paraId="0F02BEC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-0.0226**</w:t>
            </w:r>
          </w:p>
        </w:tc>
        <w:tc>
          <w:tcPr>
            <w:tcW w:w="895" w:type="dxa"/>
            <w:vAlign w:val="center"/>
          </w:tcPr>
          <w:p w14:paraId="775E3EC5"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-0.0303</w:t>
            </w:r>
          </w:p>
        </w:tc>
      </w:tr>
      <w:tr w:rsidR="00B83B39" w:rsidRPr="00D13BC1" w14:paraId="57ACA35C" w14:textId="77777777" w:rsidTr="00F17AF2">
        <w:trPr>
          <w:trHeight w:val="225"/>
        </w:trPr>
        <w:tc>
          <w:tcPr>
            <w:tcW w:w="1985" w:type="dxa"/>
            <w:tcBorders>
              <w:bottom w:val="single" w:sz="4" w:space="0" w:color="auto"/>
              <w:right w:val="single" w:sz="4" w:space="0" w:color="auto"/>
            </w:tcBorders>
            <w:shd w:val="clear" w:color="auto" w:fill="auto"/>
            <w:vAlign w:val="bottom"/>
            <w:hideMark/>
          </w:tcPr>
          <w:p w14:paraId="568CE86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bottom w:val="single" w:sz="4" w:space="0" w:color="auto"/>
            </w:tcBorders>
            <w:shd w:val="clear" w:color="auto" w:fill="auto"/>
            <w:noWrap/>
            <w:vAlign w:val="bottom"/>
            <w:hideMark/>
          </w:tcPr>
          <w:p w14:paraId="76BD32C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(0.00474)</w:t>
            </w:r>
          </w:p>
        </w:tc>
        <w:tc>
          <w:tcPr>
            <w:tcW w:w="909" w:type="dxa"/>
            <w:tcBorders>
              <w:bottom w:val="single" w:sz="4" w:space="0" w:color="auto"/>
            </w:tcBorders>
            <w:shd w:val="clear" w:color="auto" w:fill="auto"/>
            <w:noWrap/>
            <w:vAlign w:val="bottom"/>
            <w:hideMark/>
          </w:tcPr>
          <w:p w14:paraId="5352CBD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(0.00758)</w:t>
            </w:r>
          </w:p>
        </w:tc>
        <w:tc>
          <w:tcPr>
            <w:tcW w:w="909" w:type="dxa"/>
            <w:tcBorders>
              <w:bottom w:val="single" w:sz="4" w:space="0" w:color="auto"/>
            </w:tcBorders>
            <w:shd w:val="clear" w:color="auto" w:fill="auto"/>
            <w:noWrap/>
            <w:vAlign w:val="bottom"/>
            <w:hideMark/>
          </w:tcPr>
          <w:p w14:paraId="2A62201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(0.01090)</w:t>
            </w:r>
          </w:p>
        </w:tc>
        <w:tc>
          <w:tcPr>
            <w:tcW w:w="895" w:type="dxa"/>
            <w:tcBorders>
              <w:bottom w:val="single" w:sz="4" w:space="0" w:color="auto"/>
              <w:right w:val="single" w:sz="4" w:space="0" w:color="auto"/>
            </w:tcBorders>
            <w:vAlign w:val="center"/>
          </w:tcPr>
          <w:p w14:paraId="1176D6CC"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bottom w:val="single" w:sz="4" w:space="0" w:color="auto"/>
            </w:tcBorders>
            <w:shd w:val="clear" w:color="auto" w:fill="auto"/>
            <w:noWrap/>
            <w:vAlign w:val="center"/>
            <w:hideMark/>
          </w:tcPr>
          <w:p w14:paraId="171B16E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(0.00372)</w:t>
            </w:r>
          </w:p>
        </w:tc>
        <w:tc>
          <w:tcPr>
            <w:tcW w:w="917" w:type="dxa"/>
            <w:tcBorders>
              <w:bottom w:val="single" w:sz="4" w:space="0" w:color="auto"/>
            </w:tcBorders>
            <w:shd w:val="clear" w:color="auto" w:fill="auto"/>
            <w:noWrap/>
            <w:vAlign w:val="center"/>
            <w:hideMark/>
          </w:tcPr>
          <w:p w14:paraId="054B01C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(0.00663)</w:t>
            </w:r>
          </w:p>
        </w:tc>
        <w:tc>
          <w:tcPr>
            <w:tcW w:w="1079" w:type="dxa"/>
            <w:gridSpan w:val="2"/>
            <w:tcBorders>
              <w:bottom w:val="single" w:sz="4" w:space="0" w:color="auto"/>
            </w:tcBorders>
            <w:shd w:val="clear" w:color="auto" w:fill="auto"/>
            <w:noWrap/>
            <w:vAlign w:val="center"/>
            <w:hideMark/>
          </w:tcPr>
          <w:p w14:paraId="2990D37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(0.01010)</w:t>
            </w:r>
          </w:p>
        </w:tc>
        <w:tc>
          <w:tcPr>
            <w:tcW w:w="895" w:type="dxa"/>
            <w:tcBorders>
              <w:bottom w:val="single" w:sz="4" w:space="0" w:color="auto"/>
            </w:tcBorders>
            <w:vAlign w:val="center"/>
          </w:tcPr>
          <w:p w14:paraId="340C51D8"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57EED8F2" w14:textId="77777777" w:rsidTr="00F17AF2">
        <w:trPr>
          <w:trHeight w:val="225"/>
        </w:trPr>
        <w:tc>
          <w:tcPr>
            <w:tcW w:w="5690" w:type="dxa"/>
            <w:gridSpan w:val="5"/>
            <w:tcBorders>
              <w:top w:val="single" w:sz="4" w:space="0" w:color="auto"/>
              <w:bottom w:val="single" w:sz="4" w:space="0" w:color="auto"/>
              <w:right w:val="single" w:sz="4" w:space="0" w:color="auto"/>
            </w:tcBorders>
            <w:shd w:val="clear" w:color="auto" w:fill="auto"/>
            <w:noWrap/>
            <w:vAlign w:val="center"/>
          </w:tcPr>
          <w:p w14:paraId="1503DCBD" w14:textId="77777777" w:rsidR="00B83B39" w:rsidRPr="009B592E" w:rsidRDefault="00B83B39" w:rsidP="00B83B39">
            <w:pPr>
              <w:adjustRightInd w:val="0"/>
              <w:snapToGrid w:val="0"/>
              <w:spacing w:after="0" w:line="240" w:lineRule="auto"/>
              <w:rPr>
                <w:rFonts w:ascii="Arial Narrow" w:hAnsi="Arial Narrow" w:cs="Arial"/>
                <w:b/>
                <w:sz w:val="16"/>
                <w:szCs w:val="16"/>
              </w:rPr>
            </w:pPr>
            <w:r w:rsidRPr="009B592E">
              <w:rPr>
                <w:rFonts w:ascii="Arial Narrow" w:hAnsi="Arial Narrow" w:cs="Arial"/>
                <w:b/>
                <w:i/>
                <w:sz w:val="16"/>
                <w:szCs w:val="16"/>
              </w:rPr>
              <w:t xml:space="preserve">     (2) Employment</w:t>
            </w:r>
            <w:r>
              <w:rPr>
                <w:rFonts w:ascii="Arial Narrow" w:hAnsi="Arial Narrow" w:cs="Arial"/>
                <w:b/>
                <w:i/>
                <w:sz w:val="16"/>
                <w:szCs w:val="16"/>
              </w:rPr>
              <w:t xml:space="preserve"> (2005)</w:t>
            </w:r>
          </w:p>
        </w:tc>
        <w:tc>
          <w:tcPr>
            <w:tcW w:w="992" w:type="dxa"/>
            <w:tcBorders>
              <w:top w:val="single" w:sz="4" w:space="0" w:color="auto"/>
              <w:left w:val="single" w:sz="4" w:space="0" w:color="auto"/>
              <w:bottom w:val="single" w:sz="4" w:space="0" w:color="auto"/>
            </w:tcBorders>
            <w:shd w:val="clear" w:color="auto" w:fill="auto"/>
            <w:noWrap/>
            <w:vAlign w:val="center"/>
          </w:tcPr>
          <w:p w14:paraId="5037E9BE"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tcBorders>
              <w:top w:val="single" w:sz="4" w:space="0" w:color="auto"/>
              <w:bottom w:val="single" w:sz="4" w:space="0" w:color="auto"/>
            </w:tcBorders>
            <w:shd w:val="clear" w:color="auto" w:fill="auto"/>
            <w:noWrap/>
            <w:vAlign w:val="center"/>
          </w:tcPr>
          <w:p w14:paraId="0C0F08E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tcBorders>
              <w:top w:val="single" w:sz="4" w:space="0" w:color="auto"/>
              <w:bottom w:val="single" w:sz="4" w:space="0" w:color="auto"/>
            </w:tcBorders>
            <w:shd w:val="clear" w:color="auto" w:fill="auto"/>
            <w:noWrap/>
            <w:vAlign w:val="center"/>
          </w:tcPr>
          <w:p w14:paraId="37D42D9A"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bottom w:val="single" w:sz="4" w:space="0" w:color="auto"/>
            </w:tcBorders>
            <w:vAlign w:val="center"/>
          </w:tcPr>
          <w:p w14:paraId="61E63792" w14:textId="77777777" w:rsidR="00B83B39" w:rsidRPr="001356C3" w:rsidRDefault="00B83B39" w:rsidP="00B83B39">
            <w:pPr>
              <w:adjustRightInd w:val="0"/>
              <w:snapToGrid w:val="0"/>
              <w:spacing w:after="0" w:line="240" w:lineRule="auto"/>
              <w:rPr>
                <w:rFonts w:ascii="Arial Narrow" w:hAnsi="Arial Narrow" w:cs="Arial"/>
                <w:b/>
                <w:sz w:val="16"/>
                <w:szCs w:val="16"/>
              </w:rPr>
            </w:pPr>
          </w:p>
        </w:tc>
      </w:tr>
      <w:tr w:rsidR="00B83B39" w:rsidRPr="00D13BC1" w14:paraId="120E05A2" w14:textId="77777777" w:rsidTr="00F17AF2">
        <w:trPr>
          <w:trHeight w:val="225"/>
        </w:trPr>
        <w:tc>
          <w:tcPr>
            <w:tcW w:w="1985" w:type="dxa"/>
            <w:tcBorders>
              <w:top w:val="single" w:sz="4" w:space="0" w:color="auto"/>
              <w:right w:val="single" w:sz="4" w:space="0" w:color="auto"/>
            </w:tcBorders>
            <w:shd w:val="clear" w:color="auto" w:fill="auto"/>
            <w:noWrap/>
            <w:vAlign w:val="center"/>
            <w:hideMark/>
          </w:tcPr>
          <w:p w14:paraId="01058DE4"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Any Work</w:t>
            </w:r>
          </w:p>
        </w:tc>
        <w:tc>
          <w:tcPr>
            <w:tcW w:w="992" w:type="dxa"/>
            <w:tcBorders>
              <w:top w:val="single" w:sz="4" w:space="0" w:color="auto"/>
              <w:left w:val="single" w:sz="4" w:space="0" w:color="auto"/>
            </w:tcBorders>
            <w:shd w:val="clear" w:color="auto" w:fill="auto"/>
            <w:noWrap/>
            <w:vAlign w:val="center"/>
            <w:hideMark/>
          </w:tcPr>
          <w:p w14:paraId="4D210C5D"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909" w:type="dxa"/>
            <w:tcBorders>
              <w:top w:val="single" w:sz="4" w:space="0" w:color="auto"/>
            </w:tcBorders>
            <w:shd w:val="clear" w:color="auto" w:fill="auto"/>
            <w:noWrap/>
            <w:vAlign w:val="center"/>
            <w:hideMark/>
          </w:tcPr>
          <w:p w14:paraId="07E42FE5"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909" w:type="dxa"/>
            <w:tcBorders>
              <w:top w:val="single" w:sz="4" w:space="0" w:color="auto"/>
            </w:tcBorders>
            <w:shd w:val="clear" w:color="auto" w:fill="auto"/>
            <w:noWrap/>
            <w:vAlign w:val="center"/>
            <w:hideMark/>
          </w:tcPr>
          <w:p w14:paraId="580E168B"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895" w:type="dxa"/>
            <w:tcBorders>
              <w:top w:val="single" w:sz="4" w:space="0" w:color="auto"/>
              <w:right w:val="single" w:sz="4" w:space="0" w:color="auto"/>
            </w:tcBorders>
            <w:vAlign w:val="center"/>
          </w:tcPr>
          <w:p w14:paraId="2F83AEBC" w14:textId="77777777" w:rsidR="00B83B39" w:rsidRPr="008C7298" w:rsidRDefault="00B83B39" w:rsidP="00B83B39">
            <w:pPr>
              <w:adjustRightInd w:val="0"/>
              <w:snapToGrid w:val="0"/>
              <w:spacing w:after="0" w:line="240" w:lineRule="auto"/>
              <w:rPr>
                <w:rFonts w:ascii="Arial Narrow" w:hAnsi="Arial Narrow" w:cs="Arial"/>
                <w:b/>
                <w:i/>
                <w:sz w:val="16"/>
                <w:szCs w:val="16"/>
              </w:rPr>
            </w:pPr>
          </w:p>
        </w:tc>
        <w:tc>
          <w:tcPr>
            <w:tcW w:w="992" w:type="dxa"/>
            <w:tcBorders>
              <w:top w:val="single" w:sz="4" w:space="0" w:color="auto"/>
              <w:left w:val="single" w:sz="4" w:space="0" w:color="auto"/>
            </w:tcBorders>
            <w:shd w:val="clear" w:color="auto" w:fill="auto"/>
            <w:noWrap/>
            <w:vAlign w:val="center"/>
            <w:hideMark/>
          </w:tcPr>
          <w:p w14:paraId="69D32CC6"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917" w:type="dxa"/>
            <w:tcBorders>
              <w:top w:val="single" w:sz="4" w:space="0" w:color="auto"/>
            </w:tcBorders>
            <w:shd w:val="clear" w:color="auto" w:fill="auto"/>
            <w:noWrap/>
            <w:vAlign w:val="center"/>
            <w:hideMark/>
          </w:tcPr>
          <w:p w14:paraId="656996E6"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1079" w:type="dxa"/>
            <w:gridSpan w:val="2"/>
            <w:tcBorders>
              <w:top w:val="single" w:sz="4" w:space="0" w:color="auto"/>
            </w:tcBorders>
            <w:shd w:val="clear" w:color="auto" w:fill="auto"/>
            <w:noWrap/>
            <w:vAlign w:val="center"/>
            <w:hideMark/>
          </w:tcPr>
          <w:p w14:paraId="1ECECFC5"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895" w:type="dxa"/>
            <w:tcBorders>
              <w:top w:val="single" w:sz="4" w:space="0" w:color="auto"/>
            </w:tcBorders>
            <w:vAlign w:val="bottom"/>
          </w:tcPr>
          <w:p w14:paraId="7F0586B7" w14:textId="77777777" w:rsidR="00B83B39" w:rsidRPr="008C7298" w:rsidRDefault="00B83B39" w:rsidP="00B83B39">
            <w:pPr>
              <w:adjustRightInd w:val="0"/>
              <w:snapToGrid w:val="0"/>
              <w:spacing w:after="0" w:line="240" w:lineRule="auto"/>
              <w:rPr>
                <w:rFonts w:ascii="Arial Narrow" w:hAnsi="Arial Narrow" w:cs="Arial"/>
                <w:b/>
                <w:i/>
                <w:sz w:val="16"/>
                <w:szCs w:val="16"/>
              </w:rPr>
            </w:pPr>
          </w:p>
        </w:tc>
      </w:tr>
      <w:tr w:rsidR="00B83B39" w:rsidRPr="00D13BC1" w14:paraId="59033FEA" w14:textId="77777777" w:rsidTr="00F17AF2">
        <w:trPr>
          <w:trHeight w:val="225"/>
        </w:trPr>
        <w:tc>
          <w:tcPr>
            <w:tcW w:w="1985" w:type="dxa"/>
            <w:tcBorders>
              <w:right w:val="single" w:sz="4" w:space="0" w:color="auto"/>
            </w:tcBorders>
            <w:shd w:val="clear" w:color="auto" w:fill="auto"/>
            <w:vAlign w:val="center"/>
            <w:hideMark/>
          </w:tcPr>
          <w:p w14:paraId="3EFAC1BD"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&lt; 240Hrs</w:t>
            </w:r>
          </w:p>
        </w:tc>
        <w:tc>
          <w:tcPr>
            <w:tcW w:w="992" w:type="dxa"/>
            <w:tcBorders>
              <w:left w:val="single" w:sz="4" w:space="0" w:color="auto"/>
            </w:tcBorders>
            <w:shd w:val="clear" w:color="auto" w:fill="auto"/>
            <w:noWrap/>
            <w:vAlign w:val="bottom"/>
            <w:hideMark/>
          </w:tcPr>
          <w:p w14:paraId="34E737B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-0.00873**</w:t>
            </w:r>
          </w:p>
        </w:tc>
        <w:tc>
          <w:tcPr>
            <w:tcW w:w="909" w:type="dxa"/>
            <w:shd w:val="clear" w:color="auto" w:fill="auto"/>
            <w:noWrap/>
            <w:vAlign w:val="bottom"/>
            <w:hideMark/>
          </w:tcPr>
          <w:p w14:paraId="255243D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-0.0112**</w:t>
            </w:r>
          </w:p>
        </w:tc>
        <w:tc>
          <w:tcPr>
            <w:tcW w:w="909" w:type="dxa"/>
            <w:shd w:val="clear" w:color="auto" w:fill="auto"/>
            <w:noWrap/>
            <w:vAlign w:val="bottom"/>
            <w:hideMark/>
          </w:tcPr>
          <w:p w14:paraId="6000BA4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0.0199**</w:t>
            </w:r>
          </w:p>
        </w:tc>
        <w:tc>
          <w:tcPr>
            <w:tcW w:w="895" w:type="dxa"/>
            <w:tcBorders>
              <w:right w:val="single" w:sz="4" w:space="0" w:color="auto"/>
            </w:tcBorders>
            <w:vAlign w:val="center"/>
          </w:tcPr>
          <w:p w14:paraId="16F76B0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0.0286</w:t>
            </w:r>
          </w:p>
        </w:tc>
        <w:tc>
          <w:tcPr>
            <w:tcW w:w="992" w:type="dxa"/>
            <w:tcBorders>
              <w:left w:val="single" w:sz="4" w:space="0" w:color="auto"/>
            </w:tcBorders>
            <w:shd w:val="clear" w:color="auto" w:fill="auto"/>
            <w:noWrap/>
            <w:vAlign w:val="center"/>
            <w:hideMark/>
          </w:tcPr>
          <w:p w14:paraId="2CD26DB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-0.00656**</w:t>
            </w:r>
          </w:p>
        </w:tc>
        <w:tc>
          <w:tcPr>
            <w:tcW w:w="917" w:type="dxa"/>
            <w:shd w:val="clear" w:color="auto" w:fill="auto"/>
            <w:noWrap/>
            <w:vAlign w:val="center"/>
            <w:hideMark/>
          </w:tcPr>
          <w:p w14:paraId="1FC90FA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-0.0142**</w:t>
            </w:r>
          </w:p>
        </w:tc>
        <w:tc>
          <w:tcPr>
            <w:tcW w:w="1079" w:type="dxa"/>
            <w:gridSpan w:val="2"/>
            <w:shd w:val="clear" w:color="auto" w:fill="auto"/>
            <w:noWrap/>
            <w:vAlign w:val="center"/>
            <w:hideMark/>
          </w:tcPr>
          <w:p w14:paraId="7F6B512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0.0208**</w:t>
            </w:r>
          </w:p>
        </w:tc>
        <w:tc>
          <w:tcPr>
            <w:tcW w:w="895" w:type="dxa"/>
            <w:vAlign w:val="center"/>
          </w:tcPr>
          <w:p w14:paraId="53149E2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0.0274</w:t>
            </w:r>
          </w:p>
        </w:tc>
      </w:tr>
      <w:tr w:rsidR="00B83B39" w:rsidRPr="00D13BC1" w14:paraId="2484D83D" w14:textId="77777777" w:rsidTr="00F17AF2">
        <w:trPr>
          <w:trHeight w:val="225"/>
        </w:trPr>
        <w:tc>
          <w:tcPr>
            <w:tcW w:w="1985" w:type="dxa"/>
            <w:tcBorders>
              <w:right w:val="single" w:sz="4" w:space="0" w:color="auto"/>
            </w:tcBorders>
            <w:shd w:val="clear" w:color="auto" w:fill="auto"/>
            <w:vAlign w:val="bottom"/>
            <w:hideMark/>
          </w:tcPr>
          <w:p w14:paraId="6CB7CB5F"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tcBorders>
            <w:shd w:val="clear" w:color="auto" w:fill="auto"/>
            <w:noWrap/>
            <w:vAlign w:val="bottom"/>
            <w:hideMark/>
          </w:tcPr>
          <w:p w14:paraId="6201F3C5"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(0.00399)</w:t>
            </w:r>
          </w:p>
        </w:tc>
        <w:tc>
          <w:tcPr>
            <w:tcW w:w="909" w:type="dxa"/>
            <w:shd w:val="clear" w:color="auto" w:fill="auto"/>
            <w:noWrap/>
            <w:vAlign w:val="bottom"/>
            <w:hideMark/>
          </w:tcPr>
          <w:p w14:paraId="7FF1BAEF"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(0.00567)</w:t>
            </w:r>
          </w:p>
        </w:tc>
        <w:tc>
          <w:tcPr>
            <w:tcW w:w="909" w:type="dxa"/>
            <w:shd w:val="clear" w:color="auto" w:fill="auto"/>
            <w:noWrap/>
            <w:vAlign w:val="bottom"/>
            <w:hideMark/>
          </w:tcPr>
          <w:p w14:paraId="779D5204"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(0.00933)</w:t>
            </w:r>
          </w:p>
        </w:tc>
        <w:tc>
          <w:tcPr>
            <w:tcW w:w="895" w:type="dxa"/>
            <w:tcBorders>
              <w:right w:val="single" w:sz="4" w:space="0" w:color="auto"/>
            </w:tcBorders>
            <w:vAlign w:val="center"/>
          </w:tcPr>
          <w:p w14:paraId="69605292" w14:textId="77777777" w:rsidR="00B83B39" w:rsidRPr="008C7298" w:rsidRDefault="00B83B39" w:rsidP="00B83B39">
            <w:pPr>
              <w:adjustRightInd w:val="0"/>
              <w:snapToGrid w:val="0"/>
              <w:spacing w:after="0" w:line="240" w:lineRule="auto"/>
              <w:rPr>
                <w:rFonts w:ascii="Arial Narrow" w:hAnsi="Arial Narrow" w:cs="Arial"/>
                <w:b/>
                <w:i/>
                <w:sz w:val="16"/>
                <w:szCs w:val="16"/>
              </w:rPr>
            </w:pPr>
          </w:p>
        </w:tc>
        <w:tc>
          <w:tcPr>
            <w:tcW w:w="992" w:type="dxa"/>
            <w:tcBorders>
              <w:left w:val="single" w:sz="4" w:space="0" w:color="auto"/>
            </w:tcBorders>
            <w:shd w:val="clear" w:color="auto" w:fill="auto"/>
            <w:noWrap/>
            <w:vAlign w:val="center"/>
            <w:hideMark/>
          </w:tcPr>
          <w:p w14:paraId="2F4C9344"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(0.00281)</w:t>
            </w:r>
          </w:p>
        </w:tc>
        <w:tc>
          <w:tcPr>
            <w:tcW w:w="917" w:type="dxa"/>
            <w:shd w:val="clear" w:color="auto" w:fill="auto"/>
            <w:noWrap/>
            <w:vAlign w:val="center"/>
            <w:hideMark/>
          </w:tcPr>
          <w:p w14:paraId="27BA6495"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(0.00648)</w:t>
            </w:r>
          </w:p>
        </w:tc>
        <w:tc>
          <w:tcPr>
            <w:tcW w:w="1079" w:type="dxa"/>
            <w:gridSpan w:val="2"/>
            <w:shd w:val="clear" w:color="auto" w:fill="auto"/>
            <w:noWrap/>
            <w:vAlign w:val="center"/>
            <w:hideMark/>
          </w:tcPr>
          <w:p w14:paraId="34B1698B"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(0.00907)</w:t>
            </w:r>
          </w:p>
        </w:tc>
        <w:tc>
          <w:tcPr>
            <w:tcW w:w="895" w:type="dxa"/>
            <w:vAlign w:val="center"/>
          </w:tcPr>
          <w:p w14:paraId="152AC2EE" w14:textId="77777777" w:rsidR="00B83B39" w:rsidRPr="008C7298" w:rsidRDefault="00B83B39" w:rsidP="00B83B39">
            <w:pPr>
              <w:adjustRightInd w:val="0"/>
              <w:snapToGrid w:val="0"/>
              <w:spacing w:after="0" w:line="240" w:lineRule="auto"/>
              <w:rPr>
                <w:rFonts w:ascii="Arial Narrow" w:hAnsi="Arial Narrow" w:cs="Arial"/>
                <w:b/>
                <w:i/>
                <w:sz w:val="16"/>
                <w:szCs w:val="16"/>
              </w:rPr>
            </w:pPr>
          </w:p>
        </w:tc>
      </w:tr>
      <w:tr w:rsidR="00B83B39" w:rsidRPr="00D13BC1" w14:paraId="60AA9EE8" w14:textId="77777777" w:rsidTr="00F17AF2">
        <w:trPr>
          <w:trHeight w:val="225"/>
        </w:trPr>
        <w:tc>
          <w:tcPr>
            <w:tcW w:w="1985" w:type="dxa"/>
            <w:tcBorders>
              <w:right w:val="single" w:sz="4" w:space="0" w:color="auto"/>
            </w:tcBorders>
            <w:shd w:val="clear" w:color="auto" w:fill="auto"/>
            <w:noWrap/>
            <w:vAlign w:val="center"/>
            <w:hideMark/>
          </w:tcPr>
          <w:p w14:paraId="1768635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Number of Working Adults (20-50) males in HH</w:t>
            </w:r>
          </w:p>
        </w:tc>
        <w:tc>
          <w:tcPr>
            <w:tcW w:w="992" w:type="dxa"/>
            <w:tcBorders>
              <w:left w:val="single" w:sz="4" w:space="0" w:color="auto"/>
            </w:tcBorders>
            <w:shd w:val="clear" w:color="auto" w:fill="auto"/>
            <w:noWrap/>
            <w:vAlign w:val="bottom"/>
            <w:hideMark/>
          </w:tcPr>
          <w:p w14:paraId="1AB7EFE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1D7A341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742D871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11A529D2"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08421F7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6BBD678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5C397D5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248A173F"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6B202E90" w14:textId="77777777" w:rsidTr="00F17AF2">
        <w:trPr>
          <w:trHeight w:val="225"/>
        </w:trPr>
        <w:tc>
          <w:tcPr>
            <w:tcW w:w="1985" w:type="dxa"/>
            <w:tcBorders>
              <w:right w:val="single" w:sz="4" w:space="0" w:color="auto"/>
            </w:tcBorders>
            <w:shd w:val="clear" w:color="auto" w:fill="auto"/>
            <w:vAlign w:val="center"/>
            <w:hideMark/>
          </w:tcPr>
          <w:p w14:paraId="0C9F0E0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0</w:t>
            </w:r>
          </w:p>
        </w:tc>
        <w:tc>
          <w:tcPr>
            <w:tcW w:w="992" w:type="dxa"/>
            <w:tcBorders>
              <w:left w:val="single" w:sz="4" w:space="0" w:color="auto"/>
            </w:tcBorders>
            <w:shd w:val="clear" w:color="auto" w:fill="auto"/>
            <w:noWrap/>
            <w:vAlign w:val="bottom"/>
            <w:hideMark/>
          </w:tcPr>
          <w:p w14:paraId="4CE959D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0.0286***</w:t>
            </w:r>
          </w:p>
        </w:tc>
        <w:tc>
          <w:tcPr>
            <w:tcW w:w="909" w:type="dxa"/>
            <w:shd w:val="clear" w:color="auto" w:fill="auto"/>
            <w:noWrap/>
            <w:vAlign w:val="bottom"/>
            <w:hideMark/>
          </w:tcPr>
          <w:p w14:paraId="2F2945C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0.0305***</w:t>
            </w:r>
          </w:p>
        </w:tc>
        <w:tc>
          <w:tcPr>
            <w:tcW w:w="909" w:type="dxa"/>
            <w:shd w:val="clear" w:color="auto" w:fill="auto"/>
            <w:noWrap/>
            <w:vAlign w:val="bottom"/>
            <w:hideMark/>
          </w:tcPr>
          <w:p w14:paraId="5D66E2F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-0.0591***</w:t>
            </w:r>
          </w:p>
        </w:tc>
        <w:tc>
          <w:tcPr>
            <w:tcW w:w="895" w:type="dxa"/>
            <w:tcBorders>
              <w:right w:val="single" w:sz="4" w:space="0" w:color="auto"/>
            </w:tcBorders>
            <w:vAlign w:val="center"/>
          </w:tcPr>
          <w:p w14:paraId="4F1E31B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-0.0877</w:t>
            </w:r>
          </w:p>
        </w:tc>
        <w:tc>
          <w:tcPr>
            <w:tcW w:w="992" w:type="dxa"/>
            <w:tcBorders>
              <w:left w:val="single" w:sz="4" w:space="0" w:color="auto"/>
            </w:tcBorders>
            <w:shd w:val="clear" w:color="auto" w:fill="auto"/>
            <w:noWrap/>
            <w:vAlign w:val="center"/>
            <w:hideMark/>
          </w:tcPr>
          <w:p w14:paraId="5466095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-0.0114***</w:t>
            </w:r>
          </w:p>
        </w:tc>
        <w:tc>
          <w:tcPr>
            <w:tcW w:w="917" w:type="dxa"/>
            <w:shd w:val="clear" w:color="auto" w:fill="auto"/>
            <w:noWrap/>
            <w:vAlign w:val="center"/>
            <w:hideMark/>
          </w:tcPr>
          <w:p w14:paraId="6981B3A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-0.0262***</w:t>
            </w:r>
          </w:p>
        </w:tc>
        <w:tc>
          <w:tcPr>
            <w:tcW w:w="1079" w:type="dxa"/>
            <w:gridSpan w:val="2"/>
            <w:shd w:val="clear" w:color="auto" w:fill="auto"/>
            <w:noWrap/>
            <w:vAlign w:val="center"/>
            <w:hideMark/>
          </w:tcPr>
          <w:p w14:paraId="2FD63EC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0.0376***</w:t>
            </w:r>
          </w:p>
        </w:tc>
        <w:tc>
          <w:tcPr>
            <w:tcW w:w="895" w:type="dxa"/>
            <w:vAlign w:val="center"/>
          </w:tcPr>
          <w:p w14:paraId="4934013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0.049</w:t>
            </w:r>
          </w:p>
        </w:tc>
      </w:tr>
      <w:tr w:rsidR="00B83B39" w:rsidRPr="00D13BC1" w14:paraId="5901A732" w14:textId="77777777" w:rsidTr="00F17AF2">
        <w:trPr>
          <w:trHeight w:val="225"/>
        </w:trPr>
        <w:tc>
          <w:tcPr>
            <w:tcW w:w="1985" w:type="dxa"/>
            <w:tcBorders>
              <w:right w:val="single" w:sz="4" w:space="0" w:color="auto"/>
            </w:tcBorders>
            <w:shd w:val="clear" w:color="auto" w:fill="auto"/>
            <w:vAlign w:val="bottom"/>
            <w:hideMark/>
          </w:tcPr>
          <w:p w14:paraId="4CA74D5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494FB6C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(0.00467)</w:t>
            </w:r>
          </w:p>
        </w:tc>
        <w:tc>
          <w:tcPr>
            <w:tcW w:w="909" w:type="dxa"/>
            <w:shd w:val="clear" w:color="auto" w:fill="auto"/>
            <w:noWrap/>
            <w:vAlign w:val="bottom"/>
            <w:hideMark/>
          </w:tcPr>
          <w:p w14:paraId="12241A3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(0.00634)</w:t>
            </w:r>
          </w:p>
        </w:tc>
        <w:tc>
          <w:tcPr>
            <w:tcW w:w="909" w:type="dxa"/>
            <w:shd w:val="clear" w:color="auto" w:fill="auto"/>
            <w:noWrap/>
            <w:vAlign w:val="bottom"/>
            <w:hideMark/>
          </w:tcPr>
          <w:p w14:paraId="0E0F21C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(0.00742)</w:t>
            </w:r>
          </w:p>
        </w:tc>
        <w:tc>
          <w:tcPr>
            <w:tcW w:w="895" w:type="dxa"/>
            <w:tcBorders>
              <w:right w:val="single" w:sz="4" w:space="0" w:color="auto"/>
            </w:tcBorders>
            <w:vAlign w:val="center"/>
          </w:tcPr>
          <w:p w14:paraId="758F88AF"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1E7BA70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(0.00262)</w:t>
            </w:r>
          </w:p>
        </w:tc>
        <w:tc>
          <w:tcPr>
            <w:tcW w:w="917" w:type="dxa"/>
            <w:shd w:val="clear" w:color="auto" w:fill="auto"/>
            <w:noWrap/>
            <w:vAlign w:val="center"/>
            <w:hideMark/>
          </w:tcPr>
          <w:p w14:paraId="08C357F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(0.00527)</w:t>
            </w:r>
          </w:p>
        </w:tc>
        <w:tc>
          <w:tcPr>
            <w:tcW w:w="1079" w:type="dxa"/>
            <w:gridSpan w:val="2"/>
            <w:shd w:val="clear" w:color="auto" w:fill="auto"/>
            <w:noWrap/>
            <w:vAlign w:val="center"/>
            <w:hideMark/>
          </w:tcPr>
          <w:p w14:paraId="4913515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(0.00712)</w:t>
            </w:r>
          </w:p>
        </w:tc>
        <w:tc>
          <w:tcPr>
            <w:tcW w:w="895" w:type="dxa"/>
            <w:vAlign w:val="center"/>
          </w:tcPr>
          <w:p w14:paraId="05243493"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13F89FCE" w14:textId="77777777" w:rsidTr="00F17AF2">
        <w:trPr>
          <w:trHeight w:val="225"/>
        </w:trPr>
        <w:tc>
          <w:tcPr>
            <w:tcW w:w="1985" w:type="dxa"/>
            <w:tcBorders>
              <w:right w:val="single" w:sz="4" w:space="0" w:color="auto"/>
            </w:tcBorders>
            <w:shd w:val="clear" w:color="auto" w:fill="auto"/>
            <w:noWrap/>
            <w:vAlign w:val="center"/>
            <w:hideMark/>
          </w:tcPr>
          <w:p w14:paraId="2F78010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&gt;=2</w:t>
            </w:r>
          </w:p>
        </w:tc>
        <w:tc>
          <w:tcPr>
            <w:tcW w:w="992" w:type="dxa"/>
            <w:tcBorders>
              <w:left w:val="single" w:sz="4" w:space="0" w:color="auto"/>
            </w:tcBorders>
            <w:shd w:val="clear" w:color="auto" w:fill="auto"/>
            <w:noWrap/>
            <w:vAlign w:val="bottom"/>
            <w:hideMark/>
          </w:tcPr>
          <w:p w14:paraId="29CD526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-0.0144***</w:t>
            </w:r>
          </w:p>
        </w:tc>
        <w:tc>
          <w:tcPr>
            <w:tcW w:w="909" w:type="dxa"/>
            <w:shd w:val="clear" w:color="auto" w:fill="auto"/>
            <w:noWrap/>
            <w:vAlign w:val="bottom"/>
            <w:hideMark/>
          </w:tcPr>
          <w:p w14:paraId="44DEE48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-0.0219***</w:t>
            </w:r>
          </w:p>
        </w:tc>
        <w:tc>
          <w:tcPr>
            <w:tcW w:w="909" w:type="dxa"/>
            <w:shd w:val="clear" w:color="auto" w:fill="auto"/>
            <w:noWrap/>
            <w:vAlign w:val="bottom"/>
            <w:hideMark/>
          </w:tcPr>
          <w:p w14:paraId="35F0ED5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0.0363***</w:t>
            </w:r>
          </w:p>
        </w:tc>
        <w:tc>
          <w:tcPr>
            <w:tcW w:w="895" w:type="dxa"/>
            <w:tcBorders>
              <w:right w:val="single" w:sz="4" w:space="0" w:color="auto"/>
            </w:tcBorders>
            <w:vAlign w:val="center"/>
          </w:tcPr>
          <w:p w14:paraId="76CE49EB"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0.0507</w:t>
            </w:r>
          </w:p>
        </w:tc>
        <w:tc>
          <w:tcPr>
            <w:tcW w:w="992" w:type="dxa"/>
            <w:tcBorders>
              <w:left w:val="single" w:sz="4" w:space="0" w:color="auto"/>
            </w:tcBorders>
            <w:shd w:val="clear" w:color="auto" w:fill="auto"/>
            <w:noWrap/>
            <w:vAlign w:val="center"/>
            <w:hideMark/>
          </w:tcPr>
          <w:p w14:paraId="62F6AD5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0.0415***</w:t>
            </w:r>
          </w:p>
        </w:tc>
        <w:tc>
          <w:tcPr>
            <w:tcW w:w="917" w:type="dxa"/>
            <w:shd w:val="clear" w:color="auto" w:fill="auto"/>
            <w:noWrap/>
            <w:vAlign w:val="center"/>
            <w:hideMark/>
          </w:tcPr>
          <w:p w14:paraId="2C659F5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0.0595***</w:t>
            </w:r>
          </w:p>
        </w:tc>
        <w:tc>
          <w:tcPr>
            <w:tcW w:w="1079" w:type="dxa"/>
            <w:gridSpan w:val="2"/>
            <w:shd w:val="clear" w:color="auto" w:fill="auto"/>
            <w:noWrap/>
            <w:vAlign w:val="center"/>
            <w:hideMark/>
          </w:tcPr>
          <w:p w14:paraId="519E2B7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-0.101***</w:t>
            </w:r>
          </w:p>
        </w:tc>
        <w:tc>
          <w:tcPr>
            <w:tcW w:w="895" w:type="dxa"/>
            <w:vAlign w:val="center"/>
          </w:tcPr>
          <w:p w14:paraId="3BF7294F"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-0.1425</w:t>
            </w:r>
          </w:p>
        </w:tc>
      </w:tr>
      <w:tr w:rsidR="00B83B39" w:rsidRPr="00D13BC1" w14:paraId="6DF5405A" w14:textId="77777777" w:rsidTr="00F17AF2">
        <w:trPr>
          <w:trHeight w:val="225"/>
        </w:trPr>
        <w:tc>
          <w:tcPr>
            <w:tcW w:w="1985" w:type="dxa"/>
            <w:tcBorders>
              <w:right w:val="single" w:sz="4" w:space="0" w:color="auto"/>
            </w:tcBorders>
            <w:shd w:val="clear" w:color="auto" w:fill="auto"/>
            <w:vAlign w:val="bottom"/>
            <w:hideMark/>
          </w:tcPr>
          <w:p w14:paraId="44176F1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520D833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(0.00453)</w:t>
            </w:r>
          </w:p>
        </w:tc>
        <w:tc>
          <w:tcPr>
            <w:tcW w:w="909" w:type="dxa"/>
            <w:shd w:val="clear" w:color="auto" w:fill="auto"/>
            <w:noWrap/>
            <w:vAlign w:val="bottom"/>
            <w:hideMark/>
          </w:tcPr>
          <w:p w14:paraId="6B70E31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(0.00683)</w:t>
            </w:r>
          </w:p>
        </w:tc>
        <w:tc>
          <w:tcPr>
            <w:tcW w:w="909" w:type="dxa"/>
            <w:shd w:val="clear" w:color="auto" w:fill="auto"/>
            <w:noWrap/>
            <w:vAlign w:val="bottom"/>
            <w:hideMark/>
          </w:tcPr>
          <w:p w14:paraId="64C42BE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(0.01050)</w:t>
            </w:r>
          </w:p>
        </w:tc>
        <w:tc>
          <w:tcPr>
            <w:tcW w:w="895" w:type="dxa"/>
            <w:tcBorders>
              <w:right w:val="single" w:sz="4" w:space="0" w:color="auto"/>
            </w:tcBorders>
            <w:vAlign w:val="center"/>
          </w:tcPr>
          <w:p w14:paraId="54D58BF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1F6697E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(0.00610)</w:t>
            </w:r>
          </w:p>
        </w:tc>
        <w:tc>
          <w:tcPr>
            <w:tcW w:w="917" w:type="dxa"/>
            <w:shd w:val="clear" w:color="auto" w:fill="auto"/>
            <w:noWrap/>
            <w:vAlign w:val="center"/>
            <w:hideMark/>
          </w:tcPr>
          <w:p w14:paraId="3DDD923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(0.00955)</w:t>
            </w:r>
          </w:p>
        </w:tc>
        <w:tc>
          <w:tcPr>
            <w:tcW w:w="1079" w:type="dxa"/>
            <w:gridSpan w:val="2"/>
            <w:shd w:val="clear" w:color="auto" w:fill="auto"/>
            <w:noWrap/>
            <w:vAlign w:val="center"/>
            <w:hideMark/>
          </w:tcPr>
          <w:p w14:paraId="783E3A8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(0.00985)</w:t>
            </w:r>
          </w:p>
        </w:tc>
        <w:tc>
          <w:tcPr>
            <w:tcW w:w="895" w:type="dxa"/>
            <w:vAlign w:val="center"/>
          </w:tcPr>
          <w:p w14:paraId="0657B63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r>
      <w:tr w:rsidR="00B83B39" w:rsidRPr="00D13BC1" w14:paraId="151DEC30" w14:textId="77777777" w:rsidTr="00F17AF2">
        <w:trPr>
          <w:trHeight w:val="225"/>
        </w:trPr>
        <w:tc>
          <w:tcPr>
            <w:tcW w:w="1985" w:type="dxa"/>
            <w:tcBorders>
              <w:right w:val="single" w:sz="4" w:space="0" w:color="auto"/>
            </w:tcBorders>
            <w:shd w:val="clear" w:color="auto" w:fill="auto"/>
            <w:vAlign w:val="center"/>
            <w:hideMark/>
          </w:tcPr>
          <w:p w14:paraId="74B2B2A1"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Number of Working Adults (20-50) Females in HH</w:t>
            </w:r>
          </w:p>
        </w:tc>
        <w:tc>
          <w:tcPr>
            <w:tcW w:w="992" w:type="dxa"/>
            <w:tcBorders>
              <w:left w:val="single" w:sz="4" w:space="0" w:color="auto"/>
            </w:tcBorders>
            <w:shd w:val="clear" w:color="auto" w:fill="auto"/>
            <w:noWrap/>
            <w:vAlign w:val="bottom"/>
            <w:hideMark/>
          </w:tcPr>
          <w:p w14:paraId="067BC719"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5591C041"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538963F7"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58CCD937" w14:textId="77777777" w:rsidR="00B83B39" w:rsidRPr="001356C3"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45B5EEB1"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6F92E2BA"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7110DF05"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2F48C0EC" w14:textId="77777777" w:rsidR="00B83B39" w:rsidRPr="001356C3" w:rsidRDefault="00B83B39" w:rsidP="00B83B39">
            <w:pPr>
              <w:adjustRightInd w:val="0"/>
              <w:snapToGrid w:val="0"/>
              <w:spacing w:after="0" w:line="240" w:lineRule="auto"/>
              <w:rPr>
                <w:rFonts w:ascii="Arial Narrow" w:hAnsi="Arial Narrow" w:cs="Arial"/>
                <w:b/>
                <w:sz w:val="16"/>
                <w:szCs w:val="16"/>
              </w:rPr>
            </w:pPr>
          </w:p>
        </w:tc>
      </w:tr>
      <w:tr w:rsidR="00B83B39" w:rsidRPr="00D13BC1" w14:paraId="48D86860" w14:textId="77777777" w:rsidTr="00F17AF2">
        <w:trPr>
          <w:trHeight w:val="225"/>
        </w:trPr>
        <w:tc>
          <w:tcPr>
            <w:tcW w:w="1985" w:type="dxa"/>
            <w:tcBorders>
              <w:right w:val="single" w:sz="4" w:space="0" w:color="auto"/>
            </w:tcBorders>
            <w:shd w:val="clear" w:color="auto" w:fill="auto"/>
            <w:noWrap/>
            <w:vAlign w:val="center"/>
            <w:hideMark/>
          </w:tcPr>
          <w:p w14:paraId="37FAA7BC"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1</w:t>
            </w:r>
          </w:p>
        </w:tc>
        <w:tc>
          <w:tcPr>
            <w:tcW w:w="992" w:type="dxa"/>
            <w:tcBorders>
              <w:left w:val="single" w:sz="4" w:space="0" w:color="auto"/>
            </w:tcBorders>
            <w:shd w:val="clear" w:color="auto" w:fill="auto"/>
            <w:noWrap/>
            <w:vAlign w:val="bottom"/>
            <w:hideMark/>
          </w:tcPr>
          <w:p w14:paraId="260196EA"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-0.00257</w:t>
            </w:r>
          </w:p>
        </w:tc>
        <w:tc>
          <w:tcPr>
            <w:tcW w:w="909" w:type="dxa"/>
            <w:shd w:val="clear" w:color="auto" w:fill="auto"/>
            <w:noWrap/>
            <w:vAlign w:val="bottom"/>
            <w:hideMark/>
          </w:tcPr>
          <w:p w14:paraId="26074AA7"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-0.00311</w:t>
            </w:r>
          </w:p>
        </w:tc>
        <w:tc>
          <w:tcPr>
            <w:tcW w:w="909" w:type="dxa"/>
            <w:shd w:val="clear" w:color="auto" w:fill="auto"/>
            <w:noWrap/>
            <w:vAlign w:val="bottom"/>
            <w:hideMark/>
          </w:tcPr>
          <w:p w14:paraId="00C7B2A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0.00568</w:t>
            </w:r>
          </w:p>
        </w:tc>
        <w:tc>
          <w:tcPr>
            <w:tcW w:w="895" w:type="dxa"/>
            <w:tcBorders>
              <w:right w:val="single" w:sz="4" w:space="0" w:color="auto"/>
            </w:tcBorders>
            <w:vAlign w:val="center"/>
          </w:tcPr>
          <w:p w14:paraId="081C6252" w14:textId="77777777" w:rsidR="00B83B39" w:rsidRPr="001356C3" w:rsidRDefault="00B83B39" w:rsidP="00B83B39">
            <w:pPr>
              <w:adjustRightInd w:val="0"/>
              <w:snapToGrid w:val="0"/>
              <w:spacing w:after="0" w:line="240" w:lineRule="auto"/>
              <w:rPr>
                <w:rFonts w:ascii="Arial Narrow" w:hAnsi="Arial Narrow" w:cs="Arial"/>
                <w:b/>
                <w:sz w:val="16"/>
                <w:szCs w:val="16"/>
              </w:rPr>
            </w:pPr>
            <w:r w:rsidRPr="00081C02">
              <w:rPr>
                <w:rFonts w:ascii="Arial Narrow" w:hAnsi="Arial Narrow" w:cs="Calibri"/>
                <w:color w:val="000000"/>
                <w:sz w:val="16"/>
                <w:szCs w:val="16"/>
              </w:rPr>
              <w:t>0.00825</w:t>
            </w:r>
          </w:p>
        </w:tc>
        <w:tc>
          <w:tcPr>
            <w:tcW w:w="992" w:type="dxa"/>
            <w:tcBorders>
              <w:left w:val="single" w:sz="4" w:space="0" w:color="auto"/>
            </w:tcBorders>
            <w:shd w:val="clear" w:color="auto" w:fill="auto"/>
            <w:noWrap/>
            <w:vAlign w:val="center"/>
            <w:hideMark/>
          </w:tcPr>
          <w:p w14:paraId="43F48E2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-0.000952</w:t>
            </w:r>
          </w:p>
        </w:tc>
        <w:tc>
          <w:tcPr>
            <w:tcW w:w="917" w:type="dxa"/>
            <w:shd w:val="clear" w:color="auto" w:fill="auto"/>
            <w:noWrap/>
            <w:vAlign w:val="center"/>
            <w:hideMark/>
          </w:tcPr>
          <w:p w14:paraId="17FD38A8"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-0.002</w:t>
            </w:r>
          </w:p>
        </w:tc>
        <w:tc>
          <w:tcPr>
            <w:tcW w:w="1079" w:type="dxa"/>
            <w:gridSpan w:val="2"/>
            <w:shd w:val="clear" w:color="auto" w:fill="auto"/>
            <w:noWrap/>
            <w:vAlign w:val="center"/>
            <w:hideMark/>
          </w:tcPr>
          <w:p w14:paraId="68734AB6"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0.00295</w:t>
            </w:r>
          </w:p>
        </w:tc>
        <w:tc>
          <w:tcPr>
            <w:tcW w:w="895" w:type="dxa"/>
            <w:vAlign w:val="center"/>
          </w:tcPr>
          <w:p w14:paraId="2A062579" w14:textId="77777777" w:rsidR="00B83B39" w:rsidRPr="001356C3" w:rsidRDefault="00B83B39" w:rsidP="00B83B39">
            <w:pPr>
              <w:adjustRightInd w:val="0"/>
              <w:snapToGrid w:val="0"/>
              <w:spacing w:after="0" w:line="240" w:lineRule="auto"/>
              <w:rPr>
                <w:rFonts w:ascii="Arial Narrow" w:hAnsi="Arial Narrow" w:cs="Arial"/>
                <w:b/>
                <w:sz w:val="16"/>
                <w:szCs w:val="16"/>
              </w:rPr>
            </w:pPr>
            <w:r>
              <w:rPr>
                <w:rFonts w:ascii="Arial Narrow" w:hAnsi="Arial Narrow" w:cs="Calibri"/>
                <w:color w:val="000000"/>
                <w:sz w:val="16"/>
                <w:szCs w:val="16"/>
              </w:rPr>
              <w:t>0.0039</w:t>
            </w:r>
          </w:p>
        </w:tc>
      </w:tr>
      <w:tr w:rsidR="00B83B39" w:rsidRPr="00D13BC1" w14:paraId="10F80B26" w14:textId="77777777" w:rsidTr="00F17AF2">
        <w:trPr>
          <w:trHeight w:val="225"/>
        </w:trPr>
        <w:tc>
          <w:tcPr>
            <w:tcW w:w="1985" w:type="dxa"/>
            <w:tcBorders>
              <w:right w:val="single" w:sz="4" w:space="0" w:color="auto"/>
            </w:tcBorders>
            <w:shd w:val="clear" w:color="auto" w:fill="auto"/>
            <w:vAlign w:val="bottom"/>
            <w:hideMark/>
          </w:tcPr>
          <w:p w14:paraId="3129076A"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0E0E2D8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(0.00261)</w:t>
            </w:r>
          </w:p>
        </w:tc>
        <w:tc>
          <w:tcPr>
            <w:tcW w:w="909" w:type="dxa"/>
            <w:shd w:val="clear" w:color="auto" w:fill="auto"/>
            <w:noWrap/>
            <w:vAlign w:val="bottom"/>
            <w:hideMark/>
          </w:tcPr>
          <w:p w14:paraId="50F43F9F"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(0.00319)</w:t>
            </w:r>
          </w:p>
        </w:tc>
        <w:tc>
          <w:tcPr>
            <w:tcW w:w="909" w:type="dxa"/>
            <w:shd w:val="clear" w:color="auto" w:fill="auto"/>
            <w:noWrap/>
            <w:vAlign w:val="bottom"/>
            <w:hideMark/>
          </w:tcPr>
          <w:p w14:paraId="45399279"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(0.00576)</w:t>
            </w:r>
          </w:p>
        </w:tc>
        <w:tc>
          <w:tcPr>
            <w:tcW w:w="895" w:type="dxa"/>
            <w:tcBorders>
              <w:right w:val="single" w:sz="4" w:space="0" w:color="auto"/>
            </w:tcBorders>
            <w:vAlign w:val="center"/>
          </w:tcPr>
          <w:p w14:paraId="4CB51262" w14:textId="77777777" w:rsidR="00B83B39" w:rsidRPr="001356C3"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98F1F0E"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(0.00181)</w:t>
            </w:r>
          </w:p>
        </w:tc>
        <w:tc>
          <w:tcPr>
            <w:tcW w:w="917" w:type="dxa"/>
            <w:shd w:val="clear" w:color="auto" w:fill="auto"/>
            <w:noWrap/>
            <w:vAlign w:val="center"/>
            <w:hideMark/>
          </w:tcPr>
          <w:p w14:paraId="62A733AD"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(0.00381)</w:t>
            </w:r>
          </w:p>
        </w:tc>
        <w:tc>
          <w:tcPr>
            <w:tcW w:w="1079" w:type="dxa"/>
            <w:gridSpan w:val="2"/>
            <w:shd w:val="clear" w:color="auto" w:fill="auto"/>
            <w:noWrap/>
            <w:vAlign w:val="center"/>
            <w:hideMark/>
          </w:tcPr>
          <w:p w14:paraId="43765AA6"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(0.00562)</w:t>
            </w:r>
          </w:p>
        </w:tc>
        <w:tc>
          <w:tcPr>
            <w:tcW w:w="895" w:type="dxa"/>
            <w:vAlign w:val="center"/>
          </w:tcPr>
          <w:p w14:paraId="2E80743D" w14:textId="77777777" w:rsidR="00B83B39" w:rsidRPr="001356C3" w:rsidRDefault="00B83B39" w:rsidP="00B83B39">
            <w:pPr>
              <w:adjustRightInd w:val="0"/>
              <w:snapToGrid w:val="0"/>
              <w:spacing w:after="0" w:line="240" w:lineRule="auto"/>
              <w:rPr>
                <w:rFonts w:ascii="Arial Narrow" w:hAnsi="Arial Narrow" w:cs="Arial"/>
                <w:b/>
                <w:sz w:val="16"/>
                <w:szCs w:val="16"/>
              </w:rPr>
            </w:pPr>
          </w:p>
        </w:tc>
      </w:tr>
      <w:tr w:rsidR="00B83B39" w:rsidRPr="00D13BC1" w14:paraId="44C89BDB" w14:textId="77777777" w:rsidTr="00F17AF2">
        <w:trPr>
          <w:trHeight w:val="225"/>
        </w:trPr>
        <w:tc>
          <w:tcPr>
            <w:tcW w:w="1985" w:type="dxa"/>
            <w:tcBorders>
              <w:right w:val="single" w:sz="4" w:space="0" w:color="auto"/>
            </w:tcBorders>
            <w:shd w:val="clear" w:color="auto" w:fill="auto"/>
            <w:noWrap/>
            <w:vAlign w:val="center"/>
            <w:hideMark/>
          </w:tcPr>
          <w:p w14:paraId="16D0731E"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&gt;=2</w:t>
            </w:r>
          </w:p>
        </w:tc>
        <w:tc>
          <w:tcPr>
            <w:tcW w:w="992" w:type="dxa"/>
            <w:tcBorders>
              <w:left w:val="single" w:sz="4" w:space="0" w:color="auto"/>
            </w:tcBorders>
            <w:shd w:val="clear" w:color="auto" w:fill="auto"/>
            <w:noWrap/>
            <w:vAlign w:val="bottom"/>
            <w:hideMark/>
          </w:tcPr>
          <w:p w14:paraId="55DD1638"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-0.0108</w:t>
            </w:r>
          </w:p>
        </w:tc>
        <w:tc>
          <w:tcPr>
            <w:tcW w:w="909" w:type="dxa"/>
            <w:shd w:val="clear" w:color="auto" w:fill="auto"/>
            <w:noWrap/>
            <w:vAlign w:val="bottom"/>
            <w:hideMark/>
          </w:tcPr>
          <w:p w14:paraId="1DAA57C2"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-0.0139</w:t>
            </w:r>
          </w:p>
        </w:tc>
        <w:tc>
          <w:tcPr>
            <w:tcW w:w="909" w:type="dxa"/>
            <w:shd w:val="clear" w:color="auto" w:fill="auto"/>
            <w:noWrap/>
            <w:vAlign w:val="bottom"/>
            <w:hideMark/>
          </w:tcPr>
          <w:p w14:paraId="2AF57928"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0.0247</w:t>
            </w:r>
          </w:p>
        </w:tc>
        <w:tc>
          <w:tcPr>
            <w:tcW w:w="895" w:type="dxa"/>
            <w:tcBorders>
              <w:right w:val="single" w:sz="4" w:space="0" w:color="auto"/>
            </w:tcBorders>
            <w:vAlign w:val="center"/>
          </w:tcPr>
          <w:p w14:paraId="2635B88B" w14:textId="77777777" w:rsidR="00B83B39" w:rsidRPr="001356C3" w:rsidRDefault="00B83B39" w:rsidP="00B83B39">
            <w:pPr>
              <w:adjustRightInd w:val="0"/>
              <w:snapToGrid w:val="0"/>
              <w:spacing w:after="0" w:line="240" w:lineRule="auto"/>
              <w:rPr>
                <w:rFonts w:ascii="Arial Narrow" w:hAnsi="Arial Narrow" w:cs="Arial"/>
                <w:b/>
                <w:sz w:val="16"/>
                <w:szCs w:val="16"/>
              </w:rPr>
            </w:pPr>
            <w:r w:rsidRPr="00081C02">
              <w:rPr>
                <w:rFonts w:ascii="Arial Narrow" w:hAnsi="Arial Narrow" w:cs="Calibri"/>
                <w:color w:val="000000"/>
                <w:sz w:val="16"/>
                <w:szCs w:val="16"/>
              </w:rPr>
              <w:t>0.0355</w:t>
            </w:r>
          </w:p>
        </w:tc>
        <w:tc>
          <w:tcPr>
            <w:tcW w:w="992" w:type="dxa"/>
            <w:tcBorders>
              <w:left w:val="single" w:sz="4" w:space="0" w:color="auto"/>
            </w:tcBorders>
            <w:shd w:val="clear" w:color="auto" w:fill="auto"/>
            <w:noWrap/>
            <w:vAlign w:val="center"/>
            <w:hideMark/>
          </w:tcPr>
          <w:p w14:paraId="75F56B22"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0.0292***</w:t>
            </w:r>
          </w:p>
        </w:tc>
        <w:tc>
          <w:tcPr>
            <w:tcW w:w="917" w:type="dxa"/>
            <w:shd w:val="clear" w:color="auto" w:fill="auto"/>
            <w:noWrap/>
            <w:vAlign w:val="center"/>
            <w:hideMark/>
          </w:tcPr>
          <w:p w14:paraId="631BF1DC"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0.0467***</w:t>
            </w:r>
          </w:p>
        </w:tc>
        <w:tc>
          <w:tcPr>
            <w:tcW w:w="1079" w:type="dxa"/>
            <w:gridSpan w:val="2"/>
            <w:shd w:val="clear" w:color="auto" w:fill="auto"/>
            <w:noWrap/>
            <w:vAlign w:val="center"/>
            <w:hideMark/>
          </w:tcPr>
          <w:p w14:paraId="421A5E29"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-0.0759***</w:t>
            </w:r>
          </w:p>
        </w:tc>
        <w:tc>
          <w:tcPr>
            <w:tcW w:w="895" w:type="dxa"/>
            <w:vAlign w:val="center"/>
          </w:tcPr>
          <w:p w14:paraId="089B318D" w14:textId="77777777" w:rsidR="00B83B39" w:rsidRPr="001356C3" w:rsidRDefault="00B83B39" w:rsidP="00B83B39">
            <w:pPr>
              <w:adjustRightInd w:val="0"/>
              <w:snapToGrid w:val="0"/>
              <w:spacing w:after="0" w:line="240" w:lineRule="auto"/>
              <w:rPr>
                <w:rFonts w:ascii="Arial Narrow" w:hAnsi="Arial Narrow" w:cs="Arial"/>
                <w:b/>
                <w:sz w:val="16"/>
                <w:szCs w:val="16"/>
              </w:rPr>
            </w:pPr>
            <w:r>
              <w:rPr>
                <w:rFonts w:ascii="Arial Narrow" w:hAnsi="Arial Narrow" w:cs="Calibri"/>
                <w:color w:val="000000"/>
                <w:sz w:val="16"/>
                <w:szCs w:val="16"/>
              </w:rPr>
              <w:t>-0.1051</w:t>
            </w:r>
          </w:p>
        </w:tc>
      </w:tr>
      <w:tr w:rsidR="00B83B39" w:rsidRPr="00D13BC1" w14:paraId="700E1A4D" w14:textId="77777777" w:rsidTr="00F17AF2">
        <w:trPr>
          <w:trHeight w:val="225"/>
        </w:trPr>
        <w:tc>
          <w:tcPr>
            <w:tcW w:w="1985" w:type="dxa"/>
            <w:tcBorders>
              <w:bottom w:val="single" w:sz="4" w:space="0" w:color="auto"/>
              <w:right w:val="single" w:sz="4" w:space="0" w:color="auto"/>
            </w:tcBorders>
            <w:shd w:val="clear" w:color="auto" w:fill="auto"/>
            <w:vAlign w:val="bottom"/>
            <w:hideMark/>
          </w:tcPr>
          <w:p w14:paraId="5F0FEBC9" w14:textId="77777777" w:rsidR="00B83B39" w:rsidRPr="009B592E"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bottom w:val="single" w:sz="4" w:space="0" w:color="auto"/>
            </w:tcBorders>
            <w:shd w:val="clear" w:color="auto" w:fill="auto"/>
            <w:noWrap/>
            <w:vAlign w:val="bottom"/>
            <w:hideMark/>
          </w:tcPr>
          <w:p w14:paraId="00D565F3"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(0.00717)</w:t>
            </w:r>
          </w:p>
        </w:tc>
        <w:tc>
          <w:tcPr>
            <w:tcW w:w="909" w:type="dxa"/>
            <w:tcBorders>
              <w:bottom w:val="single" w:sz="4" w:space="0" w:color="auto"/>
            </w:tcBorders>
            <w:shd w:val="clear" w:color="auto" w:fill="auto"/>
            <w:noWrap/>
            <w:vAlign w:val="bottom"/>
            <w:hideMark/>
          </w:tcPr>
          <w:p w14:paraId="15B4CC49"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(0.00994)</w:t>
            </w:r>
          </w:p>
        </w:tc>
        <w:tc>
          <w:tcPr>
            <w:tcW w:w="909" w:type="dxa"/>
            <w:tcBorders>
              <w:bottom w:val="single" w:sz="4" w:space="0" w:color="auto"/>
            </w:tcBorders>
            <w:shd w:val="clear" w:color="auto" w:fill="auto"/>
            <w:noWrap/>
            <w:vAlign w:val="bottom"/>
            <w:hideMark/>
          </w:tcPr>
          <w:p w14:paraId="540DB80E"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(0.01680)</w:t>
            </w:r>
          </w:p>
        </w:tc>
        <w:tc>
          <w:tcPr>
            <w:tcW w:w="895" w:type="dxa"/>
            <w:tcBorders>
              <w:bottom w:val="single" w:sz="4" w:space="0" w:color="auto"/>
              <w:right w:val="single" w:sz="4" w:space="0" w:color="auto"/>
            </w:tcBorders>
            <w:vAlign w:val="center"/>
          </w:tcPr>
          <w:p w14:paraId="2D5AC485"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bottom w:val="single" w:sz="4" w:space="0" w:color="auto"/>
            </w:tcBorders>
            <w:shd w:val="clear" w:color="auto" w:fill="auto"/>
            <w:noWrap/>
            <w:vAlign w:val="center"/>
            <w:hideMark/>
          </w:tcPr>
          <w:p w14:paraId="0E31F2CB"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(0.00740)</w:t>
            </w:r>
          </w:p>
        </w:tc>
        <w:tc>
          <w:tcPr>
            <w:tcW w:w="917" w:type="dxa"/>
            <w:tcBorders>
              <w:bottom w:val="single" w:sz="4" w:space="0" w:color="auto"/>
            </w:tcBorders>
            <w:shd w:val="clear" w:color="auto" w:fill="auto"/>
            <w:noWrap/>
            <w:vAlign w:val="center"/>
            <w:hideMark/>
          </w:tcPr>
          <w:p w14:paraId="2D3C0C5F"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(0.01010)</w:t>
            </w:r>
          </w:p>
        </w:tc>
        <w:tc>
          <w:tcPr>
            <w:tcW w:w="1079" w:type="dxa"/>
            <w:gridSpan w:val="2"/>
            <w:tcBorders>
              <w:bottom w:val="single" w:sz="4" w:space="0" w:color="auto"/>
            </w:tcBorders>
            <w:shd w:val="clear" w:color="auto" w:fill="auto"/>
            <w:noWrap/>
            <w:vAlign w:val="center"/>
            <w:hideMark/>
          </w:tcPr>
          <w:p w14:paraId="73B35BF2"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(0.01520)</w:t>
            </w:r>
          </w:p>
        </w:tc>
        <w:tc>
          <w:tcPr>
            <w:tcW w:w="895" w:type="dxa"/>
            <w:tcBorders>
              <w:bottom w:val="single" w:sz="4" w:space="0" w:color="auto"/>
            </w:tcBorders>
            <w:vAlign w:val="center"/>
          </w:tcPr>
          <w:p w14:paraId="42DB3F09"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p>
        </w:tc>
      </w:tr>
      <w:tr w:rsidR="003A174B" w:rsidRPr="00D13BC1" w14:paraId="5581A85E" w14:textId="77777777" w:rsidTr="00F17AF2">
        <w:trPr>
          <w:trHeight w:val="225"/>
        </w:trPr>
        <w:tc>
          <w:tcPr>
            <w:tcW w:w="5690" w:type="dxa"/>
            <w:gridSpan w:val="5"/>
            <w:tcBorders>
              <w:top w:val="single" w:sz="4" w:space="0" w:color="auto"/>
              <w:bottom w:val="single" w:sz="4" w:space="0" w:color="auto"/>
              <w:right w:val="single" w:sz="4" w:space="0" w:color="auto"/>
            </w:tcBorders>
            <w:shd w:val="clear" w:color="auto" w:fill="auto"/>
            <w:vAlign w:val="center"/>
          </w:tcPr>
          <w:p w14:paraId="6813FA99" w14:textId="77777777" w:rsidR="003A174B" w:rsidRPr="00F17AF2" w:rsidRDefault="003A174B" w:rsidP="00F17AF2">
            <w:pPr>
              <w:pStyle w:val="ListParagraph"/>
              <w:numPr>
                <w:ilvl w:val="0"/>
                <w:numId w:val="14"/>
              </w:numPr>
              <w:adjustRightInd w:val="0"/>
              <w:snapToGrid w:val="0"/>
              <w:spacing w:after="0" w:line="240" w:lineRule="auto"/>
              <w:rPr>
                <w:rFonts w:ascii="Arial Narrow" w:hAnsi="Arial Narrow" w:cs="Arial"/>
                <w:b/>
                <w:i/>
                <w:sz w:val="16"/>
                <w:szCs w:val="16"/>
              </w:rPr>
            </w:pPr>
            <w:r w:rsidRPr="00F17AF2">
              <w:rPr>
                <w:rFonts w:ascii="Arial Narrow" w:hAnsi="Arial Narrow" w:cs="Arial"/>
                <w:b/>
                <w:i/>
                <w:sz w:val="16"/>
                <w:szCs w:val="16"/>
              </w:rPr>
              <w:t>Health &amp; Disability (2005)</w:t>
            </w:r>
          </w:p>
        </w:tc>
        <w:tc>
          <w:tcPr>
            <w:tcW w:w="992" w:type="dxa"/>
            <w:tcBorders>
              <w:top w:val="single" w:sz="4" w:space="0" w:color="auto"/>
              <w:left w:val="single" w:sz="4" w:space="0" w:color="auto"/>
              <w:bottom w:val="single" w:sz="4" w:space="0" w:color="auto"/>
            </w:tcBorders>
            <w:shd w:val="clear" w:color="auto" w:fill="auto"/>
            <w:noWrap/>
            <w:vAlign w:val="center"/>
          </w:tcPr>
          <w:p w14:paraId="6181BEE2"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917" w:type="dxa"/>
            <w:tcBorders>
              <w:top w:val="single" w:sz="4" w:space="0" w:color="auto"/>
              <w:bottom w:val="single" w:sz="4" w:space="0" w:color="auto"/>
            </w:tcBorders>
            <w:shd w:val="clear" w:color="auto" w:fill="auto"/>
            <w:noWrap/>
            <w:vAlign w:val="center"/>
          </w:tcPr>
          <w:p w14:paraId="4984D53E"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1079" w:type="dxa"/>
            <w:gridSpan w:val="2"/>
            <w:tcBorders>
              <w:top w:val="single" w:sz="4" w:space="0" w:color="auto"/>
              <w:bottom w:val="single" w:sz="4" w:space="0" w:color="auto"/>
            </w:tcBorders>
            <w:shd w:val="clear" w:color="auto" w:fill="auto"/>
            <w:noWrap/>
            <w:vAlign w:val="center"/>
          </w:tcPr>
          <w:p w14:paraId="07F59002"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895" w:type="dxa"/>
            <w:tcBorders>
              <w:top w:val="single" w:sz="4" w:space="0" w:color="auto"/>
              <w:bottom w:val="single" w:sz="4" w:space="0" w:color="auto"/>
            </w:tcBorders>
            <w:vAlign w:val="bottom"/>
          </w:tcPr>
          <w:p w14:paraId="72A24017" w14:textId="77777777" w:rsidR="003A174B" w:rsidRPr="00D13BC1" w:rsidRDefault="003A174B" w:rsidP="00B83B39">
            <w:pPr>
              <w:adjustRightInd w:val="0"/>
              <w:snapToGrid w:val="0"/>
              <w:spacing w:after="0" w:line="240" w:lineRule="auto"/>
              <w:rPr>
                <w:rFonts w:ascii="Arial Narrow" w:hAnsi="Arial Narrow" w:cs="Arial"/>
                <w:sz w:val="16"/>
                <w:szCs w:val="16"/>
              </w:rPr>
            </w:pPr>
          </w:p>
        </w:tc>
      </w:tr>
      <w:tr w:rsidR="003A174B" w:rsidRPr="00D13BC1" w14:paraId="4A785359" w14:textId="77777777" w:rsidTr="00F17AF2">
        <w:trPr>
          <w:trHeight w:val="225"/>
        </w:trPr>
        <w:tc>
          <w:tcPr>
            <w:tcW w:w="1985" w:type="dxa"/>
            <w:tcBorders>
              <w:top w:val="single" w:sz="4" w:space="0" w:color="auto"/>
              <w:right w:val="single" w:sz="4" w:space="0" w:color="auto"/>
            </w:tcBorders>
            <w:shd w:val="clear" w:color="auto" w:fill="auto"/>
            <w:vAlign w:val="center"/>
            <w:hideMark/>
          </w:tcPr>
          <w:p w14:paraId="6A24FB48"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NCD</w:t>
            </w:r>
          </w:p>
        </w:tc>
        <w:tc>
          <w:tcPr>
            <w:tcW w:w="992" w:type="dxa"/>
            <w:tcBorders>
              <w:top w:val="single" w:sz="4" w:space="0" w:color="auto"/>
              <w:left w:val="single" w:sz="4" w:space="0" w:color="auto"/>
            </w:tcBorders>
            <w:shd w:val="clear" w:color="auto" w:fill="auto"/>
            <w:noWrap/>
            <w:vAlign w:val="center"/>
            <w:hideMark/>
          </w:tcPr>
          <w:p w14:paraId="27C8F0E5"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hideMark/>
          </w:tcPr>
          <w:p w14:paraId="62CE3EB5"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hideMark/>
          </w:tcPr>
          <w:p w14:paraId="1D488477"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right w:val="single" w:sz="4" w:space="0" w:color="auto"/>
            </w:tcBorders>
            <w:vAlign w:val="center"/>
          </w:tcPr>
          <w:p w14:paraId="020E937D" w14:textId="77777777" w:rsidR="003A174B" w:rsidRPr="008C7298" w:rsidRDefault="003A174B" w:rsidP="00B83B39">
            <w:pPr>
              <w:adjustRightInd w:val="0"/>
              <w:snapToGrid w:val="0"/>
              <w:spacing w:after="0" w:line="240" w:lineRule="auto"/>
              <w:rPr>
                <w:rFonts w:ascii="Arial Narrow" w:hAnsi="Arial Narrow" w:cs="Arial"/>
                <w:b/>
                <w:sz w:val="16"/>
                <w:szCs w:val="16"/>
              </w:rPr>
            </w:pPr>
          </w:p>
        </w:tc>
        <w:tc>
          <w:tcPr>
            <w:tcW w:w="992" w:type="dxa"/>
            <w:tcBorders>
              <w:top w:val="single" w:sz="4" w:space="0" w:color="auto"/>
              <w:left w:val="single" w:sz="4" w:space="0" w:color="auto"/>
            </w:tcBorders>
            <w:shd w:val="clear" w:color="auto" w:fill="auto"/>
            <w:noWrap/>
            <w:vAlign w:val="center"/>
            <w:hideMark/>
          </w:tcPr>
          <w:p w14:paraId="043CD61D"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917" w:type="dxa"/>
            <w:tcBorders>
              <w:top w:val="single" w:sz="4" w:space="0" w:color="auto"/>
            </w:tcBorders>
            <w:shd w:val="clear" w:color="auto" w:fill="auto"/>
            <w:noWrap/>
            <w:vAlign w:val="center"/>
            <w:hideMark/>
          </w:tcPr>
          <w:p w14:paraId="2CEED6C1"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1079" w:type="dxa"/>
            <w:gridSpan w:val="2"/>
            <w:tcBorders>
              <w:top w:val="single" w:sz="4" w:space="0" w:color="auto"/>
            </w:tcBorders>
            <w:shd w:val="clear" w:color="auto" w:fill="auto"/>
            <w:noWrap/>
            <w:vAlign w:val="center"/>
            <w:hideMark/>
          </w:tcPr>
          <w:p w14:paraId="61B167C5"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tcBorders>
            <w:vAlign w:val="bottom"/>
          </w:tcPr>
          <w:p w14:paraId="6DE6CDF6" w14:textId="77777777" w:rsidR="003A174B" w:rsidRPr="008C7298" w:rsidRDefault="003A174B" w:rsidP="00B83B39">
            <w:pPr>
              <w:adjustRightInd w:val="0"/>
              <w:snapToGrid w:val="0"/>
              <w:spacing w:after="0" w:line="240" w:lineRule="auto"/>
              <w:rPr>
                <w:rFonts w:ascii="Arial Narrow" w:hAnsi="Arial Narrow" w:cs="Arial"/>
                <w:b/>
                <w:sz w:val="16"/>
                <w:szCs w:val="16"/>
              </w:rPr>
            </w:pPr>
          </w:p>
        </w:tc>
      </w:tr>
      <w:tr w:rsidR="00B83B39" w:rsidRPr="00D13BC1" w14:paraId="57D40FEF" w14:textId="77777777" w:rsidTr="00F17AF2">
        <w:trPr>
          <w:trHeight w:val="225"/>
        </w:trPr>
        <w:tc>
          <w:tcPr>
            <w:tcW w:w="1985" w:type="dxa"/>
            <w:tcBorders>
              <w:right w:val="single" w:sz="4" w:space="0" w:color="auto"/>
            </w:tcBorders>
            <w:shd w:val="clear" w:color="auto" w:fill="auto"/>
            <w:noWrap/>
            <w:vAlign w:val="center"/>
            <w:hideMark/>
          </w:tcPr>
          <w:p w14:paraId="0522564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Yes</w:t>
            </w:r>
          </w:p>
        </w:tc>
        <w:tc>
          <w:tcPr>
            <w:tcW w:w="992" w:type="dxa"/>
            <w:tcBorders>
              <w:left w:val="single" w:sz="4" w:space="0" w:color="auto"/>
            </w:tcBorders>
            <w:shd w:val="clear" w:color="auto" w:fill="auto"/>
            <w:noWrap/>
            <w:vAlign w:val="bottom"/>
            <w:hideMark/>
          </w:tcPr>
          <w:p w14:paraId="1154863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0.0122***</w:t>
            </w:r>
          </w:p>
        </w:tc>
        <w:tc>
          <w:tcPr>
            <w:tcW w:w="909" w:type="dxa"/>
            <w:shd w:val="clear" w:color="auto" w:fill="auto"/>
            <w:noWrap/>
            <w:vAlign w:val="bottom"/>
            <w:hideMark/>
          </w:tcPr>
          <w:p w14:paraId="72AD83B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0.0136***</w:t>
            </w:r>
          </w:p>
        </w:tc>
        <w:tc>
          <w:tcPr>
            <w:tcW w:w="909" w:type="dxa"/>
            <w:shd w:val="clear" w:color="auto" w:fill="auto"/>
            <w:noWrap/>
            <w:vAlign w:val="bottom"/>
            <w:hideMark/>
          </w:tcPr>
          <w:p w14:paraId="05A38D0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-0.0259***</w:t>
            </w:r>
          </w:p>
        </w:tc>
        <w:tc>
          <w:tcPr>
            <w:tcW w:w="895" w:type="dxa"/>
            <w:tcBorders>
              <w:right w:val="single" w:sz="4" w:space="0" w:color="auto"/>
            </w:tcBorders>
            <w:vAlign w:val="center"/>
          </w:tcPr>
          <w:p w14:paraId="6E661530"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-0.0382</w:t>
            </w:r>
          </w:p>
        </w:tc>
        <w:tc>
          <w:tcPr>
            <w:tcW w:w="992" w:type="dxa"/>
            <w:tcBorders>
              <w:left w:val="single" w:sz="4" w:space="0" w:color="auto"/>
            </w:tcBorders>
            <w:shd w:val="clear" w:color="auto" w:fill="auto"/>
            <w:noWrap/>
            <w:vAlign w:val="center"/>
            <w:hideMark/>
          </w:tcPr>
          <w:p w14:paraId="5D47D5D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-0.00665**</w:t>
            </w:r>
          </w:p>
        </w:tc>
        <w:tc>
          <w:tcPr>
            <w:tcW w:w="917" w:type="dxa"/>
            <w:shd w:val="clear" w:color="auto" w:fill="auto"/>
            <w:noWrap/>
            <w:vAlign w:val="center"/>
            <w:hideMark/>
          </w:tcPr>
          <w:p w14:paraId="27E449D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-0.0145**</w:t>
            </w:r>
          </w:p>
        </w:tc>
        <w:tc>
          <w:tcPr>
            <w:tcW w:w="1079" w:type="dxa"/>
            <w:gridSpan w:val="2"/>
            <w:shd w:val="clear" w:color="auto" w:fill="auto"/>
            <w:noWrap/>
            <w:vAlign w:val="center"/>
            <w:hideMark/>
          </w:tcPr>
          <w:p w14:paraId="7BF18CA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0.0211**</w:t>
            </w:r>
          </w:p>
        </w:tc>
        <w:tc>
          <w:tcPr>
            <w:tcW w:w="895" w:type="dxa"/>
            <w:vAlign w:val="center"/>
          </w:tcPr>
          <w:p w14:paraId="7CAEC54D"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0.0277</w:t>
            </w:r>
          </w:p>
        </w:tc>
      </w:tr>
      <w:tr w:rsidR="00B83B39" w:rsidRPr="00D13BC1" w14:paraId="2C351C6F" w14:textId="77777777" w:rsidTr="00F17AF2">
        <w:trPr>
          <w:trHeight w:val="225"/>
        </w:trPr>
        <w:tc>
          <w:tcPr>
            <w:tcW w:w="1985" w:type="dxa"/>
            <w:tcBorders>
              <w:right w:val="single" w:sz="4" w:space="0" w:color="auto"/>
            </w:tcBorders>
            <w:shd w:val="clear" w:color="auto" w:fill="auto"/>
            <w:vAlign w:val="bottom"/>
            <w:hideMark/>
          </w:tcPr>
          <w:p w14:paraId="7D74327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6DC1F07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(0.00467)</w:t>
            </w:r>
          </w:p>
        </w:tc>
        <w:tc>
          <w:tcPr>
            <w:tcW w:w="909" w:type="dxa"/>
            <w:shd w:val="clear" w:color="auto" w:fill="auto"/>
            <w:noWrap/>
            <w:vAlign w:val="bottom"/>
            <w:hideMark/>
          </w:tcPr>
          <w:p w14:paraId="443356F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(0.00513)</w:t>
            </w:r>
          </w:p>
        </w:tc>
        <w:tc>
          <w:tcPr>
            <w:tcW w:w="909" w:type="dxa"/>
            <w:shd w:val="clear" w:color="auto" w:fill="auto"/>
            <w:noWrap/>
            <w:vAlign w:val="bottom"/>
            <w:hideMark/>
          </w:tcPr>
          <w:p w14:paraId="009BB85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(0.00915)</w:t>
            </w:r>
          </w:p>
        </w:tc>
        <w:tc>
          <w:tcPr>
            <w:tcW w:w="895" w:type="dxa"/>
            <w:tcBorders>
              <w:right w:val="single" w:sz="4" w:space="0" w:color="auto"/>
            </w:tcBorders>
            <w:vAlign w:val="center"/>
          </w:tcPr>
          <w:p w14:paraId="70FCACF0"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2883554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(0.00291)</w:t>
            </w:r>
          </w:p>
        </w:tc>
        <w:tc>
          <w:tcPr>
            <w:tcW w:w="917" w:type="dxa"/>
            <w:shd w:val="clear" w:color="auto" w:fill="auto"/>
            <w:noWrap/>
            <w:vAlign w:val="center"/>
            <w:hideMark/>
          </w:tcPr>
          <w:p w14:paraId="516B149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(0.00641)</w:t>
            </w:r>
          </w:p>
        </w:tc>
        <w:tc>
          <w:tcPr>
            <w:tcW w:w="1079" w:type="dxa"/>
            <w:gridSpan w:val="2"/>
            <w:shd w:val="clear" w:color="auto" w:fill="auto"/>
            <w:noWrap/>
            <w:vAlign w:val="center"/>
            <w:hideMark/>
          </w:tcPr>
          <w:p w14:paraId="14023E4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(0.00911)</w:t>
            </w:r>
          </w:p>
        </w:tc>
        <w:tc>
          <w:tcPr>
            <w:tcW w:w="895" w:type="dxa"/>
            <w:vAlign w:val="center"/>
          </w:tcPr>
          <w:p w14:paraId="351CC818"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388C9DB8" w14:textId="77777777" w:rsidTr="00F17AF2">
        <w:trPr>
          <w:trHeight w:val="225"/>
        </w:trPr>
        <w:tc>
          <w:tcPr>
            <w:tcW w:w="1985" w:type="dxa"/>
            <w:tcBorders>
              <w:right w:val="single" w:sz="4" w:space="0" w:color="auto"/>
            </w:tcBorders>
            <w:shd w:val="clear" w:color="auto" w:fill="auto"/>
            <w:noWrap/>
            <w:vAlign w:val="center"/>
            <w:hideMark/>
          </w:tcPr>
          <w:p w14:paraId="0C908E6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Disability</w:t>
            </w:r>
          </w:p>
        </w:tc>
        <w:tc>
          <w:tcPr>
            <w:tcW w:w="992" w:type="dxa"/>
            <w:tcBorders>
              <w:left w:val="single" w:sz="4" w:space="0" w:color="auto"/>
            </w:tcBorders>
            <w:shd w:val="clear" w:color="auto" w:fill="auto"/>
            <w:noWrap/>
            <w:vAlign w:val="bottom"/>
            <w:hideMark/>
          </w:tcPr>
          <w:p w14:paraId="20B3516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1A474D7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3C738EA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tcBorders>
              <w:right w:val="single" w:sz="4" w:space="0" w:color="auto"/>
            </w:tcBorders>
            <w:vAlign w:val="center"/>
          </w:tcPr>
          <w:p w14:paraId="3835180E"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67E8941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60855F3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77A2914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vAlign w:val="center"/>
          </w:tcPr>
          <w:p w14:paraId="32AD2C63"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13513F74" w14:textId="77777777" w:rsidTr="00F17AF2">
        <w:trPr>
          <w:trHeight w:val="225"/>
        </w:trPr>
        <w:tc>
          <w:tcPr>
            <w:tcW w:w="1985" w:type="dxa"/>
            <w:tcBorders>
              <w:right w:val="single" w:sz="4" w:space="0" w:color="auto"/>
            </w:tcBorders>
            <w:shd w:val="clear" w:color="auto" w:fill="auto"/>
            <w:vAlign w:val="center"/>
            <w:hideMark/>
          </w:tcPr>
          <w:p w14:paraId="058B67D3"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 xml:space="preserve">  Yes</w:t>
            </w:r>
          </w:p>
        </w:tc>
        <w:tc>
          <w:tcPr>
            <w:tcW w:w="992" w:type="dxa"/>
            <w:tcBorders>
              <w:left w:val="single" w:sz="4" w:space="0" w:color="auto"/>
            </w:tcBorders>
            <w:shd w:val="clear" w:color="auto" w:fill="auto"/>
            <w:noWrap/>
            <w:vAlign w:val="bottom"/>
            <w:hideMark/>
          </w:tcPr>
          <w:p w14:paraId="501AC42C"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0.0251***</w:t>
            </w:r>
          </w:p>
        </w:tc>
        <w:tc>
          <w:tcPr>
            <w:tcW w:w="909" w:type="dxa"/>
            <w:shd w:val="clear" w:color="auto" w:fill="auto"/>
            <w:noWrap/>
            <w:vAlign w:val="bottom"/>
            <w:hideMark/>
          </w:tcPr>
          <w:p w14:paraId="2DE4A081"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0.0252***</w:t>
            </w:r>
          </w:p>
        </w:tc>
        <w:tc>
          <w:tcPr>
            <w:tcW w:w="909" w:type="dxa"/>
            <w:shd w:val="clear" w:color="auto" w:fill="auto"/>
            <w:noWrap/>
            <w:vAlign w:val="bottom"/>
            <w:hideMark/>
          </w:tcPr>
          <w:p w14:paraId="36EE4A82"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-0.0503***</w:t>
            </w:r>
          </w:p>
        </w:tc>
        <w:tc>
          <w:tcPr>
            <w:tcW w:w="895" w:type="dxa"/>
            <w:tcBorders>
              <w:right w:val="single" w:sz="4" w:space="0" w:color="auto"/>
            </w:tcBorders>
            <w:vAlign w:val="center"/>
          </w:tcPr>
          <w:p w14:paraId="6EAD284D"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hAnsi="Arial Narrow" w:cs="Calibri"/>
                <w:i/>
                <w:color w:val="000000"/>
                <w:sz w:val="16"/>
                <w:szCs w:val="16"/>
              </w:rPr>
              <w:t>-0.0754</w:t>
            </w:r>
          </w:p>
        </w:tc>
        <w:tc>
          <w:tcPr>
            <w:tcW w:w="992" w:type="dxa"/>
            <w:tcBorders>
              <w:left w:val="single" w:sz="4" w:space="0" w:color="auto"/>
            </w:tcBorders>
            <w:shd w:val="clear" w:color="auto" w:fill="auto"/>
            <w:noWrap/>
            <w:vAlign w:val="center"/>
            <w:hideMark/>
          </w:tcPr>
          <w:p w14:paraId="03F01254"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0.00849</w:t>
            </w:r>
          </w:p>
        </w:tc>
        <w:tc>
          <w:tcPr>
            <w:tcW w:w="917" w:type="dxa"/>
            <w:shd w:val="clear" w:color="auto" w:fill="auto"/>
            <w:noWrap/>
            <w:vAlign w:val="center"/>
            <w:hideMark/>
          </w:tcPr>
          <w:p w14:paraId="2BFBD9D6"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0.0163*</w:t>
            </w:r>
          </w:p>
        </w:tc>
        <w:tc>
          <w:tcPr>
            <w:tcW w:w="1079" w:type="dxa"/>
            <w:gridSpan w:val="2"/>
            <w:shd w:val="clear" w:color="auto" w:fill="auto"/>
            <w:noWrap/>
            <w:vAlign w:val="center"/>
            <w:hideMark/>
          </w:tcPr>
          <w:p w14:paraId="77E0BEDB"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-0.0248*</w:t>
            </w:r>
          </w:p>
        </w:tc>
        <w:tc>
          <w:tcPr>
            <w:tcW w:w="895" w:type="dxa"/>
            <w:vAlign w:val="center"/>
          </w:tcPr>
          <w:p w14:paraId="0406C8C7"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hAnsi="Arial Narrow" w:cs="Calibri"/>
                <w:i/>
                <w:color w:val="000000"/>
                <w:sz w:val="16"/>
                <w:szCs w:val="16"/>
              </w:rPr>
              <w:t>-0.0333</w:t>
            </w:r>
          </w:p>
        </w:tc>
      </w:tr>
      <w:tr w:rsidR="00B83B39" w:rsidRPr="00D13BC1" w14:paraId="7AAF1D15" w14:textId="77777777" w:rsidTr="00F17AF2">
        <w:trPr>
          <w:trHeight w:val="225"/>
        </w:trPr>
        <w:tc>
          <w:tcPr>
            <w:tcW w:w="1985" w:type="dxa"/>
            <w:tcBorders>
              <w:bottom w:val="single" w:sz="4" w:space="0" w:color="auto"/>
              <w:right w:val="single" w:sz="4" w:space="0" w:color="auto"/>
            </w:tcBorders>
            <w:shd w:val="clear" w:color="auto" w:fill="auto"/>
            <w:vAlign w:val="bottom"/>
            <w:hideMark/>
          </w:tcPr>
          <w:p w14:paraId="2EFC11B8"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p>
        </w:tc>
        <w:tc>
          <w:tcPr>
            <w:tcW w:w="992" w:type="dxa"/>
            <w:tcBorders>
              <w:left w:val="single" w:sz="4" w:space="0" w:color="auto"/>
              <w:bottom w:val="single" w:sz="4" w:space="0" w:color="auto"/>
            </w:tcBorders>
            <w:shd w:val="clear" w:color="auto" w:fill="auto"/>
            <w:noWrap/>
            <w:vAlign w:val="bottom"/>
            <w:hideMark/>
          </w:tcPr>
          <w:p w14:paraId="17408BC0"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(0.00835)</w:t>
            </w:r>
          </w:p>
        </w:tc>
        <w:tc>
          <w:tcPr>
            <w:tcW w:w="909" w:type="dxa"/>
            <w:tcBorders>
              <w:bottom w:val="single" w:sz="4" w:space="0" w:color="auto"/>
            </w:tcBorders>
            <w:shd w:val="clear" w:color="auto" w:fill="auto"/>
            <w:noWrap/>
            <w:vAlign w:val="bottom"/>
            <w:hideMark/>
          </w:tcPr>
          <w:p w14:paraId="223DF84E"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(0.00777)</w:t>
            </w:r>
          </w:p>
        </w:tc>
        <w:tc>
          <w:tcPr>
            <w:tcW w:w="909" w:type="dxa"/>
            <w:tcBorders>
              <w:bottom w:val="single" w:sz="4" w:space="0" w:color="auto"/>
            </w:tcBorders>
            <w:shd w:val="clear" w:color="auto" w:fill="auto"/>
            <w:noWrap/>
            <w:vAlign w:val="bottom"/>
            <w:hideMark/>
          </w:tcPr>
          <w:p w14:paraId="3E6B7A9D"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(0.01440)</w:t>
            </w:r>
          </w:p>
        </w:tc>
        <w:tc>
          <w:tcPr>
            <w:tcW w:w="895" w:type="dxa"/>
            <w:tcBorders>
              <w:bottom w:val="single" w:sz="4" w:space="0" w:color="auto"/>
              <w:right w:val="single" w:sz="4" w:space="0" w:color="auto"/>
            </w:tcBorders>
            <w:vAlign w:val="center"/>
          </w:tcPr>
          <w:p w14:paraId="3C4BAE4E" w14:textId="77777777" w:rsidR="00B83B39" w:rsidRPr="008C7298" w:rsidRDefault="00B83B39" w:rsidP="00B83B39">
            <w:pPr>
              <w:adjustRightInd w:val="0"/>
              <w:snapToGrid w:val="0"/>
              <w:spacing w:after="0" w:line="240" w:lineRule="auto"/>
              <w:rPr>
                <w:rFonts w:ascii="Arial Narrow" w:hAnsi="Arial Narrow" w:cs="Arial"/>
                <w:b/>
                <w:i/>
                <w:sz w:val="16"/>
                <w:szCs w:val="16"/>
              </w:rPr>
            </w:pPr>
          </w:p>
        </w:tc>
        <w:tc>
          <w:tcPr>
            <w:tcW w:w="992" w:type="dxa"/>
            <w:tcBorders>
              <w:left w:val="single" w:sz="4" w:space="0" w:color="auto"/>
              <w:bottom w:val="single" w:sz="4" w:space="0" w:color="auto"/>
            </w:tcBorders>
            <w:shd w:val="clear" w:color="auto" w:fill="auto"/>
            <w:noWrap/>
            <w:vAlign w:val="center"/>
            <w:hideMark/>
          </w:tcPr>
          <w:p w14:paraId="3E6AB4F0"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(0.00527)</w:t>
            </w:r>
          </w:p>
        </w:tc>
        <w:tc>
          <w:tcPr>
            <w:tcW w:w="917" w:type="dxa"/>
            <w:tcBorders>
              <w:bottom w:val="single" w:sz="4" w:space="0" w:color="auto"/>
            </w:tcBorders>
            <w:shd w:val="clear" w:color="auto" w:fill="auto"/>
            <w:noWrap/>
            <w:vAlign w:val="center"/>
            <w:hideMark/>
          </w:tcPr>
          <w:p w14:paraId="1EAC236C"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(0.00933)</w:t>
            </w:r>
          </w:p>
        </w:tc>
        <w:tc>
          <w:tcPr>
            <w:tcW w:w="1079" w:type="dxa"/>
            <w:gridSpan w:val="2"/>
            <w:tcBorders>
              <w:bottom w:val="single" w:sz="4" w:space="0" w:color="auto"/>
            </w:tcBorders>
            <w:shd w:val="clear" w:color="auto" w:fill="auto"/>
            <w:noWrap/>
            <w:vAlign w:val="center"/>
            <w:hideMark/>
          </w:tcPr>
          <w:p w14:paraId="4CD79D9B" w14:textId="77777777" w:rsidR="00B83B39" w:rsidRPr="008C7298" w:rsidRDefault="00B83B39" w:rsidP="00B83B39">
            <w:pPr>
              <w:adjustRightInd w:val="0"/>
              <w:snapToGrid w:val="0"/>
              <w:spacing w:after="0" w:line="240" w:lineRule="auto"/>
              <w:rPr>
                <w:rFonts w:ascii="Arial Narrow" w:eastAsia="Times New Roman" w:hAnsi="Arial Narrow" w:cs="Arial"/>
                <w:b/>
                <w:i/>
                <w:sz w:val="16"/>
                <w:szCs w:val="16"/>
              </w:rPr>
            </w:pPr>
            <w:r w:rsidRPr="008C7298">
              <w:rPr>
                <w:rFonts w:ascii="Arial Narrow" w:eastAsia="Times New Roman" w:hAnsi="Arial Narrow" w:cs="Arial"/>
                <w:i/>
                <w:sz w:val="16"/>
                <w:szCs w:val="16"/>
              </w:rPr>
              <w:t>(0.01440)</w:t>
            </w:r>
          </w:p>
        </w:tc>
        <w:tc>
          <w:tcPr>
            <w:tcW w:w="895" w:type="dxa"/>
            <w:tcBorders>
              <w:bottom w:val="single" w:sz="4" w:space="0" w:color="auto"/>
            </w:tcBorders>
            <w:vAlign w:val="center"/>
          </w:tcPr>
          <w:p w14:paraId="06C62611" w14:textId="77777777" w:rsidR="00B83B39" w:rsidRPr="008C7298" w:rsidRDefault="00B83B39" w:rsidP="00B83B39">
            <w:pPr>
              <w:adjustRightInd w:val="0"/>
              <w:snapToGrid w:val="0"/>
              <w:spacing w:after="0" w:line="240" w:lineRule="auto"/>
              <w:rPr>
                <w:rFonts w:ascii="Arial Narrow" w:hAnsi="Arial Narrow" w:cs="Arial"/>
                <w:b/>
                <w:i/>
                <w:sz w:val="16"/>
                <w:szCs w:val="16"/>
              </w:rPr>
            </w:pPr>
          </w:p>
        </w:tc>
      </w:tr>
      <w:tr w:rsidR="003A174B" w:rsidRPr="00682B9C" w14:paraId="1878AD60" w14:textId="77777777" w:rsidTr="00F17AF2">
        <w:trPr>
          <w:trHeight w:val="225"/>
        </w:trPr>
        <w:tc>
          <w:tcPr>
            <w:tcW w:w="5690" w:type="dxa"/>
            <w:gridSpan w:val="5"/>
            <w:tcBorders>
              <w:top w:val="single" w:sz="4" w:space="0" w:color="auto"/>
              <w:bottom w:val="single" w:sz="4" w:space="0" w:color="auto"/>
              <w:right w:val="single" w:sz="4" w:space="0" w:color="auto"/>
            </w:tcBorders>
            <w:shd w:val="clear" w:color="auto" w:fill="auto"/>
            <w:noWrap/>
            <w:vAlign w:val="center"/>
          </w:tcPr>
          <w:p w14:paraId="2AFBB6B3" w14:textId="77777777" w:rsidR="003A174B" w:rsidRPr="00682B9C" w:rsidRDefault="003A174B" w:rsidP="00F17AF2">
            <w:pPr>
              <w:pStyle w:val="ListParagraph"/>
              <w:numPr>
                <w:ilvl w:val="0"/>
                <w:numId w:val="14"/>
              </w:numPr>
              <w:adjustRightInd w:val="0"/>
              <w:snapToGrid w:val="0"/>
              <w:spacing w:after="0" w:line="240" w:lineRule="auto"/>
              <w:rPr>
                <w:rFonts w:ascii="Arial Narrow" w:hAnsi="Arial Narrow" w:cs="Arial"/>
                <w:b/>
                <w:i/>
                <w:sz w:val="16"/>
                <w:szCs w:val="16"/>
              </w:rPr>
            </w:pPr>
            <w:r w:rsidRPr="00682B9C">
              <w:rPr>
                <w:rFonts w:ascii="Arial Narrow" w:hAnsi="Arial Narrow" w:cs="Arial"/>
                <w:b/>
                <w:i/>
                <w:sz w:val="16"/>
                <w:szCs w:val="16"/>
              </w:rPr>
              <w:t>Media Access</w:t>
            </w:r>
          </w:p>
        </w:tc>
        <w:tc>
          <w:tcPr>
            <w:tcW w:w="992" w:type="dxa"/>
            <w:tcBorders>
              <w:top w:val="single" w:sz="4" w:space="0" w:color="auto"/>
              <w:left w:val="single" w:sz="4" w:space="0" w:color="auto"/>
              <w:bottom w:val="single" w:sz="4" w:space="0" w:color="auto"/>
            </w:tcBorders>
            <w:shd w:val="clear" w:color="auto" w:fill="auto"/>
            <w:noWrap/>
            <w:vAlign w:val="center"/>
          </w:tcPr>
          <w:p w14:paraId="159CC579" w14:textId="77777777" w:rsidR="003A174B" w:rsidRPr="00682B9C" w:rsidRDefault="003A174B" w:rsidP="00B83B39">
            <w:pPr>
              <w:adjustRightInd w:val="0"/>
              <w:snapToGrid w:val="0"/>
              <w:spacing w:after="0" w:line="240" w:lineRule="auto"/>
              <w:rPr>
                <w:rFonts w:ascii="Arial Narrow" w:eastAsia="Times New Roman" w:hAnsi="Arial Narrow" w:cs="Arial"/>
                <w:b/>
                <w:i/>
                <w:sz w:val="16"/>
                <w:szCs w:val="16"/>
              </w:rPr>
            </w:pPr>
          </w:p>
        </w:tc>
        <w:tc>
          <w:tcPr>
            <w:tcW w:w="917" w:type="dxa"/>
            <w:tcBorders>
              <w:top w:val="single" w:sz="4" w:space="0" w:color="auto"/>
              <w:bottom w:val="single" w:sz="4" w:space="0" w:color="auto"/>
            </w:tcBorders>
            <w:shd w:val="clear" w:color="auto" w:fill="auto"/>
            <w:noWrap/>
            <w:vAlign w:val="center"/>
          </w:tcPr>
          <w:p w14:paraId="3A5081A2" w14:textId="77777777" w:rsidR="003A174B" w:rsidRPr="00682B9C" w:rsidRDefault="003A174B" w:rsidP="00B83B39">
            <w:pPr>
              <w:adjustRightInd w:val="0"/>
              <w:snapToGrid w:val="0"/>
              <w:spacing w:after="0" w:line="240" w:lineRule="auto"/>
              <w:rPr>
                <w:rFonts w:ascii="Arial Narrow" w:eastAsia="Times New Roman" w:hAnsi="Arial Narrow" w:cs="Arial"/>
                <w:b/>
                <w:i/>
                <w:sz w:val="16"/>
                <w:szCs w:val="16"/>
              </w:rPr>
            </w:pPr>
          </w:p>
        </w:tc>
        <w:tc>
          <w:tcPr>
            <w:tcW w:w="1079" w:type="dxa"/>
            <w:gridSpan w:val="2"/>
            <w:tcBorders>
              <w:top w:val="single" w:sz="4" w:space="0" w:color="auto"/>
              <w:bottom w:val="single" w:sz="4" w:space="0" w:color="auto"/>
            </w:tcBorders>
            <w:shd w:val="clear" w:color="auto" w:fill="auto"/>
            <w:noWrap/>
            <w:vAlign w:val="center"/>
          </w:tcPr>
          <w:p w14:paraId="3D89F30D" w14:textId="77777777" w:rsidR="003A174B" w:rsidRPr="00682B9C" w:rsidRDefault="003A174B" w:rsidP="00B83B39">
            <w:pPr>
              <w:adjustRightInd w:val="0"/>
              <w:snapToGrid w:val="0"/>
              <w:spacing w:after="0" w:line="240" w:lineRule="auto"/>
              <w:rPr>
                <w:rFonts w:ascii="Arial Narrow" w:eastAsia="Times New Roman" w:hAnsi="Arial Narrow" w:cs="Arial"/>
                <w:b/>
                <w:i/>
                <w:sz w:val="16"/>
                <w:szCs w:val="16"/>
              </w:rPr>
            </w:pPr>
          </w:p>
        </w:tc>
        <w:tc>
          <w:tcPr>
            <w:tcW w:w="895" w:type="dxa"/>
            <w:tcBorders>
              <w:top w:val="single" w:sz="4" w:space="0" w:color="auto"/>
              <w:bottom w:val="single" w:sz="4" w:space="0" w:color="auto"/>
            </w:tcBorders>
            <w:vAlign w:val="bottom"/>
          </w:tcPr>
          <w:p w14:paraId="703E1356" w14:textId="77777777" w:rsidR="003A174B" w:rsidRPr="00682B9C" w:rsidRDefault="003A174B" w:rsidP="00B83B39">
            <w:pPr>
              <w:adjustRightInd w:val="0"/>
              <w:snapToGrid w:val="0"/>
              <w:spacing w:after="0" w:line="240" w:lineRule="auto"/>
              <w:rPr>
                <w:rFonts w:ascii="Arial Narrow" w:hAnsi="Arial Narrow" w:cs="Arial"/>
                <w:b/>
                <w:i/>
                <w:sz w:val="16"/>
                <w:szCs w:val="16"/>
              </w:rPr>
            </w:pPr>
          </w:p>
        </w:tc>
      </w:tr>
      <w:tr w:rsidR="003A174B" w:rsidRPr="00D13BC1" w14:paraId="6857D993" w14:textId="77777777" w:rsidTr="00F17AF2">
        <w:trPr>
          <w:trHeight w:val="225"/>
        </w:trPr>
        <w:tc>
          <w:tcPr>
            <w:tcW w:w="1985" w:type="dxa"/>
            <w:tcBorders>
              <w:top w:val="single" w:sz="4" w:space="0" w:color="auto"/>
              <w:right w:val="single" w:sz="4" w:space="0" w:color="auto"/>
            </w:tcBorders>
            <w:shd w:val="clear" w:color="auto" w:fill="auto"/>
            <w:noWrap/>
            <w:vAlign w:val="center"/>
            <w:hideMark/>
          </w:tcPr>
          <w:p w14:paraId="689FFB56"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Radio regular Men</w:t>
            </w:r>
          </w:p>
        </w:tc>
        <w:tc>
          <w:tcPr>
            <w:tcW w:w="992" w:type="dxa"/>
            <w:tcBorders>
              <w:top w:val="single" w:sz="4" w:space="0" w:color="auto"/>
              <w:left w:val="single" w:sz="4" w:space="0" w:color="auto"/>
            </w:tcBorders>
            <w:shd w:val="clear" w:color="auto" w:fill="auto"/>
            <w:noWrap/>
            <w:vAlign w:val="center"/>
            <w:hideMark/>
          </w:tcPr>
          <w:p w14:paraId="5C7A0CAC"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hideMark/>
          </w:tcPr>
          <w:p w14:paraId="51451B0B"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909" w:type="dxa"/>
            <w:tcBorders>
              <w:top w:val="single" w:sz="4" w:space="0" w:color="auto"/>
            </w:tcBorders>
            <w:shd w:val="clear" w:color="auto" w:fill="auto"/>
            <w:noWrap/>
            <w:vAlign w:val="center"/>
            <w:hideMark/>
          </w:tcPr>
          <w:p w14:paraId="632B58CC"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right w:val="single" w:sz="4" w:space="0" w:color="auto"/>
            </w:tcBorders>
            <w:vAlign w:val="center"/>
          </w:tcPr>
          <w:p w14:paraId="10FA8838" w14:textId="77777777" w:rsidR="003A174B" w:rsidRPr="008C7298" w:rsidRDefault="003A174B" w:rsidP="00B83B39">
            <w:pPr>
              <w:adjustRightInd w:val="0"/>
              <w:snapToGrid w:val="0"/>
              <w:spacing w:after="0" w:line="240" w:lineRule="auto"/>
              <w:rPr>
                <w:rFonts w:ascii="Arial Narrow" w:hAnsi="Arial Narrow" w:cs="Arial"/>
                <w:b/>
                <w:sz w:val="16"/>
                <w:szCs w:val="16"/>
              </w:rPr>
            </w:pPr>
          </w:p>
        </w:tc>
        <w:tc>
          <w:tcPr>
            <w:tcW w:w="992" w:type="dxa"/>
            <w:tcBorders>
              <w:top w:val="single" w:sz="4" w:space="0" w:color="auto"/>
              <w:left w:val="single" w:sz="4" w:space="0" w:color="auto"/>
            </w:tcBorders>
            <w:shd w:val="clear" w:color="auto" w:fill="auto"/>
            <w:noWrap/>
            <w:vAlign w:val="center"/>
            <w:hideMark/>
          </w:tcPr>
          <w:p w14:paraId="7648745A"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917" w:type="dxa"/>
            <w:tcBorders>
              <w:top w:val="single" w:sz="4" w:space="0" w:color="auto"/>
            </w:tcBorders>
            <w:shd w:val="clear" w:color="auto" w:fill="auto"/>
            <w:noWrap/>
            <w:vAlign w:val="center"/>
            <w:hideMark/>
          </w:tcPr>
          <w:p w14:paraId="54A4A0BF"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1079" w:type="dxa"/>
            <w:gridSpan w:val="2"/>
            <w:tcBorders>
              <w:top w:val="single" w:sz="4" w:space="0" w:color="auto"/>
            </w:tcBorders>
            <w:shd w:val="clear" w:color="auto" w:fill="auto"/>
            <w:noWrap/>
            <w:vAlign w:val="center"/>
            <w:hideMark/>
          </w:tcPr>
          <w:p w14:paraId="4AB7A98F" w14:textId="77777777" w:rsidR="003A174B" w:rsidRPr="008C7298" w:rsidRDefault="003A174B" w:rsidP="00B83B39">
            <w:pPr>
              <w:adjustRightInd w:val="0"/>
              <w:snapToGrid w:val="0"/>
              <w:spacing w:after="0" w:line="240" w:lineRule="auto"/>
              <w:rPr>
                <w:rFonts w:ascii="Arial Narrow" w:eastAsia="Times New Roman" w:hAnsi="Arial Narrow" w:cs="Arial"/>
                <w:b/>
                <w:sz w:val="16"/>
                <w:szCs w:val="16"/>
              </w:rPr>
            </w:pPr>
          </w:p>
        </w:tc>
        <w:tc>
          <w:tcPr>
            <w:tcW w:w="895" w:type="dxa"/>
            <w:tcBorders>
              <w:top w:val="single" w:sz="4" w:space="0" w:color="auto"/>
            </w:tcBorders>
            <w:vAlign w:val="bottom"/>
          </w:tcPr>
          <w:p w14:paraId="02F0BB8E" w14:textId="77777777" w:rsidR="003A174B" w:rsidRPr="008C7298" w:rsidRDefault="003A174B" w:rsidP="00B83B39">
            <w:pPr>
              <w:adjustRightInd w:val="0"/>
              <w:snapToGrid w:val="0"/>
              <w:spacing w:after="0" w:line="240" w:lineRule="auto"/>
              <w:rPr>
                <w:rFonts w:ascii="Arial Narrow" w:hAnsi="Arial Narrow" w:cs="Arial"/>
                <w:b/>
                <w:sz w:val="16"/>
                <w:szCs w:val="16"/>
              </w:rPr>
            </w:pPr>
          </w:p>
        </w:tc>
      </w:tr>
      <w:tr w:rsidR="00B83B39" w:rsidRPr="00D13BC1" w14:paraId="0CAC51BA" w14:textId="77777777" w:rsidTr="00F17AF2">
        <w:trPr>
          <w:trHeight w:val="225"/>
        </w:trPr>
        <w:tc>
          <w:tcPr>
            <w:tcW w:w="1985" w:type="dxa"/>
            <w:tcBorders>
              <w:right w:val="single" w:sz="4" w:space="0" w:color="auto"/>
            </w:tcBorders>
            <w:shd w:val="clear" w:color="auto" w:fill="auto"/>
            <w:vAlign w:val="center"/>
            <w:hideMark/>
          </w:tcPr>
          <w:p w14:paraId="0D42D5F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Regularly</w:t>
            </w:r>
          </w:p>
        </w:tc>
        <w:tc>
          <w:tcPr>
            <w:tcW w:w="992" w:type="dxa"/>
            <w:tcBorders>
              <w:left w:val="single" w:sz="4" w:space="0" w:color="auto"/>
            </w:tcBorders>
            <w:shd w:val="clear" w:color="auto" w:fill="auto"/>
            <w:noWrap/>
            <w:vAlign w:val="bottom"/>
            <w:hideMark/>
          </w:tcPr>
          <w:p w14:paraId="58163A7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-0.0276***</w:t>
            </w:r>
          </w:p>
        </w:tc>
        <w:tc>
          <w:tcPr>
            <w:tcW w:w="909" w:type="dxa"/>
            <w:shd w:val="clear" w:color="auto" w:fill="auto"/>
            <w:noWrap/>
            <w:vAlign w:val="bottom"/>
            <w:hideMark/>
          </w:tcPr>
          <w:p w14:paraId="67CED99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-0.0398***</w:t>
            </w:r>
          </w:p>
        </w:tc>
        <w:tc>
          <w:tcPr>
            <w:tcW w:w="909" w:type="dxa"/>
            <w:shd w:val="clear" w:color="auto" w:fill="auto"/>
            <w:noWrap/>
            <w:vAlign w:val="bottom"/>
            <w:hideMark/>
          </w:tcPr>
          <w:p w14:paraId="057EBD0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0.0674***</w:t>
            </w:r>
          </w:p>
        </w:tc>
        <w:tc>
          <w:tcPr>
            <w:tcW w:w="895" w:type="dxa"/>
            <w:tcBorders>
              <w:right w:val="single" w:sz="4" w:space="0" w:color="auto"/>
            </w:tcBorders>
            <w:vAlign w:val="center"/>
          </w:tcPr>
          <w:p w14:paraId="6A2614A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0.095</w:t>
            </w:r>
          </w:p>
        </w:tc>
        <w:tc>
          <w:tcPr>
            <w:tcW w:w="992" w:type="dxa"/>
            <w:tcBorders>
              <w:left w:val="single" w:sz="4" w:space="0" w:color="auto"/>
            </w:tcBorders>
            <w:shd w:val="clear" w:color="auto" w:fill="auto"/>
            <w:noWrap/>
            <w:vAlign w:val="center"/>
            <w:hideMark/>
          </w:tcPr>
          <w:p w14:paraId="51F3081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0.00294</w:t>
            </w:r>
          </w:p>
        </w:tc>
        <w:tc>
          <w:tcPr>
            <w:tcW w:w="917" w:type="dxa"/>
            <w:shd w:val="clear" w:color="auto" w:fill="auto"/>
            <w:noWrap/>
            <w:vAlign w:val="center"/>
            <w:hideMark/>
          </w:tcPr>
          <w:p w14:paraId="738AF1E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0.00594</w:t>
            </w:r>
          </w:p>
        </w:tc>
        <w:tc>
          <w:tcPr>
            <w:tcW w:w="1079" w:type="dxa"/>
            <w:gridSpan w:val="2"/>
            <w:shd w:val="clear" w:color="auto" w:fill="auto"/>
            <w:noWrap/>
            <w:vAlign w:val="center"/>
            <w:hideMark/>
          </w:tcPr>
          <w:p w14:paraId="346F6C6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-0.00888</w:t>
            </w:r>
          </w:p>
        </w:tc>
        <w:tc>
          <w:tcPr>
            <w:tcW w:w="895" w:type="dxa"/>
            <w:vAlign w:val="center"/>
          </w:tcPr>
          <w:p w14:paraId="319DC57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-0.01182</w:t>
            </w:r>
          </w:p>
        </w:tc>
      </w:tr>
      <w:tr w:rsidR="00B83B39" w:rsidRPr="00D13BC1" w14:paraId="41711993" w14:textId="77777777" w:rsidTr="00F17AF2">
        <w:trPr>
          <w:trHeight w:val="225"/>
        </w:trPr>
        <w:tc>
          <w:tcPr>
            <w:tcW w:w="1985" w:type="dxa"/>
            <w:tcBorders>
              <w:right w:val="single" w:sz="4" w:space="0" w:color="auto"/>
            </w:tcBorders>
            <w:shd w:val="clear" w:color="auto" w:fill="auto"/>
            <w:vAlign w:val="bottom"/>
            <w:hideMark/>
          </w:tcPr>
          <w:p w14:paraId="49C7FF9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18A55EC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(0.00558)</w:t>
            </w:r>
          </w:p>
        </w:tc>
        <w:tc>
          <w:tcPr>
            <w:tcW w:w="909" w:type="dxa"/>
            <w:shd w:val="clear" w:color="auto" w:fill="auto"/>
            <w:noWrap/>
            <w:vAlign w:val="bottom"/>
            <w:hideMark/>
          </w:tcPr>
          <w:p w14:paraId="1B32F6F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(0.00921)</w:t>
            </w:r>
          </w:p>
        </w:tc>
        <w:tc>
          <w:tcPr>
            <w:tcW w:w="909" w:type="dxa"/>
            <w:shd w:val="clear" w:color="auto" w:fill="auto"/>
            <w:noWrap/>
            <w:vAlign w:val="bottom"/>
            <w:hideMark/>
          </w:tcPr>
          <w:p w14:paraId="0D38BA9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(0.01240)</w:t>
            </w:r>
          </w:p>
        </w:tc>
        <w:tc>
          <w:tcPr>
            <w:tcW w:w="895" w:type="dxa"/>
            <w:tcBorders>
              <w:right w:val="single" w:sz="4" w:space="0" w:color="auto"/>
            </w:tcBorders>
            <w:vAlign w:val="center"/>
          </w:tcPr>
          <w:p w14:paraId="545C2048"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6D4F3EA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-0.00385</w:t>
            </w:r>
          </w:p>
        </w:tc>
        <w:tc>
          <w:tcPr>
            <w:tcW w:w="917" w:type="dxa"/>
            <w:shd w:val="clear" w:color="auto" w:fill="auto"/>
            <w:noWrap/>
            <w:vAlign w:val="center"/>
            <w:hideMark/>
          </w:tcPr>
          <w:p w14:paraId="1424487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-0.00757</w:t>
            </w:r>
          </w:p>
        </w:tc>
        <w:tc>
          <w:tcPr>
            <w:tcW w:w="1079" w:type="dxa"/>
            <w:gridSpan w:val="2"/>
            <w:shd w:val="clear" w:color="auto" w:fill="auto"/>
            <w:noWrap/>
            <w:vAlign w:val="center"/>
            <w:hideMark/>
          </w:tcPr>
          <w:p w14:paraId="4EFDD4E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-0.0114</w:t>
            </w:r>
          </w:p>
        </w:tc>
        <w:tc>
          <w:tcPr>
            <w:tcW w:w="895" w:type="dxa"/>
            <w:vAlign w:val="center"/>
          </w:tcPr>
          <w:p w14:paraId="7ADE690D"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229EAACF" w14:textId="77777777" w:rsidTr="00F17AF2">
        <w:trPr>
          <w:trHeight w:val="225"/>
        </w:trPr>
        <w:tc>
          <w:tcPr>
            <w:tcW w:w="1985" w:type="dxa"/>
            <w:tcBorders>
              <w:right w:val="single" w:sz="4" w:space="0" w:color="auto"/>
            </w:tcBorders>
            <w:shd w:val="clear" w:color="auto" w:fill="auto"/>
            <w:noWrap/>
            <w:vAlign w:val="center"/>
            <w:hideMark/>
          </w:tcPr>
          <w:p w14:paraId="2AEEEE0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Radio regular Women</w:t>
            </w:r>
          </w:p>
        </w:tc>
        <w:tc>
          <w:tcPr>
            <w:tcW w:w="992" w:type="dxa"/>
            <w:tcBorders>
              <w:left w:val="single" w:sz="4" w:space="0" w:color="auto"/>
            </w:tcBorders>
            <w:shd w:val="clear" w:color="auto" w:fill="auto"/>
            <w:noWrap/>
            <w:vAlign w:val="bottom"/>
            <w:hideMark/>
          </w:tcPr>
          <w:p w14:paraId="2B2D486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0340299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4F88048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3021BEBB"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199ECBB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7BF95B9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283C316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283F61FB"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0C810F8C" w14:textId="77777777" w:rsidTr="00F17AF2">
        <w:trPr>
          <w:trHeight w:val="225"/>
        </w:trPr>
        <w:tc>
          <w:tcPr>
            <w:tcW w:w="1985" w:type="dxa"/>
            <w:tcBorders>
              <w:right w:val="single" w:sz="4" w:space="0" w:color="auto"/>
            </w:tcBorders>
            <w:shd w:val="clear" w:color="auto" w:fill="auto"/>
            <w:vAlign w:val="center"/>
            <w:hideMark/>
          </w:tcPr>
          <w:p w14:paraId="3C0B8BC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Regularly</w:t>
            </w:r>
          </w:p>
        </w:tc>
        <w:tc>
          <w:tcPr>
            <w:tcW w:w="992" w:type="dxa"/>
            <w:tcBorders>
              <w:left w:val="single" w:sz="4" w:space="0" w:color="auto"/>
            </w:tcBorders>
            <w:shd w:val="clear" w:color="auto" w:fill="auto"/>
            <w:noWrap/>
            <w:vAlign w:val="bottom"/>
            <w:hideMark/>
          </w:tcPr>
          <w:p w14:paraId="21FD730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0.0171***</w:t>
            </w:r>
          </w:p>
        </w:tc>
        <w:tc>
          <w:tcPr>
            <w:tcW w:w="909" w:type="dxa"/>
            <w:shd w:val="clear" w:color="auto" w:fill="auto"/>
            <w:noWrap/>
            <w:vAlign w:val="bottom"/>
            <w:hideMark/>
          </w:tcPr>
          <w:p w14:paraId="1332E6C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0.0185***</w:t>
            </w:r>
          </w:p>
        </w:tc>
        <w:tc>
          <w:tcPr>
            <w:tcW w:w="909" w:type="dxa"/>
            <w:shd w:val="clear" w:color="auto" w:fill="auto"/>
            <w:noWrap/>
            <w:vAlign w:val="bottom"/>
            <w:hideMark/>
          </w:tcPr>
          <w:p w14:paraId="22CC373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-0.0356***</w:t>
            </w:r>
          </w:p>
        </w:tc>
        <w:tc>
          <w:tcPr>
            <w:tcW w:w="895" w:type="dxa"/>
            <w:tcBorders>
              <w:right w:val="single" w:sz="4" w:space="0" w:color="auto"/>
            </w:tcBorders>
            <w:vAlign w:val="center"/>
          </w:tcPr>
          <w:p w14:paraId="0F6EE11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-0.0527</w:t>
            </w:r>
          </w:p>
        </w:tc>
        <w:tc>
          <w:tcPr>
            <w:tcW w:w="992" w:type="dxa"/>
            <w:tcBorders>
              <w:left w:val="single" w:sz="4" w:space="0" w:color="auto"/>
            </w:tcBorders>
            <w:shd w:val="clear" w:color="auto" w:fill="auto"/>
            <w:noWrap/>
            <w:vAlign w:val="center"/>
            <w:hideMark/>
          </w:tcPr>
          <w:p w14:paraId="2BBD29D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-0.00193</w:t>
            </w:r>
          </w:p>
        </w:tc>
        <w:tc>
          <w:tcPr>
            <w:tcW w:w="917" w:type="dxa"/>
            <w:shd w:val="clear" w:color="auto" w:fill="auto"/>
            <w:noWrap/>
            <w:vAlign w:val="center"/>
            <w:hideMark/>
          </w:tcPr>
          <w:p w14:paraId="12FAB65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-0.00405</w:t>
            </w:r>
          </w:p>
        </w:tc>
        <w:tc>
          <w:tcPr>
            <w:tcW w:w="1079" w:type="dxa"/>
            <w:gridSpan w:val="2"/>
            <w:shd w:val="clear" w:color="auto" w:fill="auto"/>
            <w:noWrap/>
            <w:vAlign w:val="center"/>
            <w:hideMark/>
          </w:tcPr>
          <w:p w14:paraId="3732A31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0.00598</w:t>
            </w:r>
          </w:p>
        </w:tc>
        <w:tc>
          <w:tcPr>
            <w:tcW w:w="895" w:type="dxa"/>
            <w:vAlign w:val="center"/>
          </w:tcPr>
          <w:p w14:paraId="2CA68D2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0.00791</w:t>
            </w:r>
          </w:p>
        </w:tc>
      </w:tr>
      <w:tr w:rsidR="00B83B39" w:rsidRPr="00D13BC1" w14:paraId="32FB836E" w14:textId="77777777" w:rsidTr="00F17AF2">
        <w:trPr>
          <w:trHeight w:val="225"/>
        </w:trPr>
        <w:tc>
          <w:tcPr>
            <w:tcW w:w="1985" w:type="dxa"/>
            <w:tcBorders>
              <w:right w:val="single" w:sz="4" w:space="0" w:color="auto"/>
            </w:tcBorders>
            <w:shd w:val="clear" w:color="auto" w:fill="auto"/>
            <w:vAlign w:val="bottom"/>
            <w:hideMark/>
          </w:tcPr>
          <w:p w14:paraId="4E3E183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3F3301B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(0.00656)</w:t>
            </w:r>
          </w:p>
        </w:tc>
        <w:tc>
          <w:tcPr>
            <w:tcW w:w="909" w:type="dxa"/>
            <w:shd w:val="clear" w:color="auto" w:fill="auto"/>
            <w:noWrap/>
            <w:vAlign w:val="bottom"/>
            <w:hideMark/>
          </w:tcPr>
          <w:p w14:paraId="22D4C0B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(0.00680)</w:t>
            </w:r>
          </w:p>
        </w:tc>
        <w:tc>
          <w:tcPr>
            <w:tcW w:w="909" w:type="dxa"/>
            <w:shd w:val="clear" w:color="auto" w:fill="auto"/>
            <w:noWrap/>
            <w:vAlign w:val="bottom"/>
            <w:hideMark/>
          </w:tcPr>
          <w:p w14:paraId="56F2D98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(0.01240)</w:t>
            </w:r>
          </w:p>
        </w:tc>
        <w:tc>
          <w:tcPr>
            <w:tcW w:w="895" w:type="dxa"/>
            <w:tcBorders>
              <w:right w:val="single" w:sz="4" w:space="0" w:color="auto"/>
            </w:tcBorders>
            <w:vAlign w:val="center"/>
          </w:tcPr>
          <w:p w14:paraId="3D907CE4"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6B14170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(0.00394)</w:t>
            </w:r>
          </w:p>
        </w:tc>
        <w:tc>
          <w:tcPr>
            <w:tcW w:w="917" w:type="dxa"/>
            <w:shd w:val="clear" w:color="auto" w:fill="auto"/>
            <w:noWrap/>
            <w:vAlign w:val="center"/>
            <w:hideMark/>
          </w:tcPr>
          <w:p w14:paraId="7CC496C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(0.00833)</w:t>
            </w:r>
          </w:p>
        </w:tc>
        <w:tc>
          <w:tcPr>
            <w:tcW w:w="1079" w:type="dxa"/>
            <w:gridSpan w:val="2"/>
            <w:shd w:val="clear" w:color="auto" w:fill="auto"/>
            <w:noWrap/>
            <w:vAlign w:val="center"/>
            <w:hideMark/>
          </w:tcPr>
          <w:p w14:paraId="1CDA0AE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(0.01230)</w:t>
            </w:r>
          </w:p>
        </w:tc>
        <w:tc>
          <w:tcPr>
            <w:tcW w:w="895" w:type="dxa"/>
            <w:vAlign w:val="center"/>
          </w:tcPr>
          <w:p w14:paraId="73E1A81E"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1FC4B5E4" w14:textId="77777777" w:rsidTr="00F17AF2">
        <w:trPr>
          <w:trHeight w:val="225"/>
        </w:trPr>
        <w:tc>
          <w:tcPr>
            <w:tcW w:w="1985" w:type="dxa"/>
            <w:tcBorders>
              <w:right w:val="single" w:sz="4" w:space="0" w:color="auto"/>
            </w:tcBorders>
            <w:shd w:val="clear" w:color="auto" w:fill="auto"/>
            <w:noWrap/>
            <w:vAlign w:val="center"/>
            <w:hideMark/>
          </w:tcPr>
          <w:p w14:paraId="75EDE89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Newspaper regular Men</w:t>
            </w:r>
          </w:p>
        </w:tc>
        <w:tc>
          <w:tcPr>
            <w:tcW w:w="992" w:type="dxa"/>
            <w:tcBorders>
              <w:left w:val="single" w:sz="4" w:space="0" w:color="auto"/>
            </w:tcBorders>
            <w:shd w:val="clear" w:color="auto" w:fill="auto"/>
            <w:noWrap/>
            <w:vAlign w:val="bottom"/>
            <w:hideMark/>
          </w:tcPr>
          <w:p w14:paraId="43014D6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2402A91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151E37F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tcBorders>
              <w:right w:val="single" w:sz="4" w:space="0" w:color="auto"/>
            </w:tcBorders>
            <w:vAlign w:val="center"/>
          </w:tcPr>
          <w:p w14:paraId="4356D42E"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7516B86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03AE5E5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53668F6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vAlign w:val="center"/>
          </w:tcPr>
          <w:p w14:paraId="2098C4DA"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7DE22044" w14:textId="77777777" w:rsidTr="00F17AF2">
        <w:trPr>
          <w:trHeight w:val="225"/>
        </w:trPr>
        <w:tc>
          <w:tcPr>
            <w:tcW w:w="1985" w:type="dxa"/>
            <w:tcBorders>
              <w:right w:val="single" w:sz="4" w:space="0" w:color="auto"/>
            </w:tcBorders>
            <w:shd w:val="clear" w:color="auto" w:fill="auto"/>
            <w:vAlign w:val="center"/>
            <w:hideMark/>
          </w:tcPr>
          <w:p w14:paraId="5882A55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Regularly</w:t>
            </w:r>
          </w:p>
        </w:tc>
        <w:tc>
          <w:tcPr>
            <w:tcW w:w="992" w:type="dxa"/>
            <w:tcBorders>
              <w:left w:val="single" w:sz="4" w:space="0" w:color="auto"/>
            </w:tcBorders>
            <w:shd w:val="clear" w:color="auto" w:fill="auto"/>
            <w:noWrap/>
            <w:vAlign w:val="bottom"/>
            <w:hideMark/>
          </w:tcPr>
          <w:p w14:paraId="270F1A8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-0.0176***</w:t>
            </w:r>
          </w:p>
        </w:tc>
        <w:tc>
          <w:tcPr>
            <w:tcW w:w="909" w:type="dxa"/>
            <w:shd w:val="clear" w:color="auto" w:fill="auto"/>
            <w:noWrap/>
            <w:vAlign w:val="bottom"/>
            <w:hideMark/>
          </w:tcPr>
          <w:p w14:paraId="0979B84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-0.0239***</w:t>
            </w:r>
          </w:p>
        </w:tc>
        <w:tc>
          <w:tcPr>
            <w:tcW w:w="909" w:type="dxa"/>
            <w:shd w:val="clear" w:color="auto" w:fill="auto"/>
            <w:noWrap/>
            <w:vAlign w:val="bottom"/>
            <w:hideMark/>
          </w:tcPr>
          <w:p w14:paraId="1D9EA88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0.0416***</w:t>
            </w:r>
          </w:p>
        </w:tc>
        <w:tc>
          <w:tcPr>
            <w:tcW w:w="895" w:type="dxa"/>
            <w:tcBorders>
              <w:right w:val="single" w:sz="4" w:space="0" w:color="auto"/>
            </w:tcBorders>
            <w:vAlign w:val="center"/>
          </w:tcPr>
          <w:p w14:paraId="6AB4E44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0.0593</w:t>
            </w:r>
          </w:p>
        </w:tc>
        <w:tc>
          <w:tcPr>
            <w:tcW w:w="992" w:type="dxa"/>
            <w:tcBorders>
              <w:left w:val="single" w:sz="4" w:space="0" w:color="auto"/>
            </w:tcBorders>
            <w:shd w:val="clear" w:color="auto" w:fill="auto"/>
            <w:noWrap/>
            <w:vAlign w:val="center"/>
            <w:hideMark/>
          </w:tcPr>
          <w:p w14:paraId="38A5E3A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-0.00607**</w:t>
            </w:r>
          </w:p>
        </w:tc>
        <w:tc>
          <w:tcPr>
            <w:tcW w:w="917" w:type="dxa"/>
            <w:shd w:val="clear" w:color="auto" w:fill="auto"/>
            <w:noWrap/>
            <w:vAlign w:val="center"/>
            <w:hideMark/>
          </w:tcPr>
          <w:p w14:paraId="4F1AC36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-0.0130**</w:t>
            </w:r>
          </w:p>
        </w:tc>
        <w:tc>
          <w:tcPr>
            <w:tcW w:w="1079" w:type="dxa"/>
            <w:gridSpan w:val="2"/>
            <w:shd w:val="clear" w:color="auto" w:fill="auto"/>
            <w:noWrap/>
            <w:vAlign w:val="center"/>
            <w:hideMark/>
          </w:tcPr>
          <w:p w14:paraId="50C6079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0.0191**</w:t>
            </w:r>
          </w:p>
        </w:tc>
        <w:tc>
          <w:tcPr>
            <w:tcW w:w="895" w:type="dxa"/>
            <w:vAlign w:val="center"/>
          </w:tcPr>
          <w:p w14:paraId="581D7A1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0.0252</w:t>
            </w:r>
          </w:p>
        </w:tc>
      </w:tr>
      <w:tr w:rsidR="00B83B39" w:rsidRPr="00D13BC1" w14:paraId="59B18D8E" w14:textId="77777777" w:rsidTr="00F17AF2">
        <w:trPr>
          <w:trHeight w:val="225"/>
        </w:trPr>
        <w:tc>
          <w:tcPr>
            <w:tcW w:w="1985" w:type="dxa"/>
            <w:tcBorders>
              <w:right w:val="single" w:sz="4" w:space="0" w:color="auto"/>
            </w:tcBorders>
            <w:shd w:val="clear" w:color="auto" w:fill="auto"/>
            <w:vAlign w:val="bottom"/>
            <w:hideMark/>
          </w:tcPr>
          <w:p w14:paraId="66FCD55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0C90BE7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(0.00444)</w:t>
            </w:r>
          </w:p>
        </w:tc>
        <w:tc>
          <w:tcPr>
            <w:tcW w:w="909" w:type="dxa"/>
            <w:shd w:val="clear" w:color="auto" w:fill="auto"/>
            <w:noWrap/>
            <w:vAlign w:val="bottom"/>
            <w:hideMark/>
          </w:tcPr>
          <w:p w14:paraId="27E8025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(0.00640)</w:t>
            </w:r>
          </w:p>
        </w:tc>
        <w:tc>
          <w:tcPr>
            <w:tcW w:w="909" w:type="dxa"/>
            <w:shd w:val="clear" w:color="auto" w:fill="auto"/>
            <w:noWrap/>
            <w:vAlign w:val="bottom"/>
            <w:hideMark/>
          </w:tcPr>
          <w:p w14:paraId="0AADDFE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(0.00953)</w:t>
            </w:r>
          </w:p>
        </w:tc>
        <w:tc>
          <w:tcPr>
            <w:tcW w:w="895" w:type="dxa"/>
            <w:tcBorders>
              <w:right w:val="single" w:sz="4" w:space="0" w:color="auto"/>
            </w:tcBorders>
            <w:vAlign w:val="center"/>
          </w:tcPr>
          <w:p w14:paraId="4B727748"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0156D60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(0.00290)</w:t>
            </w:r>
          </w:p>
        </w:tc>
        <w:tc>
          <w:tcPr>
            <w:tcW w:w="917" w:type="dxa"/>
            <w:shd w:val="clear" w:color="auto" w:fill="auto"/>
            <w:noWrap/>
            <w:vAlign w:val="center"/>
            <w:hideMark/>
          </w:tcPr>
          <w:p w14:paraId="7B5CBDD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(0.00622)</w:t>
            </w:r>
          </w:p>
        </w:tc>
        <w:tc>
          <w:tcPr>
            <w:tcW w:w="1079" w:type="dxa"/>
            <w:gridSpan w:val="2"/>
            <w:shd w:val="clear" w:color="auto" w:fill="auto"/>
            <w:noWrap/>
            <w:vAlign w:val="center"/>
            <w:hideMark/>
          </w:tcPr>
          <w:p w14:paraId="2FEB433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(0.00894)</w:t>
            </w:r>
          </w:p>
        </w:tc>
        <w:tc>
          <w:tcPr>
            <w:tcW w:w="895" w:type="dxa"/>
            <w:vAlign w:val="center"/>
          </w:tcPr>
          <w:p w14:paraId="6F7E41DC"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727C504A" w14:textId="77777777" w:rsidTr="00F17AF2">
        <w:trPr>
          <w:trHeight w:val="225"/>
        </w:trPr>
        <w:tc>
          <w:tcPr>
            <w:tcW w:w="1985" w:type="dxa"/>
            <w:tcBorders>
              <w:right w:val="single" w:sz="4" w:space="0" w:color="auto"/>
            </w:tcBorders>
            <w:shd w:val="clear" w:color="auto" w:fill="auto"/>
            <w:noWrap/>
            <w:vAlign w:val="center"/>
            <w:hideMark/>
          </w:tcPr>
          <w:p w14:paraId="0B906B8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Newspaper regular Women</w:t>
            </w:r>
          </w:p>
        </w:tc>
        <w:tc>
          <w:tcPr>
            <w:tcW w:w="992" w:type="dxa"/>
            <w:tcBorders>
              <w:left w:val="single" w:sz="4" w:space="0" w:color="auto"/>
            </w:tcBorders>
            <w:shd w:val="clear" w:color="auto" w:fill="auto"/>
            <w:noWrap/>
            <w:vAlign w:val="bottom"/>
            <w:hideMark/>
          </w:tcPr>
          <w:p w14:paraId="3E793BC9"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4BF7548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6A7295F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tcBorders>
              <w:right w:val="single" w:sz="4" w:space="0" w:color="auto"/>
            </w:tcBorders>
            <w:vAlign w:val="center"/>
          </w:tcPr>
          <w:p w14:paraId="48EFCCD1"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32914E9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0B80901C"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5E253DD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vAlign w:val="center"/>
          </w:tcPr>
          <w:p w14:paraId="55C144E1"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64DF3E7E" w14:textId="77777777" w:rsidTr="00F17AF2">
        <w:trPr>
          <w:trHeight w:val="225"/>
        </w:trPr>
        <w:tc>
          <w:tcPr>
            <w:tcW w:w="1985" w:type="dxa"/>
            <w:tcBorders>
              <w:right w:val="single" w:sz="4" w:space="0" w:color="auto"/>
            </w:tcBorders>
            <w:shd w:val="clear" w:color="auto" w:fill="auto"/>
            <w:vAlign w:val="center"/>
            <w:hideMark/>
          </w:tcPr>
          <w:p w14:paraId="26211DF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Regularly</w:t>
            </w:r>
          </w:p>
        </w:tc>
        <w:tc>
          <w:tcPr>
            <w:tcW w:w="992" w:type="dxa"/>
            <w:tcBorders>
              <w:left w:val="single" w:sz="4" w:space="0" w:color="auto"/>
            </w:tcBorders>
            <w:shd w:val="clear" w:color="auto" w:fill="auto"/>
            <w:noWrap/>
            <w:vAlign w:val="bottom"/>
            <w:hideMark/>
          </w:tcPr>
          <w:p w14:paraId="5F869884"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-0.0144***</w:t>
            </w:r>
          </w:p>
        </w:tc>
        <w:tc>
          <w:tcPr>
            <w:tcW w:w="909" w:type="dxa"/>
            <w:shd w:val="clear" w:color="auto" w:fill="auto"/>
            <w:noWrap/>
            <w:vAlign w:val="bottom"/>
            <w:hideMark/>
          </w:tcPr>
          <w:p w14:paraId="4995E45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-0.0195***</w:t>
            </w:r>
          </w:p>
        </w:tc>
        <w:tc>
          <w:tcPr>
            <w:tcW w:w="909" w:type="dxa"/>
            <w:shd w:val="clear" w:color="auto" w:fill="auto"/>
            <w:noWrap/>
            <w:vAlign w:val="bottom"/>
            <w:hideMark/>
          </w:tcPr>
          <w:p w14:paraId="1666603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0.0339***</w:t>
            </w:r>
          </w:p>
        </w:tc>
        <w:tc>
          <w:tcPr>
            <w:tcW w:w="895" w:type="dxa"/>
            <w:tcBorders>
              <w:right w:val="single" w:sz="4" w:space="0" w:color="auto"/>
            </w:tcBorders>
            <w:vAlign w:val="center"/>
          </w:tcPr>
          <w:p w14:paraId="7084BED7"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0.0483</w:t>
            </w:r>
          </w:p>
        </w:tc>
        <w:tc>
          <w:tcPr>
            <w:tcW w:w="992" w:type="dxa"/>
            <w:tcBorders>
              <w:left w:val="single" w:sz="4" w:space="0" w:color="auto"/>
            </w:tcBorders>
            <w:shd w:val="clear" w:color="auto" w:fill="auto"/>
            <w:noWrap/>
            <w:vAlign w:val="center"/>
            <w:hideMark/>
          </w:tcPr>
          <w:p w14:paraId="2F9A412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-0.0255***</w:t>
            </w:r>
          </w:p>
        </w:tc>
        <w:tc>
          <w:tcPr>
            <w:tcW w:w="917" w:type="dxa"/>
            <w:shd w:val="clear" w:color="auto" w:fill="auto"/>
            <w:noWrap/>
            <w:vAlign w:val="center"/>
            <w:hideMark/>
          </w:tcPr>
          <w:p w14:paraId="4BC2698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-0.0646***</w:t>
            </w:r>
          </w:p>
        </w:tc>
        <w:tc>
          <w:tcPr>
            <w:tcW w:w="1079" w:type="dxa"/>
            <w:gridSpan w:val="2"/>
            <w:shd w:val="clear" w:color="auto" w:fill="auto"/>
            <w:noWrap/>
            <w:vAlign w:val="center"/>
            <w:hideMark/>
          </w:tcPr>
          <w:p w14:paraId="7C57639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0.0901***</w:t>
            </w:r>
          </w:p>
        </w:tc>
        <w:tc>
          <w:tcPr>
            <w:tcW w:w="895" w:type="dxa"/>
            <w:vAlign w:val="center"/>
          </w:tcPr>
          <w:p w14:paraId="3F957CB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0.1156</w:t>
            </w:r>
          </w:p>
        </w:tc>
      </w:tr>
      <w:tr w:rsidR="00B83B39" w:rsidRPr="00D13BC1" w14:paraId="6ADEC7FA" w14:textId="77777777" w:rsidTr="00F17AF2">
        <w:trPr>
          <w:trHeight w:val="225"/>
        </w:trPr>
        <w:tc>
          <w:tcPr>
            <w:tcW w:w="1985" w:type="dxa"/>
            <w:tcBorders>
              <w:right w:val="single" w:sz="4" w:space="0" w:color="auto"/>
            </w:tcBorders>
            <w:shd w:val="clear" w:color="auto" w:fill="auto"/>
            <w:vAlign w:val="bottom"/>
            <w:hideMark/>
          </w:tcPr>
          <w:p w14:paraId="636D4DD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tcBorders>
            <w:shd w:val="clear" w:color="auto" w:fill="auto"/>
            <w:noWrap/>
            <w:vAlign w:val="bottom"/>
            <w:hideMark/>
          </w:tcPr>
          <w:p w14:paraId="734F80A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(0.00506)</w:t>
            </w:r>
          </w:p>
        </w:tc>
        <w:tc>
          <w:tcPr>
            <w:tcW w:w="909" w:type="dxa"/>
            <w:shd w:val="clear" w:color="auto" w:fill="auto"/>
            <w:noWrap/>
            <w:vAlign w:val="bottom"/>
            <w:hideMark/>
          </w:tcPr>
          <w:p w14:paraId="4C06665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(0.00731)</w:t>
            </w:r>
          </w:p>
        </w:tc>
        <w:tc>
          <w:tcPr>
            <w:tcW w:w="909" w:type="dxa"/>
            <w:shd w:val="clear" w:color="auto" w:fill="auto"/>
            <w:noWrap/>
            <w:vAlign w:val="bottom"/>
            <w:hideMark/>
          </w:tcPr>
          <w:p w14:paraId="2C903CB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(0.01160)</w:t>
            </w:r>
          </w:p>
        </w:tc>
        <w:tc>
          <w:tcPr>
            <w:tcW w:w="895" w:type="dxa"/>
            <w:tcBorders>
              <w:right w:val="single" w:sz="4" w:space="0" w:color="auto"/>
            </w:tcBorders>
            <w:vAlign w:val="center"/>
          </w:tcPr>
          <w:p w14:paraId="34762C05"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3483991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(0.00428)</w:t>
            </w:r>
          </w:p>
        </w:tc>
        <w:tc>
          <w:tcPr>
            <w:tcW w:w="917" w:type="dxa"/>
            <w:shd w:val="clear" w:color="auto" w:fill="auto"/>
            <w:noWrap/>
            <w:vAlign w:val="center"/>
            <w:hideMark/>
          </w:tcPr>
          <w:p w14:paraId="379559C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(0.00910)</w:t>
            </w:r>
          </w:p>
        </w:tc>
        <w:tc>
          <w:tcPr>
            <w:tcW w:w="1079" w:type="dxa"/>
            <w:gridSpan w:val="2"/>
            <w:shd w:val="clear" w:color="auto" w:fill="auto"/>
            <w:noWrap/>
            <w:vAlign w:val="center"/>
            <w:hideMark/>
          </w:tcPr>
          <w:p w14:paraId="77A11CB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(0.01100)</w:t>
            </w:r>
          </w:p>
        </w:tc>
        <w:tc>
          <w:tcPr>
            <w:tcW w:w="895" w:type="dxa"/>
            <w:vAlign w:val="center"/>
          </w:tcPr>
          <w:p w14:paraId="7AD8D135"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5E072B6C" w14:textId="77777777" w:rsidTr="00F17AF2">
        <w:trPr>
          <w:trHeight w:val="225"/>
        </w:trPr>
        <w:tc>
          <w:tcPr>
            <w:tcW w:w="1985" w:type="dxa"/>
            <w:tcBorders>
              <w:right w:val="single" w:sz="4" w:space="0" w:color="auto"/>
            </w:tcBorders>
            <w:shd w:val="clear" w:color="auto" w:fill="auto"/>
            <w:noWrap/>
            <w:vAlign w:val="center"/>
            <w:hideMark/>
          </w:tcPr>
          <w:p w14:paraId="7FAAA70B"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TV regular Men</w:t>
            </w:r>
          </w:p>
        </w:tc>
        <w:tc>
          <w:tcPr>
            <w:tcW w:w="992" w:type="dxa"/>
            <w:tcBorders>
              <w:left w:val="single" w:sz="4" w:space="0" w:color="auto"/>
            </w:tcBorders>
            <w:shd w:val="clear" w:color="auto" w:fill="auto"/>
            <w:noWrap/>
            <w:vAlign w:val="bottom"/>
            <w:hideMark/>
          </w:tcPr>
          <w:p w14:paraId="50D7607C"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bottom"/>
            <w:hideMark/>
          </w:tcPr>
          <w:p w14:paraId="719D48E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09" w:type="dxa"/>
            <w:shd w:val="clear" w:color="auto" w:fill="auto"/>
            <w:noWrap/>
            <w:vAlign w:val="bottom"/>
            <w:hideMark/>
          </w:tcPr>
          <w:p w14:paraId="3A02367C"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895" w:type="dxa"/>
            <w:tcBorders>
              <w:right w:val="single" w:sz="4" w:space="0" w:color="auto"/>
            </w:tcBorders>
            <w:vAlign w:val="center"/>
          </w:tcPr>
          <w:p w14:paraId="01F0FD01" w14:textId="77777777" w:rsidR="00B83B39" w:rsidRPr="001356C3" w:rsidRDefault="00B83B39" w:rsidP="00B83B39">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1526CD8F"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17" w:type="dxa"/>
            <w:shd w:val="clear" w:color="auto" w:fill="auto"/>
            <w:noWrap/>
            <w:vAlign w:val="center"/>
            <w:hideMark/>
          </w:tcPr>
          <w:p w14:paraId="0CA8914A"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1079" w:type="dxa"/>
            <w:gridSpan w:val="2"/>
            <w:shd w:val="clear" w:color="auto" w:fill="auto"/>
            <w:noWrap/>
            <w:vAlign w:val="center"/>
            <w:hideMark/>
          </w:tcPr>
          <w:p w14:paraId="39DA800D"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895" w:type="dxa"/>
            <w:vAlign w:val="center"/>
          </w:tcPr>
          <w:p w14:paraId="0E6F4718" w14:textId="77777777" w:rsidR="00B83B39" w:rsidRPr="001356C3" w:rsidRDefault="00B83B39" w:rsidP="00B83B39">
            <w:pPr>
              <w:adjustRightInd w:val="0"/>
              <w:snapToGrid w:val="0"/>
              <w:spacing w:after="0" w:line="240" w:lineRule="auto"/>
              <w:rPr>
                <w:rFonts w:ascii="Arial Narrow" w:hAnsi="Arial Narrow" w:cs="Arial"/>
                <w:sz w:val="16"/>
                <w:szCs w:val="16"/>
              </w:rPr>
            </w:pPr>
          </w:p>
        </w:tc>
      </w:tr>
      <w:tr w:rsidR="00B83B39" w:rsidRPr="00D13BC1" w14:paraId="0B1FA341" w14:textId="77777777" w:rsidTr="00F17AF2">
        <w:trPr>
          <w:trHeight w:val="225"/>
        </w:trPr>
        <w:tc>
          <w:tcPr>
            <w:tcW w:w="1985" w:type="dxa"/>
            <w:tcBorders>
              <w:right w:val="single" w:sz="4" w:space="0" w:color="auto"/>
            </w:tcBorders>
            <w:shd w:val="clear" w:color="auto" w:fill="auto"/>
            <w:vAlign w:val="center"/>
            <w:hideMark/>
          </w:tcPr>
          <w:p w14:paraId="5419C7EB"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 xml:space="preserve">  Regularly</w:t>
            </w:r>
          </w:p>
        </w:tc>
        <w:tc>
          <w:tcPr>
            <w:tcW w:w="992" w:type="dxa"/>
            <w:tcBorders>
              <w:left w:val="single" w:sz="4" w:space="0" w:color="auto"/>
            </w:tcBorders>
            <w:shd w:val="clear" w:color="auto" w:fill="auto"/>
            <w:noWrap/>
            <w:vAlign w:val="bottom"/>
            <w:hideMark/>
          </w:tcPr>
          <w:p w14:paraId="7C175B9B"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0.00303</w:t>
            </w:r>
          </w:p>
        </w:tc>
        <w:tc>
          <w:tcPr>
            <w:tcW w:w="909" w:type="dxa"/>
            <w:shd w:val="clear" w:color="auto" w:fill="auto"/>
            <w:noWrap/>
            <w:vAlign w:val="bottom"/>
            <w:hideMark/>
          </w:tcPr>
          <w:p w14:paraId="27225653"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0.00363</w:t>
            </w:r>
          </w:p>
        </w:tc>
        <w:tc>
          <w:tcPr>
            <w:tcW w:w="909" w:type="dxa"/>
            <w:shd w:val="clear" w:color="auto" w:fill="auto"/>
            <w:noWrap/>
            <w:vAlign w:val="bottom"/>
            <w:hideMark/>
          </w:tcPr>
          <w:p w14:paraId="6B56824B"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-0.00666</w:t>
            </w:r>
          </w:p>
        </w:tc>
        <w:tc>
          <w:tcPr>
            <w:tcW w:w="895" w:type="dxa"/>
            <w:tcBorders>
              <w:right w:val="single" w:sz="4" w:space="0" w:color="auto"/>
            </w:tcBorders>
            <w:vAlign w:val="center"/>
          </w:tcPr>
          <w:p w14:paraId="70D176C5"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hAnsi="Arial Narrow" w:cs="Calibri"/>
                <w:color w:val="000000"/>
                <w:sz w:val="16"/>
                <w:szCs w:val="16"/>
              </w:rPr>
              <w:t>-0.00969</w:t>
            </w:r>
          </w:p>
        </w:tc>
        <w:tc>
          <w:tcPr>
            <w:tcW w:w="992" w:type="dxa"/>
            <w:tcBorders>
              <w:left w:val="single" w:sz="4" w:space="0" w:color="auto"/>
            </w:tcBorders>
            <w:shd w:val="clear" w:color="auto" w:fill="auto"/>
            <w:noWrap/>
            <w:vAlign w:val="center"/>
            <w:hideMark/>
          </w:tcPr>
          <w:p w14:paraId="2EC669C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0.00096</w:t>
            </w:r>
          </w:p>
        </w:tc>
        <w:tc>
          <w:tcPr>
            <w:tcW w:w="917" w:type="dxa"/>
            <w:shd w:val="clear" w:color="auto" w:fill="auto"/>
            <w:noWrap/>
            <w:vAlign w:val="center"/>
            <w:hideMark/>
          </w:tcPr>
          <w:p w14:paraId="0CD443F8"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0.00198</w:t>
            </w:r>
          </w:p>
        </w:tc>
        <w:tc>
          <w:tcPr>
            <w:tcW w:w="1079" w:type="dxa"/>
            <w:gridSpan w:val="2"/>
            <w:shd w:val="clear" w:color="auto" w:fill="auto"/>
            <w:noWrap/>
            <w:vAlign w:val="center"/>
            <w:hideMark/>
          </w:tcPr>
          <w:p w14:paraId="46404AAC"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-0.00294</w:t>
            </w:r>
          </w:p>
        </w:tc>
        <w:tc>
          <w:tcPr>
            <w:tcW w:w="895" w:type="dxa"/>
            <w:vAlign w:val="center"/>
          </w:tcPr>
          <w:p w14:paraId="2B7D9090"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Pr>
                <w:rFonts w:ascii="Arial Narrow" w:hAnsi="Arial Narrow" w:cs="Calibri"/>
                <w:color w:val="000000"/>
                <w:sz w:val="16"/>
                <w:szCs w:val="16"/>
              </w:rPr>
              <w:t>-0.0039</w:t>
            </w:r>
          </w:p>
        </w:tc>
      </w:tr>
      <w:tr w:rsidR="00B83B39" w:rsidRPr="00D13BC1" w14:paraId="58623CC8" w14:textId="77777777" w:rsidTr="00F17AF2">
        <w:trPr>
          <w:trHeight w:val="225"/>
        </w:trPr>
        <w:tc>
          <w:tcPr>
            <w:tcW w:w="1985" w:type="dxa"/>
            <w:tcBorders>
              <w:right w:val="single" w:sz="4" w:space="0" w:color="auto"/>
            </w:tcBorders>
            <w:shd w:val="clear" w:color="auto" w:fill="auto"/>
            <w:vAlign w:val="bottom"/>
            <w:hideMark/>
          </w:tcPr>
          <w:p w14:paraId="57C6BE4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7E7E25BE"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(0.00444)</w:t>
            </w:r>
          </w:p>
        </w:tc>
        <w:tc>
          <w:tcPr>
            <w:tcW w:w="909" w:type="dxa"/>
            <w:shd w:val="clear" w:color="auto" w:fill="auto"/>
            <w:noWrap/>
            <w:vAlign w:val="bottom"/>
            <w:hideMark/>
          </w:tcPr>
          <w:p w14:paraId="487AF192"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(0.00527)</w:t>
            </w:r>
          </w:p>
        </w:tc>
        <w:tc>
          <w:tcPr>
            <w:tcW w:w="909" w:type="dxa"/>
            <w:shd w:val="clear" w:color="auto" w:fill="auto"/>
            <w:noWrap/>
            <w:vAlign w:val="bottom"/>
            <w:hideMark/>
          </w:tcPr>
          <w:p w14:paraId="2F923825"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(0.00967)</w:t>
            </w:r>
          </w:p>
        </w:tc>
        <w:tc>
          <w:tcPr>
            <w:tcW w:w="895" w:type="dxa"/>
            <w:tcBorders>
              <w:right w:val="single" w:sz="4" w:space="0" w:color="auto"/>
            </w:tcBorders>
            <w:vAlign w:val="center"/>
          </w:tcPr>
          <w:p w14:paraId="1780AF92" w14:textId="77777777" w:rsidR="00B83B39" w:rsidRPr="001356C3" w:rsidRDefault="00B83B39" w:rsidP="00B83B39">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3EDC3C7F"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(0.00308)</w:t>
            </w:r>
          </w:p>
        </w:tc>
        <w:tc>
          <w:tcPr>
            <w:tcW w:w="917" w:type="dxa"/>
            <w:shd w:val="clear" w:color="auto" w:fill="auto"/>
            <w:noWrap/>
            <w:vAlign w:val="center"/>
            <w:hideMark/>
          </w:tcPr>
          <w:p w14:paraId="2209A06A"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(0.00631)</w:t>
            </w:r>
          </w:p>
        </w:tc>
        <w:tc>
          <w:tcPr>
            <w:tcW w:w="1079" w:type="dxa"/>
            <w:gridSpan w:val="2"/>
            <w:shd w:val="clear" w:color="auto" w:fill="auto"/>
            <w:noWrap/>
            <w:vAlign w:val="center"/>
            <w:hideMark/>
          </w:tcPr>
          <w:p w14:paraId="665BD8E6"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(0.00938)</w:t>
            </w:r>
          </w:p>
        </w:tc>
        <w:tc>
          <w:tcPr>
            <w:tcW w:w="895" w:type="dxa"/>
            <w:vAlign w:val="center"/>
          </w:tcPr>
          <w:p w14:paraId="6C9CD9F3" w14:textId="77777777" w:rsidR="00B83B39" w:rsidRPr="001356C3" w:rsidRDefault="00B83B39" w:rsidP="00B83B39">
            <w:pPr>
              <w:adjustRightInd w:val="0"/>
              <w:snapToGrid w:val="0"/>
              <w:spacing w:after="0" w:line="240" w:lineRule="auto"/>
              <w:rPr>
                <w:rFonts w:ascii="Arial Narrow" w:hAnsi="Arial Narrow" w:cs="Arial"/>
                <w:sz w:val="16"/>
                <w:szCs w:val="16"/>
              </w:rPr>
            </w:pPr>
          </w:p>
        </w:tc>
      </w:tr>
      <w:tr w:rsidR="00B83B39" w:rsidRPr="00D13BC1" w14:paraId="1DDC5D8B" w14:textId="77777777" w:rsidTr="00F17AF2">
        <w:trPr>
          <w:trHeight w:val="225"/>
        </w:trPr>
        <w:tc>
          <w:tcPr>
            <w:tcW w:w="1985" w:type="dxa"/>
            <w:tcBorders>
              <w:right w:val="single" w:sz="4" w:space="0" w:color="auto"/>
            </w:tcBorders>
            <w:shd w:val="clear" w:color="auto" w:fill="auto"/>
            <w:noWrap/>
            <w:vAlign w:val="center"/>
            <w:hideMark/>
          </w:tcPr>
          <w:p w14:paraId="4BC2A816"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TV regular Women</w:t>
            </w:r>
          </w:p>
        </w:tc>
        <w:tc>
          <w:tcPr>
            <w:tcW w:w="992" w:type="dxa"/>
            <w:tcBorders>
              <w:left w:val="single" w:sz="4" w:space="0" w:color="auto"/>
            </w:tcBorders>
            <w:shd w:val="clear" w:color="auto" w:fill="auto"/>
            <w:noWrap/>
            <w:vAlign w:val="bottom"/>
            <w:hideMark/>
          </w:tcPr>
          <w:p w14:paraId="05B72F4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5F9CB398"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09" w:type="dxa"/>
            <w:shd w:val="clear" w:color="auto" w:fill="auto"/>
            <w:noWrap/>
            <w:vAlign w:val="bottom"/>
            <w:hideMark/>
          </w:tcPr>
          <w:p w14:paraId="19A2A60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tcBorders>
              <w:right w:val="single" w:sz="4" w:space="0" w:color="auto"/>
            </w:tcBorders>
            <w:vAlign w:val="center"/>
          </w:tcPr>
          <w:p w14:paraId="0FC87C9E"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tcBorders>
            <w:shd w:val="clear" w:color="auto" w:fill="auto"/>
            <w:noWrap/>
            <w:vAlign w:val="center"/>
            <w:hideMark/>
          </w:tcPr>
          <w:p w14:paraId="1961689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17" w:type="dxa"/>
            <w:shd w:val="clear" w:color="auto" w:fill="auto"/>
            <w:noWrap/>
            <w:vAlign w:val="center"/>
            <w:hideMark/>
          </w:tcPr>
          <w:p w14:paraId="48F6C66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1079" w:type="dxa"/>
            <w:gridSpan w:val="2"/>
            <w:shd w:val="clear" w:color="auto" w:fill="auto"/>
            <w:noWrap/>
            <w:vAlign w:val="center"/>
            <w:hideMark/>
          </w:tcPr>
          <w:p w14:paraId="3E26D4F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895" w:type="dxa"/>
            <w:vAlign w:val="center"/>
          </w:tcPr>
          <w:p w14:paraId="72C5806A"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B83B39" w:rsidRPr="00D13BC1" w14:paraId="7E2BE7D0" w14:textId="77777777" w:rsidTr="00F17AF2">
        <w:trPr>
          <w:trHeight w:val="225"/>
        </w:trPr>
        <w:tc>
          <w:tcPr>
            <w:tcW w:w="1985" w:type="dxa"/>
            <w:tcBorders>
              <w:right w:val="single" w:sz="4" w:space="0" w:color="auto"/>
            </w:tcBorders>
            <w:shd w:val="clear" w:color="auto" w:fill="auto"/>
            <w:vAlign w:val="center"/>
            <w:hideMark/>
          </w:tcPr>
          <w:p w14:paraId="29FD5AD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xml:space="preserve">  Regularly</w:t>
            </w:r>
          </w:p>
        </w:tc>
        <w:tc>
          <w:tcPr>
            <w:tcW w:w="992" w:type="dxa"/>
            <w:tcBorders>
              <w:left w:val="single" w:sz="4" w:space="0" w:color="auto"/>
            </w:tcBorders>
            <w:shd w:val="clear" w:color="auto" w:fill="auto"/>
            <w:noWrap/>
            <w:vAlign w:val="bottom"/>
            <w:hideMark/>
          </w:tcPr>
          <w:p w14:paraId="7793A10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-0.0169***</w:t>
            </w:r>
          </w:p>
        </w:tc>
        <w:tc>
          <w:tcPr>
            <w:tcW w:w="909" w:type="dxa"/>
            <w:shd w:val="clear" w:color="auto" w:fill="auto"/>
            <w:noWrap/>
            <w:vAlign w:val="bottom"/>
            <w:hideMark/>
          </w:tcPr>
          <w:p w14:paraId="75968EF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-0.0214***</w:t>
            </w:r>
          </w:p>
        </w:tc>
        <w:tc>
          <w:tcPr>
            <w:tcW w:w="909" w:type="dxa"/>
            <w:shd w:val="clear" w:color="auto" w:fill="auto"/>
            <w:noWrap/>
            <w:vAlign w:val="bottom"/>
            <w:hideMark/>
          </w:tcPr>
          <w:p w14:paraId="2BF6B34E"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0.0383***</w:t>
            </w:r>
          </w:p>
        </w:tc>
        <w:tc>
          <w:tcPr>
            <w:tcW w:w="895" w:type="dxa"/>
            <w:tcBorders>
              <w:right w:val="single" w:sz="4" w:space="0" w:color="auto"/>
            </w:tcBorders>
            <w:vAlign w:val="center"/>
          </w:tcPr>
          <w:p w14:paraId="324985A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0.0552</w:t>
            </w:r>
          </w:p>
        </w:tc>
        <w:tc>
          <w:tcPr>
            <w:tcW w:w="992" w:type="dxa"/>
            <w:tcBorders>
              <w:left w:val="single" w:sz="4" w:space="0" w:color="auto"/>
            </w:tcBorders>
            <w:shd w:val="clear" w:color="auto" w:fill="auto"/>
            <w:noWrap/>
            <w:vAlign w:val="center"/>
            <w:hideMark/>
          </w:tcPr>
          <w:p w14:paraId="499890E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-0.00815**</w:t>
            </w:r>
          </w:p>
        </w:tc>
        <w:tc>
          <w:tcPr>
            <w:tcW w:w="917" w:type="dxa"/>
            <w:shd w:val="clear" w:color="auto" w:fill="auto"/>
            <w:noWrap/>
            <w:vAlign w:val="center"/>
            <w:hideMark/>
          </w:tcPr>
          <w:p w14:paraId="7CFD0F0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-0.0171***</w:t>
            </w:r>
          </w:p>
        </w:tc>
        <w:tc>
          <w:tcPr>
            <w:tcW w:w="1079" w:type="dxa"/>
            <w:gridSpan w:val="2"/>
            <w:shd w:val="clear" w:color="auto" w:fill="auto"/>
            <w:noWrap/>
            <w:vAlign w:val="center"/>
            <w:hideMark/>
          </w:tcPr>
          <w:p w14:paraId="1336FA4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0.0252***</w:t>
            </w:r>
          </w:p>
        </w:tc>
        <w:tc>
          <w:tcPr>
            <w:tcW w:w="895" w:type="dxa"/>
            <w:vAlign w:val="center"/>
          </w:tcPr>
          <w:p w14:paraId="3F2B60C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hAnsi="Arial Narrow" w:cs="Calibri"/>
                <w:i/>
                <w:color w:val="000000"/>
                <w:sz w:val="16"/>
                <w:szCs w:val="16"/>
              </w:rPr>
              <w:t>0.0333</w:t>
            </w:r>
          </w:p>
        </w:tc>
      </w:tr>
      <w:tr w:rsidR="00B83B39" w:rsidRPr="00D13BC1" w14:paraId="41BDFAD6" w14:textId="77777777" w:rsidTr="00F17AF2">
        <w:trPr>
          <w:trHeight w:val="225"/>
        </w:trPr>
        <w:tc>
          <w:tcPr>
            <w:tcW w:w="1985" w:type="dxa"/>
            <w:tcBorders>
              <w:bottom w:val="single" w:sz="4" w:space="0" w:color="auto"/>
              <w:right w:val="single" w:sz="4" w:space="0" w:color="auto"/>
            </w:tcBorders>
            <w:shd w:val="clear" w:color="auto" w:fill="auto"/>
            <w:vAlign w:val="bottom"/>
            <w:hideMark/>
          </w:tcPr>
          <w:p w14:paraId="756901A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p>
        </w:tc>
        <w:tc>
          <w:tcPr>
            <w:tcW w:w="992" w:type="dxa"/>
            <w:tcBorders>
              <w:left w:val="single" w:sz="4" w:space="0" w:color="auto"/>
              <w:bottom w:val="single" w:sz="4" w:space="0" w:color="auto"/>
            </w:tcBorders>
            <w:shd w:val="clear" w:color="auto" w:fill="auto"/>
            <w:noWrap/>
            <w:vAlign w:val="bottom"/>
            <w:hideMark/>
          </w:tcPr>
          <w:p w14:paraId="5870936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(0.00471)</w:t>
            </w:r>
          </w:p>
        </w:tc>
        <w:tc>
          <w:tcPr>
            <w:tcW w:w="909" w:type="dxa"/>
            <w:tcBorders>
              <w:bottom w:val="single" w:sz="4" w:space="0" w:color="auto"/>
            </w:tcBorders>
            <w:shd w:val="clear" w:color="auto" w:fill="auto"/>
            <w:noWrap/>
            <w:vAlign w:val="bottom"/>
            <w:hideMark/>
          </w:tcPr>
          <w:p w14:paraId="71D45B8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(0.00622)</w:t>
            </w:r>
          </w:p>
        </w:tc>
        <w:tc>
          <w:tcPr>
            <w:tcW w:w="909" w:type="dxa"/>
            <w:tcBorders>
              <w:bottom w:val="single" w:sz="4" w:space="0" w:color="auto"/>
            </w:tcBorders>
            <w:shd w:val="clear" w:color="auto" w:fill="auto"/>
            <w:noWrap/>
            <w:vAlign w:val="bottom"/>
            <w:hideMark/>
          </w:tcPr>
          <w:p w14:paraId="7AC8BE02"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(0.00977)</w:t>
            </w:r>
          </w:p>
        </w:tc>
        <w:tc>
          <w:tcPr>
            <w:tcW w:w="895" w:type="dxa"/>
            <w:tcBorders>
              <w:bottom w:val="single" w:sz="4" w:space="0" w:color="auto"/>
              <w:right w:val="single" w:sz="4" w:space="0" w:color="auto"/>
            </w:tcBorders>
            <w:vAlign w:val="center"/>
          </w:tcPr>
          <w:p w14:paraId="022E3CC1" w14:textId="77777777" w:rsidR="00B83B39" w:rsidRPr="008C7298" w:rsidRDefault="00B83B39" w:rsidP="00B83B39">
            <w:pPr>
              <w:adjustRightInd w:val="0"/>
              <w:snapToGrid w:val="0"/>
              <w:spacing w:after="0" w:line="240" w:lineRule="auto"/>
              <w:rPr>
                <w:rFonts w:ascii="Arial Narrow" w:hAnsi="Arial Narrow" w:cs="Arial"/>
                <w:i/>
                <w:sz w:val="16"/>
                <w:szCs w:val="16"/>
              </w:rPr>
            </w:pPr>
          </w:p>
        </w:tc>
        <w:tc>
          <w:tcPr>
            <w:tcW w:w="992" w:type="dxa"/>
            <w:tcBorders>
              <w:left w:val="single" w:sz="4" w:space="0" w:color="auto"/>
              <w:bottom w:val="single" w:sz="4" w:space="0" w:color="auto"/>
            </w:tcBorders>
            <w:shd w:val="clear" w:color="auto" w:fill="auto"/>
            <w:noWrap/>
            <w:vAlign w:val="center"/>
            <w:hideMark/>
          </w:tcPr>
          <w:p w14:paraId="42DD6C7D"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(0.00317)</w:t>
            </w:r>
          </w:p>
        </w:tc>
        <w:tc>
          <w:tcPr>
            <w:tcW w:w="917" w:type="dxa"/>
            <w:tcBorders>
              <w:bottom w:val="single" w:sz="4" w:space="0" w:color="auto"/>
            </w:tcBorders>
            <w:shd w:val="clear" w:color="auto" w:fill="auto"/>
            <w:noWrap/>
            <w:vAlign w:val="center"/>
            <w:hideMark/>
          </w:tcPr>
          <w:p w14:paraId="4397CFF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(0.00647)</w:t>
            </w:r>
          </w:p>
        </w:tc>
        <w:tc>
          <w:tcPr>
            <w:tcW w:w="1079" w:type="dxa"/>
            <w:gridSpan w:val="2"/>
            <w:tcBorders>
              <w:bottom w:val="single" w:sz="4" w:space="0" w:color="auto"/>
            </w:tcBorders>
            <w:shd w:val="clear" w:color="auto" w:fill="auto"/>
            <w:noWrap/>
            <w:vAlign w:val="center"/>
            <w:hideMark/>
          </w:tcPr>
          <w:p w14:paraId="32128F20"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(0.00933)</w:t>
            </w:r>
          </w:p>
        </w:tc>
        <w:tc>
          <w:tcPr>
            <w:tcW w:w="895" w:type="dxa"/>
            <w:tcBorders>
              <w:bottom w:val="single" w:sz="4" w:space="0" w:color="auto"/>
            </w:tcBorders>
            <w:vAlign w:val="center"/>
          </w:tcPr>
          <w:p w14:paraId="0D098848" w14:textId="77777777" w:rsidR="00B83B39" w:rsidRPr="008C7298" w:rsidRDefault="00B83B39" w:rsidP="00B83B39">
            <w:pPr>
              <w:adjustRightInd w:val="0"/>
              <w:snapToGrid w:val="0"/>
              <w:spacing w:after="0" w:line="240" w:lineRule="auto"/>
              <w:rPr>
                <w:rFonts w:ascii="Arial Narrow" w:hAnsi="Arial Narrow" w:cs="Arial"/>
                <w:i/>
                <w:sz w:val="16"/>
                <w:szCs w:val="16"/>
              </w:rPr>
            </w:pPr>
          </w:p>
        </w:tc>
      </w:tr>
      <w:tr w:rsidR="003A174B" w:rsidRPr="00682B9C" w14:paraId="57124084" w14:textId="77777777" w:rsidTr="00F17AF2">
        <w:trPr>
          <w:trHeight w:val="225"/>
        </w:trPr>
        <w:tc>
          <w:tcPr>
            <w:tcW w:w="5690" w:type="dxa"/>
            <w:gridSpan w:val="5"/>
            <w:tcBorders>
              <w:top w:val="single" w:sz="4" w:space="0" w:color="auto"/>
              <w:bottom w:val="single" w:sz="4" w:space="0" w:color="auto"/>
              <w:right w:val="single" w:sz="4" w:space="0" w:color="auto"/>
            </w:tcBorders>
            <w:shd w:val="clear" w:color="auto" w:fill="auto"/>
            <w:noWrap/>
            <w:vAlign w:val="center"/>
          </w:tcPr>
          <w:p w14:paraId="304CC4ED" w14:textId="77777777" w:rsidR="003A174B" w:rsidRPr="00682B9C" w:rsidRDefault="003A174B" w:rsidP="00F17AF2">
            <w:pPr>
              <w:pStyle w:val="ListParagraph"/>
              <w:numPr>
                <w:ilvl w:val="0"/>
                <w:numId w:val="14"/>
              </w:numPr>
              <w:adjustRightInd w:val="0"/>
              <w:snapToGrid w:val="0"/>
              <w:spacing w:after="0" w:line="240" w:lineRule="auto"/>
              <w:rPr>
                <w:rFonts w:ascii="Arial Narrow" w:hAnsi="Arial Narrow" w:cs="Arial"/>
                <w:b/>
                <w:i/>
                <w:sz w:val="16"/>
                <w:szCs w:val="16"/>
              </w:rPr>
            </w:pPr>
            <w:r>
              <w:rPr>
                <w:rFonts w:ascii="Arial Narrow" w:hAnsi="Arial Narrow" w:cs="Arial"/>
                <w:b/>
                <w:i/>
                <w:sz w:val="16"/>
                <w:szCs w:val="16"/>
              </w:rPr>
              <w:t>Other Variables (2005)</w:t>
            </w:r>
          </w:p>
        </w:tc>
        <w:tc>
          <w:tcPr>
            <w:tcW w:w="992" w:type="dxa"/>
            <w:tcBorders>
              <w:top w:val="single" w:sz="4" w:space="0" w:color="auto"/>
              <w:left w:val="single" w:sz="4" w:space="0" w:color="auto"/>
              <w:bottom w:val="single" w:sz="4" w:space="0" w:color="auto"/>
            </w:tcBorders>
            <w:shd w:val="clear" w:color="auto" w:fill="auto"/>
            <w:noWrap/>
            <w:vAlign w:val="center"/>
          </w:tcPr>
          <w:p w14:paraId="0C2B8221" w14:textId="77777777" w:rsidR="003A174B" w:rsidRPr="00682B9C" w:rsidRDefault="003A174B" w:rsidP="00B83B39">
            <w:pPr>
              <w:adjustRightInd w:val="0"/>
              <w:snapToGrid w:val="0"/>
              <w:spacing w:after="0" w:line="240" w:lineRule="auto"/>
              <w:rPr>
                <w:rFonts w:ascii="Arial Narrow" w:eastAsia="Times New Roman" w:hAnsi="Arial Narrow" w:cs="Arial"/>
                <w:b/>
                <w:i/>
                <w:sz w:val="16"/>
                <w:szCs w:val="16"/>
              </w:rPr>
            </w:pPr>
          </w:p>
        </w:tc>
        <w:tc>
          <w:tcPr>
            <w:tcW w:w="917" w:type="dxa"/>
            <w:tcBorders>
              <w:top w:val="single" w:sz="4" w:space="0" w:color="auto"/>
              <w:bottom w:val="single" w:sz="4" w:space="0" w:color="auto"/>
            </w:tcBorders>
            <w:shd w:val="clear" w:color="auto" w:fill="auto"/>
            <w:noWrap/>
            <w:vAlign w:val="center"/>
          </w:tcPr>
          <w:p w14:paraId="7C2BF125" w14:textId="77777777" w:rsidR="003A174B" w:rsidRPr="00682B9C" w:rsidRDefault="003A174B" w:rsidP="00B83B39">
            <w:pPr>
              <w:adjustRightInd w:val="0"/>
              <w:snapToGrid w:val="0"/>
              <w:spacing w:after="0" w:line="240" w:lineRule="auto"/>
              <w:rPr>
                <w:rFonts w:ascii="Arial Narrow" w:eastAsia="Times New Roman" w:hAnsi="Arial Narrow" w:cs="Arial"/>
                <w:b/>
                <w:i/>
                <w:sz w:val="16"/>
                <w:szCs w:val="16"/>
              </w:rPr>
            </w:pPr>
          </w:p>
        </w:tc>
        <w:tc>
          <w:tcPr>
            <w:tcW w:w="1079" w:type="dxa"/>
            <w:gridSpan w:val="2"/>
            <w:tcBorders>
              <w:top w:val="single" w:sz="4" w:space="0" w:color="auto"/>
              <w:bottom w:val="single" w:sz="4" w:space="0" w:color="auto"/>
            </w:tcBorders>
            <w:shd w:val="clear" w:color="auto" w:fill="auto"/>
            <w:noWrap/>
            <w:vAlign w:val="center"/>
          </w:tcPr>
          <w:p w14:paraId="3CCF0B62" w14:textId="77777777" w:rsidR="003A174B" w:rsidRPr="00682B9C" w:rsidRDefault="003A174B" w:rsidP="00B83B39">
            <w:pPr>
              <w:adjustRightInd w:val="0"/>
              <w:snapToGrid w:val="0"/>
              <w:spacing w:after="0" w:line="240" w:lineRule="auto"/>
              <w:rPr>
                <w:rFonts w:ascii="Arial Narrow" w:eastAsia="Times New Roman" w:hAnsi="Arial Narrow" w:cs="Arial"/>
                <w:b/>
                <w:i/>
                <w:sz w:val="16"/>
                <w:szCs w:val="16"/>
              </w:rPr>
            </w:pPr>
          </w:p>
        </w:tc>
        <w:tc>
          <w:tcPr>
            <w:tcW w:w="895" w:type="dxa"/>
            <w:tcBorders>
              <w:top w:val="single" w:sz="4" w:space="0" w:color="auto"/>
              <w:bottom w:val="single" w:sz="4" w:space="0" w:color="auto"/>
            </w:tcBorders>
            <w:vAlign w:val="bottom"/>
          </w:tcPr>
          <w:p w14:paraId="6DF47AA7" w14:textId="77777777" w:rsidR="003A174B" w:rsidRPr="00682B9C" w:rsidRDefault="003A174B" w:rsidP="00B83B39">
            <w:pPr>
              <w:adjustRightInd w:val="0"/>
              <w:snapToGrid w:val="0"/>
              <w:spacing w:after="0" w:line="240" w:lineRule="auto"/>
              <w:rPr>
                <w:rFonts w:ascii="Arial Narrow" w:hAnsi="Arial Narrow" w:cs="Arial"/>
                <w:b/>
                <w:i/>
                <w:sz w:val="16"/>
                <w:szCs w:val="16"/>
              </w:rPr>
            </w:pPr>
          </w:p>
        </w:tc>
      </w:tr>
      <w:tr w:rsidR="003A174B" w:rsidRPr="00D13BC1" w14:paraId="44945F1A" w14:textId="77777777" w:rsidTr="00F17AF2">
        <w:trPr>
          <w:trHeight w:val="225"/>
        </w:trPr>
        <w:tc>
          <w:tcPr>
            <w:tcW w:w="1985" w:type="dxa"/>
            <w:tcBorders>
              <w:top w:val="single" w:sz="4" w:space="0" w:color="auto"/>
              <w:right w:val="single" w:sz="4" w:space="0" w:color="auto"/>
            </w:tcBorders>
            <w:shd w:val="clear" w:color="auto" w:fill="auto"/>
            <w:noWrap/>
            <w:vAlign w:val="center"/>
            <w:hideMark/>
          </w:tcPr>
          <w:p w14:paraId="7241FEDD"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Social Networks</w:t>
            </w:r>
          </w:p>
        </w:tc>
        <w:tc>
          <w:tcPr>
            <w:tcW w:w="992" w:type="dxa"/>
            <w:tcBorders>
              <w:top w:val="single" w:sz="4" w:space="0" w:color="auto"/>
              <w:left w:val="single" w:sz="4" w:space="0" w:color="auto"/>
            </w:tcBorders>
            <w:shd w:val="clear" w:color="auto" w:fill="auto"/>
            <w:noWrap/>
            <w:vAlign w:val="center"/>
            <w:hideMark/>
          </w:tcPr>
          <w:p w14:paraId="68DB483D"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909" w:type="dxa"/>
            <w:tcBorders>
              <w:top w:val="single" w:sz="4" w:space="0" w:color="auto"/>
            </w:tcBorders>
            <w:shd w:val="clear" w:color="auto" w:fill="auto"/>
            <w:noWrap/>
            <w:vAlign w:val="center"/>
            <w:hideMark/>
          </w:tcPr>
          <w:p w14:paraId="3F6F31FD"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909" w:type="dxa"/>
            <w:tcBorders>
              <w:top w:val="single" w:sz="4" w:space="0" w:color="auto"/>
            </w:tcBorders>
            <w:shd w:val="clear" w:color="auto" w:fill="auto"/>
            <w:noWrap/>
            <w:vAlign w:val="center"/>
            <w:hideMark/>
          </w:tcPr>
          <w:p w14:paraId="27DD8AFB"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895" w:type="dxa"/>
            <w:tcBorders>
              <w:top w:val="single" w:sz="4" w:space="0" w:color="auto"/>
              <w:right w:val="single" w:sz="4" w:space="0" w:color="auto"/>
            </w:tcBorders>
            <w:vAlign w:val="center"/>
          </w:tcPr>
          <w:p w14:paraId="79299160" w14:textId="77777777" w:rsidR="003A174B" w:rsidRPr="00D13BC1" w:rsidRDefault="003A174B" w:rsidP="00B83B39">
            <w:pPr>
              <w:adjustRightInd w:val="0"/>
              <w:snapToGrid w:val="0"/>
              <w:spacing w:after="0" w:line="240" w:lineRule="auto"/>
              <w:rPr>
                <w:rFonts w:ascii="Arial Narrow" w:hAnsi="Arial Narrow" w:cs="Arial"/>
                <w:sz w:val="16"/>
                <w:szCs w:val="16"/>
              </w:rPr>
            </w:pPr>
          </w:p>
        </w:tc>
        <w:tc>
          <w:tcPr>
            <w:tcW w:w="992" w:type="dxa"/>
            <w:tcBorders>
              <w:top w:val="single" w:sz="4" w:space="0" w:color="auto"/>
              <w:left w:val="single" w:sz="4" w:space="0" w:color="auto"/>
            </w:tcBorders>
            <w:shd w:val="clear" w:color="auto" w:fill="auto"/>
            <w:noWrap/>
            <w:vAlign w:val="center"/>
            <w:hideMark/>
          </w:tcPr>
          <w:p w14:paraId="4ABB1A0B"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917" w:type="dxa"/>
            <w:tcBorders>
              <w:top w:val="single" w:sz="4" w:space="0" w:color="auto"/>
            </w:tcBorders>
            <w:shd w:val="clear" w:color="auto" w:fill="auto"/>
            <w:noWrap/>
            <w:vAlign w:val="center"/>
            <w:hideMark/>
          </w:tcPr>
          <w:p w14:paraId="06E2EFBE"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1079" w:type="dxa"/>
            <w:gridSpan w:val="2"/>
            <w:tcBorders>
              <w:top w:val="single" w:sz="4" w:space="0" w:color="auto"/>
            </w:tcBorders>
            <w:shd w:val="clear" w:color="auto" w:fill="auto"/>
            <w:noWrap/>
            <w:vAlign w:val="center"/>
            <w:hideMark/>
          </w:tcPr>
          <w:p w14:paraId="4B13F409" w14:textId="77777777" w:rsidR="003A174B" w:rsidRPr="00D13BC1" w:rsidRDefault="003A174B" w:rsidP="00B83B39">
            <w:pPr>
              <w:adjustRightInd w:val="0"/>
              <w:snapToGrid w:val="0"/>
              <w:spacing w:after="0" w:line="240" w:lineRule="auto"/>
              <w:rPr>
                <w:rFonts w:ascii="Arial Narrow" w:eastAsia="Times New Roman" w:hAnsi="Arial Narrow" w:cs="Arial"/>
                <w:sz w:val="16"/>
                <w:szCs w:val="16"/>
              </w:rPr>
            </w:pPr>
          </w:p>
        </w:tc>
        <w:tc>
          <w:tcPr>
            <w:tcW w:w="895" w:type="dxa"/>
            <w:tcBorders>
              <w:top w:val="single" w:sz="4" w:space="0" w:color="auto"/>
            </w:tcBorders>
            <w:vAlign w:val="bottom"/>
          </w:tcPr>
          <w:p w14:paraId="5785D6F5" w14:textId="77777777" w:rsidR="003A174B" w:rsidRPr="00D13BC1" w:rsidRDefault="003A174B" w:rsidP="00B83B39">
            <w:pPr>
              <w:adjustRightInd w:val="0"/>
              <w:snapToGrid w:val="0"/>
              <w:spacing w:after="0" w:line="240" w:lineRule="auto"/>
              <w:rPr>
                <w:rFonts w:ascii="Arial Narrow" w:hAnsi="Arial Narrow" w:cs="Arial"/>
                <w:sz w:val="16"/>
                <w:szCs w:val="16"/>
              </w:rPr>
            </w:pPr>
          </w:p>
        </w:tc>
      </w:tr>
      <w:tr w:rsidR="00B83B39" w:rsidRPr="00D13BC1" w14:paraId="3DB5F322" w14:textId="77777777" w:rsidTr="00F17AF2">
        <w:trPr>
          <w:trHeight w:val="225"/>
        </w:trPr>
        <w:tc>
          <w:tcPr>
            <w:tcW w:w="1985" w:type="dxa"/>
            <w:tcBorders>
              <w:right w:val="single" w:sz="4" w:space="0" w:color="auto"/>
            </w:tcBorders>
            <w:shd w:val="clear" w:color="auto" w:fill="auto"/>
            <w:vAlign w:val="center"/>
            <w:hideMark/>
          </w:tcPr>
          <w:p w14:paraId="0B114A15"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 xml:space="preserve">  1</w:t>
            </w:r>
          </w:p>
        </w:tc>
        <w:tc>
          <w:tcPr>
            <w:tcW w:w="992" w:type="dxa"/>
            <w:tcBorders>
              <w:left w:val="single" w:sz="4" w:space="0" w:color="auto"/>
            </w:tcBorders>
            <w:shd w:val="clear" w:color="auto" w:fill="auto"/>
            <w:noWrap/>
            <w:vAlign w:val="bottom"/>
            <w:hideMark/>
          </w:tcPr>
          <w:p w14:paraId="3153AEBE"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-0.00312</w:t>
            </w:r>
          </w:p>
        </w:tc>
        <w:tc>
          <w:tcPr>
            <w:tcW w:w="909" w:type="dxa"/>
            <w:shd w:val="clear" w:color="auto" w:fill="auto"/>
            <w:noWrap/>
            <w:vAlign w:val="bottom"/>
            <w:hideMark/>
          </w:tcPr>
          <w:p w14:paraId="726381D1"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-0.00395</w:t>
            </w:r>
          </w:p>
        </w:tc>
        <w:tc>
          <w:tcPr>
            <w:tcW w:w="909" w:type="dxa"/>
            <w:shd w:val="clear" w:color="auto" w:fill="auto"/>
            <w:noWrap/>
            <w:vAlign w:val="bottom"/>
            <w:hideMark/>
          </w:tcPr>
          <w:p w14:paraId="6E78241C"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0.00707</w:t>
            </w:r>
          </w:p>
        </w:tc>
        <w:tc>
          <w:tcPr>
            <w:tcW w:w="895" w:type="dxa"/>
            <w:tcBorders>
              <w:right w:val="single" w:sz="4" w:space="0" w:color="auto"/>
            </w:tcBorders>
            <w:vAlign w:val="center"/>
          </w:tcPr>
          <w:p w14:paraId="120E49AD"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hAnsi="Arial Narrow" w:cs="Calibri"/>
                <w:color w:val="000000"/>
                <w:sz w:val="16"/>
                <w:szCs w:val="16"/>
              </w:rPr>
              <w:t>0.01019</w:t>
            </w:r>
          </w:p>
        </w:tc>
        <w:tc>
          <w:tcPr>
            <w:tcW w:w="992" w:type="dxa"/>
            <w:tcBorders>
              <w:left w:val="single" w:sz="4" w:space="0" w:color="auto"/>
            </w:tcBorders>
            <w:shd w:val="clear" w:color="auto" w:fill="auto"/>
            <w:noWrap/>
            <w:vAlign w:val="center"/>
            <w:hideMark/>
          </w:tcPr>
          <w:p w14:paraId="492D1CEE"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0.00400*</w:t>
            </w:r>
          </w:p>
        </w:tc>
        <w:tc>
          <w:tcPr>
            <w:tcW w:w="917" w:type="dxa"/>
            <w:shd w:val="clear" w:color="auto" w:fill="auto"/>
            <w:noWrap/>
            <w:vAlign w:val="center"/>
            <w:hideMark/>
          </w:tcPr>
          <w:p w14:paraId="62BBC14F"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0.00811*</w:t>
            </w:r>
          </w:p>
        </w:tc>
        <w:tc>
          <w:tcPr>
            <w:tcW w:w="1079" w:type="dxa"/>
            <w:gridSpan w:val="2"/>
            <w:shd w:val="clear" w:color="auto" w:fill="auto"/>
            <w:noWrap/>
            <w:vAlign w:val="center"/>
            <w:hideMark/>
          </w:tcPr>
          <w:p w14:paraId="57F3CE49"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-0.0121*</w:t>
            </w:r>
          </w:p>
        </w:tc>
        <w:tc>
          <w:tcPr>
            <w:tcW w:w="895" w:type="dxa"/>
            <w:vAlign w:val="center"/>
          </w:tcPr>
          <w:p w14:paraId="3F3DB783"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Pr>
                <w:rFonts w:ascii="Arial Narrow" w:hAnsi="Arial Narrow" w:cs="Calibri"/>
                <w:color w:val="000000"/>
                <w:sz w:val="16"/>
                <w:szCs w:val="16"/>
              </w:rPr>
              <w:t>-0.01609</w:t>
            </w:r>
          </w:p>
        </w:tc>
      </w:tr>
      <w:tr w:rsidR="00B83B39" w:rsidRPr="00D13BC1" w14:paraId="1BAF5B8F" w14:textId="77777777" w:rsidTr="00F17AF2">
        <w:trPr>
          <w:trHeight w:val="225"/>
        </w:trPr>
        <w:tc>
          <w:tcPr>
            <w:tcW w:w="1985" w:type="dxa"/>
            <w:tcBorders>
              <w:right w:val="single" w:sz="4" w:space="0" w:color="auto"/>
            </w:tcBorders>
            <w:shd w:val="clear" w:color="auto" w:fill="auto"/>
            <w:vAlign w:val="bottom"/>
            <w:hideMark/>
          </w:tcPr>
          <w:p w14:paraId="083D315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2E9A0C0E"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(0.00300)</w:t>
            </w:r>
          </w:p>
        </w:tc>
        <w:tc>
          <w:tcPr>
            <w:tcW w:w="909" w:type="dxa"/>
            <w:shd w:val="clear" w:color="auto" w:fill="auto"/>
            <w:noWrap/>
            <w:vAlign w:val="bottom"/>
            <w:hideMark/>
          </w:tcPr>
          <w:p w14:paraId="66CD32D3"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(0.00386)</w:t>
            </w:r>
          </w:p>
        </w:tc>
        <w:tc>
          <w:tcPr>
            <w:tcW w:w="909" w:type="dxa"/>
            <w:shd w:val="clear" w:color="auto" w:fill="auto"/>
            <w:noWrap/>
            <w:vAlign w:val="bottom"/>
            <w:hideMark/>
          </w:tcPr>
          <w:p w14:paraId="6923BC44"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(0.00680)</w:t>
            </w:r>
          </w:p>
        </w:tc>
        <w:tc>
          <w:tcPr>
            <w:tcW w:w="895" w:type="dxa"/>
            <w:tcBorders>
              <w:right w:val="single" w:sz="4" w:space="0" w:color="auto"/>
            </w:tcBorders>
            <w:vAlign w:val="center"/>
          </w:tcPr>
          <w:p w14:paraId="1AFA60F6" w14:textId="77777777" w:rsidR="00B83B39" w:rsidRPr="001356C3" w:rsidRDefault="00B83B39" w:rsidP="00B83B39">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12667232"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(0.00225)</w:t>
            </w:r>
          </w:p>
        </w:tc>
        <w:tc>
          <w:tcPr>
            <w:tcW w:w="917" w:type="dxa"/>
            <w:shd w:val="clear" w:color="auto" w:fill="auto"/>
            <w:noWrap/>
            <w:vAlign w:val="center"/>
            <w:hideMark/>
          </w:tcPr>
          <w:p w14:paraId="7F379DCF"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(0.00439)</w:t>
            </w:r>
          </w:p>
        </w:tc>
        <w:tc>
          <w:tcPr>
            <w:tcW w:w="1079" w:type="dxa"/>
            <w:gridSpan w:val="2"/>
            <w:shd w:val="clear" w:color="auto" w:fill="auto"/>
            <w:noWrap/>
            <w:vAlign w:val="center"/>
            <w:hideMark/>
          </w:tcPr>
          <w:p w14:paraId="13AE1081" w14:textId="77777777" w:rsidR="00B83B39" w:rsidRPr="001356C3"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(0.00653)</w:t>
            </w:r>
          </w:p>
        </w:tc>
        <w:tc>
          <w:tcPr>
            <w:tcW w:w="895" w:type="dxa"/>
            <w:vAlign w:val="center"/>
          </w:tcPr>
          <w:p w14:paraId="17BBD38C" w14:textId="77777777" w:rsidR="00B83B39" w:rsidRPr="001356C3" w:rsidRDefault="00B83B39" w:rsidP="00B83B39">
            <w:pPr>
              <w:adjustRightInd w:val="0"/>
              <w:snapToGrid w:val="0"/>
              <w:spacing w:after="0" w:line="240" w:lineRule="auto"/>
              <w:rPr>
                <w:rFonts w:ascii="Arial Narrow" w:hAnsi="Arial Narrow" w:cs="Arial"/>
                <w:sz w:val="16"/>
                <w:szCs w:val="16"/>
              </w:rPr>
            </w:pPr>
          </w:p>
        </w:tc>
      </w:tr>
      <w:tr w:rsidR="00B83B39" w:rsidRPr="00D13BC1" w14:paraId="0043DFA0" w14:textId="77777777" w:rsidTr="00F17AF2">
        <w:trPr>
          <w:trHeight w:val="225"/>
        </w:trPr>
        <w:tc>
          <w:tcPr>
            <w:tcW w:w="1985" w:type="dxa"/>
            <w:tcBorders>
              <w:right w:val="single" w:sz="4" w:space="0" w:color="auto"/>
            </w:tcBorders>
            <w:shd w:val="clear" w:color="auto" w:fill="auto"/>
            <w:noWrap/>
            <w:vAlign w:val="center"/>
            <w:hideMark/>
          </w:tcPr>
          <w:p w14:paraId="31582B2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2</w:t>
            </w:r>
          </w:p>
        </w:tc>
        <w:tc>
          <w:tcPr>
            <w:tcW w:w="992" w:type="dxa"/>
            <w:tcBorders>
              <w:left w:val="single" w:sz="4" w:space="0" w:color="auto"/>
            </w:tcBorders>
            <w:shd w:val="clear" w:color="auto" w:fill="auto"/>
            <w:noWrap/>
            <w:vAlign w:val="bottom"/>
            <w:hideMark/>
          </w:tcPr>
          <w:p w14:paraId="1E7D605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0.0154***</w:t>
            </w:r>
          </w:p>
        </w:tc>
        <w:tc>
          <w:tcPr>
            <w:tcW w:w="909" w:type="dxa"/>
            <w:shd w:val="clear" w:color="auto" w:fill="auto"/>
            <w:noWrap/>
            <w:vAlign w:val="bottom"/>
            <w:hideMark/>
          </w:tcPr>
          <w:p w14:paraId="4AE5171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0.0167***</w:t>
            </w:r>
          </w:p>
        </w:tc>
        <w:tc>
          <w:tcPr>
            <w:tcW w:w="909" w:type="dxa"/>
            <w:shd w:val="clear" w:color="auto" w:fill="auto"/>
            <w:noWrap/>
            <w:vAlign w:val="bottom"/>
            <w:hideMark/>
          </w:tcPr>
          <w:p w14:paraId="51B4678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-0.0321***</w:t>
            </w:r>
          </w:p>
        </w:tc>
        <w:tc>
          <w:tcPr>
            <w:tcW w:w="895" w:type="dxa"/>
            <w:tcBorders>
              <w:right w:val="single" w:sz="4" w:space="0" w:color="auto"/>
            </w:tcBorders>
            <w:vAlign w:val="center"/>
          </w:tcPr>
          <w:p w14:paraId="10F4CEDC"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-0.0475</w:t>
            </w:r>
          </w:p>
        </w:tc>
        <w:tc>
          <w:tcPr>
            <w:tcW w:w="992" w:type="dxa"/>
            <w:tcBorders>
              <w:left w:val="single" w:sz="4" w:space="0" w:color="auto"/>
            </w:tcBorders>
            <w:shd w:val="clear" w:color="auto" w:fill="auto"/>
            <w:noWrap/>
            <w:vAlign w:val="center"/>
            <w:hideMark/>
          </w:tcPr>
          <w:p w14:paraId="1AB08A7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0.00253</w:t>
            </w:r>
          </w:p>
        </w:tc>
        <w:tc>
          <w:tcPr>
            <w:tcW w:w="917" w:type="dxa"/>
            <w:shd w:val="clear" w:color="auto" w:fill="auto"/>
            <w:noWrap/>
            <w:vAlign w:val="center"/>
            <w:hideMark/>
          </w:tcPr>
          <w:p w14:paraId="01BCC81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0.00519</w:t>
            </w:r>
          </w:p>
        </w:tc>
        <w:tc>
          <w:tcPr>
            <w:tcW w:w="1079" w:type="dxa"/>
            <w:gridSpan w:val="2"/>
            <w:shd w:val="clear" w:color="auto" w:fill="auto"/>
            <w:noWrap/>
            <w:vAlign w:val="center"/>
            <w:hideMark/>
          </w:tcPr>
          <w:p w14:paraId="425480B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-0.00772</w:t>
            </w:r>
          </w:p>
        </w:tc>
        <w:tc>
          <w:tcPr>
            <w:tcW w:w="895" w:type="dxa"/>
            <w:vAlign w:val="center"/>
          </w:tcPr>
          <w:p w14:paraId="3EDB5B21"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-0.01025</w:t>
            </w:r>
          </w:p>
        </w:tc>
      </w:tr>
      <w:tr w:rsidR="00B83B39" w:rsidRPr="00D13BC1" w14:paraId="42AE53B2" w14:textId="77777777" w:rsidTr="00F17AF2">
        <w:trPr>
          <w:trHeight w:val="225"/>
        </w:trPr>
        <w:tc>
          <w:tcPr>
            <w:tcW w:w="1985" w:type="dxa"/>
            <w:tcBorders>
              <w:right w:val="single" w:sz="4" w:space="0" w:color="auto"/>
            </w:tcBorders>
            <w:shd w:val="clear" w:color="auto" w:fill="auto"/>
            <w:vAlign w:val="bottom"/>
            <w:hideMark/>
          </w:tcPr>
          <w:p w14:paraId="46E6C06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1D705A5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(0.00453)</w:t>
            </w:r>
          </w:p>
        </w:tc>
        <w:tc>
          <w:tcPr>
            <w:tcW w:w="909" w:type="dxa"/>
            <w:shd w:val="clear" w:color="auto" w:fill="auto"/>
            <w:noWrap/>
            <w:vAlign w:val="bottom"/>
            <w:hideMark/>
          </w:tcPr>
          <w:p w14:paraId="7A463D1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(0.00497)</w:t>
            </w:r>
          </w:p>
        </w:tc>
        <w:tc>
          <w:tcPr>
            <w:tcW w:w="909" w:type="dxa"/>
            <w:shd w:val="clear" w:color="auto" w:fill="auto"/>
            <w:noWrap/>
            <w:vAlign w:val="bottom"/>
            <w:hideMark/>
          </w:tcPr>
          <w:p w14:paraId="73A3008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(0.00841)</w:t>
            </w:r>
          </w:p>
        </w:tc>
        <w:tc>
          <w:tcPr>
            <w:tcW w:w="895" w:type="dxa"/>
            <w:tcBorders>
              <w:right w:val="single" w:sz="4" w:space="0" w:color="auto"/>
            </w:tcBorders>
            <w:vAlign w:val="center"/>
          </w:tcPr>
          <w:p w14:paraId="4F59605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32D2B7B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(0.00275)</w:t>
            </w:r>
          </w:p>
        </w:tc>
        <w:tc>
          <w:tcPr>
            <w:tcW w:w="917" w:type="dxa"/>
            <w:shd w:val="clear" w:color="auto" w:fill="auto"/>
            <w:noWrap/>
            <w:vAlign w:val="center"/>
            <w:hideMark/>
          </w:tcPr>
          <w:p w14:paraId="58DE987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(0.00555)</w:t>
            </w:r>
          </w:p>
        </w:tc>
        <w:tc>
          <w:tcPr>
            <w:tcW w:w="1079" w:type="dxa"/>
            <w:gridSpan w:val="2"/>
            <w:shd w:val="clear" w:color="auto" w:fill="auto"/>
            <w:noWrap/>
            <w:vAlign w:val="center"/>
            <w:hideMark/>
          </w:tcPr>
          <w:p w14:paraId="6E8C9EF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(0.00827)</w:t>
            </w:r>
          </w:p>
        </w:tc>
        <w:tc>
          <w:tcPr>
            <w:tcW w:w="895" w:type="dxa"/>
            <w:vAlign w:val="center"/>
          </w:tcPr>
          <w:p w14:paraId="23BA71D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r>
      <w:tr w:rsidR="00B83B39" w:rsidRPr="00D13BC1" w14:paraId="2852766B" w14:textId="77777777" w:rsidTr="00F17AF2">
        <w:trPr>
          <w:trHeight w:val="225"/>
        </w:trPr>
        <w:tc>
          <w:tcPr>
            <w:tcW w:w="1985" w:type="dxa"/>
            <w:tcBorders>
              <w:right w:val="single" w:sz="4" w:space="0" w:color="auto"/>
            </w:tcBorders>
            <w:shd w:val="clear" w:color="auto" w:fill="auto"/>
            <w:vAlign w:val="center"/>
            <w:hideMark/>
          </w:tcPr>
          <w:p w14:paraId="34CDA08B"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D13BC1">
              <w:rPr>
                <w:rFonts w:ascii="Arial Narrow" w:eastAsia="Times New Roman" w:hAnsi="Arial Narrow" w:cs="Arial"/>
                <w:sz w:val="16"/>
                <w:szCs w:val="16"/>
              </w:rPr>
              <w:t>&gt;2</w:t>
            </w:r>
          </w:p>
        </w:tc>
        <w:tc>
          <w:tcPr>
            <w:tcW w:w="992" w:type="dxa"/>
            <w:tcBorders>
              <w:left w:val="single" w:sz="4" w:space="0" w:color="auto"/>
            </w:tcBorders>
            <w:shd w:val="clear" w:color="auto" w:fill="auto"/>
            <w:noWrap/>
            <w:vAlign w:val="bottom"/>
            <w:hideMark/>
          </w:tcPr>
          <w:p w14:paraId="4F94B5E8"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-0.000282</w:t>
            </w:r>
          </w:p>
        </w:tc>
        <w:tc>
          <w:tcPr>
            <w:tcW w:w="909" w:type="dxa"/>
            <w:shd w:val="clear" w:color="auto" w:fill="auto"/>
            <w:noWrap/>
            <w:vAlign w:val="bottom"/>
            <w:hideMark/>
          </w:tcPr>
          <w:p w14:paraId="17137514"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-0.000349</w:t>
            </w:r>
          </w:p>
        </w:tc>
        <w:tc>
          <w:tcPr>
            <w:tcW w:w="909" w:type="dxa"/>
            <w:shd w:val="clear" w:color="auto" w:fill="auto"/>
            <w:noWrap/>
            <w:vAlign w:val="bottom"/>
            <w:hideMark/>
          </w:tcPr>
          <w:p w14:paraId="607F340A"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0.000631</w:t>
            </w:r>
          </w:p>
        </w:tc>
        <w:tc>
          <w:tcPr>
            <w:tcW w:w="895" w:type="dxa"/>
            <w:tcBorders>
              <w:right w:val="single" w:sz="4" w:space="0" w:color="auto"/>
            </w:tcBorders>
            <w:vAlign w:val="center"/>
          </w:tcPr>
          <w:p w14:paraId="0AFC512E" w14:textId="77777777" w:rsidR="00B83B39" w:rsidRPr="00D13BC1" w:rsidRDefault="00B83B39" w:rsidP="00B83B39">
            <w:pPr>
              <w:adjustRightInd w:val="0"/>
              <w:snapToGrid w:val="0"/>
              <w:spacing w:after="0" w:line="240" w:lineRule="auto"/>
              <w:rPr>
                <w:rFonts w:ascii="Arial Narrow" w:hAnsi="Arial Narrow" w:cs="Arial"/>
                <w:sz w:val="16"/>
                <w:szCs w:val="16"/>
              </w:rPr>
            </w:pPr>
            <w:r w:rsidRPr="00081C02">
              <w:rPr>
                <w:rFonts w:ascii="Arial Narrow" w:hAnsi="Arial Narrow" w:cs="Calibri"/>
                <w:color w:val="000000"/>
                <w:sz w:val="16"/>
                <w:szCs w:val="16"/>
              </w:rPr>
              <w:t>0.000913</w:t>
            </w:r>
          </w:p>
        </w:tc>
        <w:tc>
          <w:tcPr>
            <w:tcW w:w="992" w:type="dxa"/>
            <w:tcBorders>
              <w:left w:val="single" w:sz="4" w:space="0" w:color="auto"/>
            </w:tcBorders>
            <w:shd w:val="clear" w:color="auto" w:fill="auto"/>
            <w:noWrap/>
            <w:vAlign w:val="center"/>
            <w:hideMark/>
          </w:tcPr>
          <w:p w14:paraId="0CC31A9F"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-0.00079</w:t>
            </w:r>
          </w:p>
        </w:tc>
        <w:tc>
          <w:tcPr>
            <w:tcW w:w="917" w:type="dxa"/>
            <w:shd w:val="clear" w:color="auto" w:fill="auto"/>
            <w:noWrap/>
            <w:vAlign w:val="center"/>
            <w:hideMark/>
          </w:tcPr>
          <w:p w14:paraId="33E0EF20"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-0.00167</w:t>
            </w:r>
          </w:p>
        </w:tc>
        <w:tc>
          <w:tcPr>
            <w:tcW w:w="1079" w:type="dxa"/>
            <w:gridSpan w:val="2"/>
            <w:shd w:val="clear" w:color="auto" w:fill="auto"/>
            <w:noWrap/>
            <w:vAlign w:val="center"/>
            <w:hideMark/>
          </w:tcPr>
          <w:p w14:paraId="57425C4A"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0.00246</w:t>
            </w:r>
          </w:p>
        </w:tc>
        <w:tc>
          <w:tcPr>
            <w:tcW w:w="895" w:type="dxa"/>
            <w:vAlign w:val="center"/>
          </w:tcPr>
          <w:p w14:paraId="27DB6F88" w14:textId="77777777" w:rsidR="00B83B39" w:rsidRPr="00D13BC1" w:rsidRDefault="00B83B39" w:rsidP="00B83B39">
            <w:pPr>
              <w:adjustRightInd w:val="0"/>
              <w:snapToGrid w:val="0"/>
              <w:spacing w:after="0" w:line="240" w:lineRule="auto"/>
              <w:rPr>
                <w:rFonts w:ascii="Arial Narrow" w:hAnsi="Arial Narrow" w:cs="Arial"/>
                <w:sz w:val="16"/>
                <w:szCs w:val="16"/>
              </w:rPr>
            </w:pPr>
            <w:r>
              <w:rPr>
                <w:rFonts w:ascii="Arial Narrow" w:hAnsi="Arial Narrow" w:cs="Calibri"/>
                <w:color w:val="000000"/>
                <w:sz w:val="16"/>
                <w:szCs w:val="16"/>
              </w:rPr>
              <w:t>0.00325</w:t>
            </w:r>
          </w:p>
        </w:tc>
      </w:tr>
      <w:tr w:rsidR="00B83B39" w:rsidRPr="00D13BC1" w14:paraId="5B348CA5" w14:textId="77777777" w:rsidTr="00F17AF2">
        <w:trPr>
          <w:trHeight w:val="225"/>
        </w:trPr>
        <w:tc>
          <w:tcPr>
            <w:tcW w:w="1985" w:type="dxa"/>
            <w:tcBorders>
              <w:right w:val="single" w:sz="4" w:space="0" w:color="auto"/>
            </w:tcBorders>
            <w:shd w:val="clear" w:color="auto" w:fill="auto"/>
            <w:noWrap/>
            <w:vAlign w:val="bottom"/>
            <w:hideMark/>
          </w:tcPr>
          <w:p w14:paraId="7E95C1AE"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5234361B"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(0.00462)</w:t>
            </w:r>
          </w:p>
        </w:tc>
        <w:tc>
          <w:tcPr>
            <w:tcW w:w="909" w:type="dxa"/>
            <w:shd w:val="clear" w:color="auto" w:fill="auto"/>
            <w:noWrap/>
            <w:vAlign w:val="bottom"/>
            <w:hideMark/>
          </w:tcPr>
          <w:p w14:paraId="380C9A6D"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(0.00572)</w:t>
            </w:r>
          </w:p>
        </w:tc>
        <w:tc>
          <w:tcPr>
            <w:tcW w:w="909" w:type="dxa"/>
            <w:shd w:val="clear" w:color="auto" w:fill="auto"/>
            <w:noWrap/>
            <w:vAlign w:val="bottom"/>
            <w:hideMark/>
          </w:tcPr>
          <w:p w14:paraId="568D21A9"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(0.01030)</w:t>
            </w:r>
          </w:p>
        </w:tc>
        <w:tc>
          <w:tcPr>
            <w:tcW w:w="895" w:type="dxa"/>
            <w:tcBorders>
              <w:right w:val="single" w:sz="4" w:space="0" w:color="auto"/>
            </w:tcBorders>
            <w:vAlign w:val="center"/>
          </w:tcPr>
          <w:p w14:paraId="7F5136F8" w14:textId="77777777" w:rsidR="00B83B39" w:rsidRPr="00D13BC1" w:rsidRDefault="00B83B39" w:rsidP="00B83B39">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69B6BB7B"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(0.00322)</w:t>
            </w:r>
          </w:p>
        </w:tc>
        <w:tc>
          <w:tcPr>
            <w:tcW w:w="917" w:type="dxa"/>
            <w:shd w:val="clear" w:color="auto" w:fill="auto"/>
            <w:noWrap/>
            <w:vAlign w:val="center"/>
            <w:hideMark/>
          </w:tcPr>
          <w:p w14:paraId="22435366"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(0.00685)</w:t>
            </w:r>
          </w:p>
        </w:tc>
        <w:tc>
          <w:tcPr>
            <w:tcW w:w="1079" w:type="dxa"/>
            <w:gridSpan w:val="2"/>
            <w:shd w:val="clear" w:color="auto" w:fill="auto"/>
            <w:noWrap/>
            <w:vAlign w:val="center"/>
            <w:hideMark/>
          </w:tcPr>
          <w:p w14:paraId="0BE3313F"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(0.01010)</w:t>
            </w:r>
          </w:p>
        </w:tc>
        <w:tc>
          <w:tcPr>
            <w:tcW w:w="895" w:type="dxa"/>
            <w:vAlign w:val="center"/>
          </w:tcPr>
          <w:p w14:paraId="25E4F26A" w14:textId="77777777" w:rsidR="00B83B39" w:rsidRPr="00D13BC1" w:rsidRDefault="00B83B39" w:rsidP="00B83B39">
            <w:pPr>
              <w:adjustRightInd w:val="0"/>
              <w:snapToGrid w:val="0"/>
              <w:spacing w:after="0" w:line="240" w:lineRule="auto"/>
              <w:rPr>
                <w:rFonts w:ascii="Arial Narrow" w:hAnsi="Arial Narrow" w:cs="Arial"/>
                <w:sz w:val="16"/>
                <w:szCs w:val="16"/>
              </w:rPr>
            </w:pPr>
          </w:p>
        </w:tc>
      </w:tr>
      <w:tr w:rsidR="00B83B39" w:rsidRPr="00D13BC1" w14:paraId="1D2DBF3C" w14:textId="77777777" w:rsidTr="00F17AF2">
        <w:trPr>
          <w:trHeight w:val="225"/>
        </w:trPr>
        <w:tc>
          <w:tcPr>
            <w:tcW w:w="1985" w:type="dxa"/>
            <w:tcBorders>
              <w:right w:val="single" w:sz="4" w:space="0" w:color="auto"/>
            </w:tcBorders>
            <w:shd w:val="clear" w:color="auto" w:fill="auto"/>
            <w:vAlign w:val="center"/>
            <w:hideMark/>
          </w:tcPr>
          <w:p w14:paraId="0A04825E"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Theft</w:t>
            </w:r>
          </w:p>
        </w:tc>
        <w:tc>
          <w:tcPr>
            <w:tcW w:w="992" w:type="dxa"/>
            <w:tcBorders>
              <w:left w:val="single" w:sz="4" w:space="0" w:color="auto"/>
            </w:tcBorders>
            <w:shd w:val="clear" w:color="auto" w:fill="auto"/>
            <w:noWrap/>
            <w:vAlign w:val="bottom"/>
            <w:hideMark/>
          </w:tcPr>
          <w:p w14:paraId="6A09FD41"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1C458DCB"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335D5CCB"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1FBDAC7E" w14:textId="77777777" w:rsidR="00B83B39" w:rsidRPr="001356C3"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4A8F21F5"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70169914"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2DFB95BE"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27AC6F12" w14:textId="77777777" w:rsidR="00B83B39" w:rsidRPr="001356C3" w:rsidRDefault="00B83B39" w:rsidP="00B83B39">
            <w:pPr>
              <w:adjustRightInd w:val="0"/>
              <w:snapToGrid w:val="0"/>
              <w:spacing w:after="0" w:line="240" w:lineRule="auto"/>
              <w:rPr>
                <w:rFonts w:ascii="Arial Narrow" w:hAnsi="Arial Narrow" w:cs="Arial"/>
                <w:b/>
                <w:sz w:val="16"/>
                <w:szCs w:val="16"/>
              </w:rPr>
            </w:pPr>
          </w:p>
        </w:tc>
      </w:tr>
      <w:tr w:rsidR="00B83B39" w:rsidRPr="00D13BC1" w14:paraId="186E210F" w14:textId="77777777" w:rsidTr="00F17AF2">
        <w:trPr>
          <w:trHeight w:val="225"/>
        </w:trPr>
        <w:tc>
          <w:tcPr>
            <w:tcW w:w="1985" w:type="dxa"/>
            <w:tcBorders>
              <w:right w:val="single" w:sz="4" w:space="0" w:color="auto"/>
            </w:tcBorders>
            <w:shd w:val="clear" w:color="auto" w:fill="auto"/>
            <w:noWrap/>
            <w:vAlign w:val="center"/>
            <w:hideMark/>
          </w:tcPr>
          <w:p w14:paraId="7F0E3563"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D13BC1">
              <w:rPr>
                <w:rFonts w:ascii="Arial Narrow" w:eastAsia="Times New Roman" w:hAnsi="Arial Narrow" w:cs="Arial"/>
                <w:sz w:val="16"/>
                <w:szCs w:val="16"/>
              </w:rPr>
              <w:t xml:space="preserve">  Yes</w:t>
            </w:r>
          </w:p>
        </w:tc>
        <w:tc>
          <w:tcPr>
            <w:tcW w:w="992" w:type="dxa"/>
            <w:tcBorders>
              <w:left w:val="single" w:sz="4" w:space="0" w:color="auto"/>
            </w:tcBorders>
            <w:shd w:val="clear" w:color="auto" w:fill="auto"/>
            <w:noWrap/>
            <w:vAlign w:val="bottom"/>
            <w:hideMark/>
          </w:tcPr>
          <w:p w14:paraId="5F2319F0"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0.00841</w:t>
            </w:r>
          </w:p>
        </w:tc>
        <w:tc>
          <w:tcPr>
            <w:tcW w:w="909" w:type="dxa"/>
            <w:shd w:val="clear" w:color="auto" w:fill="auto"/>
            <w:noWrap/>
            <w:vAlign w:val="bottom"/>
            <w:hideMark/>
          </w:tcPr>
          <w:p w14:paraId="60A6F982"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0.00959</w:t>
            </w:r>
          </w:p>
        </w:tc>
        <w:tc>
          <w:tcPr>
            <w:tcW w:w="909" w:type="dxa"/>
            <w:shd w:val="clear" w:color="auto" w:fill="auto"/>
            <w:noWrap/>
            <w:vAlign w:val="bottom"/>
            <w:hideMark/>
          </w:tcPr>
          <w:p w14:paraId="00BECA98"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-0.018</w:t>
            </w:r>
          </w:p>
        </w:tc>
        <w:tc>
          <w:tcPr>
            <w:tcW w:w="895" w:type="dxa"/>
            <w:tcBorders>
              <w:right w:val="single" w:sz="4" w:space="0" w:color="auto"/>
            </w:tcBorders>
            <w:vAlign w:val="center"/>
          </w:tcPr>
          <w:p w14:paraId="326EDEF2" w14:textId="77777777" w:rsidR="00B83B39" w:rsidRPr="001356C3" w:rsidRDefault="00B83B39" w:rsidP="00B83B39">
            <w:pPr>
              <w:adjustRightInd w:val="0"/>
              <w:snapToGrid w:val="0"/>
              <w:spacing w:after="0" w:line="240" w:lineRule="auto"/>
              <w:rPr>
                <w:rFonts w:ascii="Arial Narrow" w:hAnsi="Arial Narrow" w:cs="Arial"/>
                <w:b/>
                <w:sz w:val="16"/>
                <w:szCs w:val="16"/>
              </w:rPr>
            </w:pPr>
            <w:r w:rsidRPr="00081C02">
              <w:rPr>
                <w:rFonts w:ascii="Arial Narrow" w:hAnsi="Arial Narrow" w:cs="Calibri"/>
                <w:color w:val="000000"/>
                <w:sz w:val="16"/>
                <w:szCs w:val="16"/>
              </w:rPr>
              <w:t>-0.02641</w:t>
            </w:r>
          </w:p>
        </w:tc>
        <w:tc>
          <w:tcPr>
            <w:tcW w:w="992" w:type="dxa"/>
            <w:tcBorders>
              <w:left w:val="single" w:sz="4" w:space="0" w:color="auto"/>
            </w:tcBorders>
            <w:shd w:val="clear" w:color="auto" w:fill="auto"/>
            <w:noWrap/>
            <w:vAlign w:val="center"/>
            <w:hideMark/>
          </w:tcPr>
          <w:p w14:paraId="626BA675"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0.0171***</w:t>
            </w:r>
          </w:p>
        </w:tc>
        <w:tc>
          <w:tcPr>
            <w:tcW w:w="917" w:type="dxa"/>
            <w:shd w:val="clear" w:color="auto" w:fill="auto"/>
            <w:noWrap/>
            <w:vAlign w:val="center"/>
            <w:hideMark/>
          </w:tcPr>
          <w:p w14:paraId="56DDB2DA"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0.0306***</w:t>
            </w:r>
          </w:p>
        </w:tc>
        <w:tc>
          <w:tcPr>
            <w:tcW w:w="1079" w:type="dxa"/>
            <w:gridSpan w:val="2"/>
            <w:shd w:val="clear" w:color="auto" w:fill="auto"/>
            <w:noWrap/>
            <w:vAlign w:val="center"/>
            <w:hideMark/>
          </w:tcPr>
          <w:p w14:paraId="12233D59" w14:textId="77777777" w:rsidR="00B83B39" w:rsidRPr="001356C3" w:rsidRDefault="00B83B39" w:rsidP="00B83B39">
            <w:pPr>
              <w:adjustRightInd w:val="0"/>
              <w:snapToGrid w:val="0"/>
              <w:spacing w:after="0" w:line="240" w:lineRule="auto"/>
              <w:rPr>
                <w:rFonts w:ascii="Arial Narrow" w:eastAsia="Times New Roman" w:hAnsi="Arial Narrow" w:cs="Arial"/>
                <w:b/>
                <w:sz w:val="16"/>
                <w:szCs w:val="16"/>
              </w:rPr>
            </w:pPr>
            <w:r w:rsidRPr="00081C02">
              <w:rPr>
                <w:rFonts w:ascii="Arial Narrow" w:eastAsia="Times New Roman" w:hAnsi="Arial Narrow" w:cs="Arial"/>
                <w:sz w:val="16"/>
                <w:szCs w:val="16"/>
              </w:rPr>
              <w:t>-0.0477***</w:t>
            </w:r>
          </w:p>
        </w:tc>
        <w:tc>
          <w:tcPr>
            <w:tcW w:w="895" w:type="dxa"/>
            <w:vAlign w:val="center"/>
          </w:tcPr>
          <w:p w14:paraId="6CF5453D" w14:textId="77777777" w:rsidR="00B83B39" w:rsidRPr="001356C3" w:rsidRDefault="00B83B39" w:rsidP="00B83B39">
            <w:pPr>
              <w:adjustRightInd w:val="0"/>
              <w:snapToGrid w:val="0"/>
              <w:spacing w:after="0" w:line="240" w:lineRule="auto"/>
              <w:rPr>
                <w:rFonts w:ascii="Arial Narrow" w:hAnsi="Arial Narrow" w:cs="Arial"/>
                <w:b/>
                <w:sz w:val="16"/>
                <w:szCs w:val="16"/>
              </w:rPr>
            </w:pPr>
            <w:r>
              <w:rPr>
                <w:rFonts w:ascii="Arial Narrow" w:hAnsi="Arial Narrow" w:cs="Calibri"/>
                <w:color w:val="000000"/>
                <w:sz w:val="16"/>
                <w:szCs w:val="16"/>
              </w:rPr>
              <w:t>-0.0648</w:t>
            </w:r>
          </w:p>
        </w:tc>
      </w:tr>
      <w:tr w:rsidR="00B83B39" w:rsidRPr="00D13BC1" w14:paraId="2FFEF38F" w14:textId="77777777" w:rsidTr="00F17AF2">
        <w:trPr>
          <w:trHeight w:val="225"/>
        </w:trPr>
        <w:tc>
          <w:tcPr>
            <w:tcW w:w="1985" w:type="dxa"/>
            <w:tcBorders>
              <w:right w:val="single" w:sz="4" w:space="0" w:color="auto"/>
            </w:tcBorders>
            <w:shd w:val="clear" w:color="auto" w:fill="auto"/>
            <w:vAlign w:val="bottom"/>
            <w:hideMark/>
          </w:tcPr>
          <w:p w14:paraId="53F70581"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p>
        </w:tc>
        <w:tc>
          <w:tcPr>
            <w:tcW w:w="992" w:type="dxa"/>
            <w:tcBorders>
              <w:left w:val="single" w:sz="4" w:space="0" w:color="auto"/>
            </w:tcBorders>
            <w:shd w:val="clear" w:color="auto" w:fill="auto"/>
            <w:noWrap/>
            <w:vAlign w:val="bottom"/>
            <w:hideMark/>
          </w:tcPr>
          <w:p w14:paraId="469B0386"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(0.00583)</w:t>
            </w:r>
          </w:p>
        </w:tc>
        <w:tc>
          <w:tcPr>
            <w:tcW w:w="909" w:type="dxa"/>
            <w:shd w:val="clear" w:color="auto" w:fill="auto"/>
            <w:noWrap/>
            <w:vAlign w:val="bottom"/>
            <w:hideMark/>
          </w:tcPr>
          <w:p w14:paraId="43E30778"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(0.00625)</w:t>
            </w:r>
          </w:p>
        </w:tc>
        <w:tc>
          <w:tcPr>
            <w:tcW w:w="909" w:type="dxa"/>
            <w:shd w:val="clear" w:color="auto" w:fill="auto"/>
            <w:noWrap/>
            <w:vAlign w:val="bottom"/>
            <w:hideMark/>
          </w:tcPr>
          <w:p w14:paraId="77A24D9F"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(0.01180)</w:t>
            </w:r>
          </w:p>
        </w:tc>
        <w:tc>
          <w:tcPr>
            <w:tcW w:w="895" w:type="dxa"/>
            <w:tcBorders>
              <w:right w:val="single" w:sz="4" w:space="0" w:color="auto"/>
            </w:tcBorders>
            <w:vAlign w:val="center"/>
          </w:tcPr>
          <w:p w14:paraId="2888D475" w14:textId="77777777" w:rsidR="00B83B39" w:rsidRPr="00D13BC1" w:rsidRDefault="00B83B39" w:rsidP="00B83B39">
            <w:pPr>
              <w:adjustRightInd w:val="0"/>
              <w:snapToGrid w:val="0"/>
              <w:spacing w:after="0" w:line="240" w:lineRule="auto"/>
              <w:rPr>
                <w:rFonts w:ascii="Arial Narrow" w:hAnsi="Arial Narrow" w:cs="Arial"/>
                <w:sz w:val="16"/>
                <w:szCs w:val="16"/>
              </w:rPr>
            </w:pPr>
          </w:p>
        </w:tc>
        <w:tc>
          <w:tcPr>
            <w:tcW w:w="992" w:type="dxa"/>
            <w:tcBorders>
              <w:left w:val="single" w:sz="4" w:space="0" w:color="auto"/>
            </w:tcBorders>
            <w:shd w:val="clear" w:color="auto" w:fill="auto"/>
            <w:noWrap/>
            <w:vAlign w:val="center"/>
            <w:hideMark/>
          </w:tcPr>
          <w:p w14:paraId="244B648C"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(0.00489)</w:t>
            </w:r>
          </w:p>
        </w:tc>
        <w:tc>
          <w:tcPr>
            <w:tcW w:w="917" w:type="dxa"/>
            <w:shd w:val="clear" w:color="auto" w:fill="auto"/>
            <w:noWrap/>
            <w:vAlign w:val="center"/>
            <w:hideMark/>
          </w:tcPr>
          <w:p w14:paraId="7B5D12BE"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(0.00746)</w:t>
            </w:r>
          </w:p>
        </w:tc>
        <w:tc>
          <w:tcPr>
            <w:tcW w:w="1079" w:type="dxa"/>
            <w:gridSpan w:val="2"/>
            <w:shd w:val="clear" w:color="auto" w:fill="auto"/>
            <w:noWrap/>
            <w:vAlign w:val="center"/>
            <w:hideMark/>
          </w:tcPr>
          <w:p w14:paraId="3CA4F298" w14:textId="77777777" w:rsidR="00B83B39" w:rsidRPr="00D13BC1" w:rsidRDefault="00B83B39" w:rsidP="00B83B39">
            <w:pPr>
              <w:adjustRightInd w:val="0"/>
              <w:snapToGrid w:val="0"/>
              <w:spacing w:after="0" w:line="240" w:lineRule="auto"/>
              <w:rPr>
                <w:rFonts w:ascii="Arial Narrow" w:eastAsia="Times New Roman" w:hAnsi="Arial Narrow" w:cs="Arial"/>
                <w:sz w:val="16"/>
                <w:szCs w:val="16"/>
              </w:rPr>
            </w:pPr>
            <w:r w:rsidRPr="00081C02">
              <w:rPr>
                <w:rFonts w:ascii="Arial Narrow" w:eastAsia="Times New Roman" w:hAnsi="Arial Narrow" w:cs="Arial"/>
                <w:sz w:val="16"/>
                <w:szCs w:val="16"/>
              </w:rPr>
              <w:t>(0.01130)</w:t>
            </w:r>
          </w:p>
        </w:tc>
        <w:tc>
          <w:tcPr>
            <w:tcW w:w="895" w:type="dxa"/>
            <w:vAlign w:val="center"/>
          </w:tcPr>
          <w:p w14:paraId="1EFB7688" w14:textId="77777777" w:rsidR="00B83B39" w:rsidRPr="00D13BC1" w:rsidRDefault="00B83B39" w:rsidP="00B83B39">
            <w:pPr>
              <w:adjustRightInd w:val="0"/>
              <w:snapToGrid w:val="0"/>
              <w:spacing w:after="0" w:line="240" w:lineRule="auto"/>
              <w:rPr>
                <w:rFonts w:ascii="Arial Narrow" w:hAnsi="Arial Narrow" w:cs="Arial"/>
                <w:sz w:val="16"/>
                <w:szCs w:val="16"/>
              </w:rPr>
            </w:pPr>
          </w:p>
        </w:tc>
      </w:tr>
      <w:tr w:rsidR="00B83B39" w:rsidRPr="00D13BC1" w14:paraId="31BF9097" w14:textId="77777777" w:rsidTr="00F17AF2">
        <w:trPr>
          <w:trHeight w:val="225"/>
        </w:trPr>
        <w:tc>
          <w:tcPr>
            <w:tcW w:w="1985" w:type="dxa"/>
            <w:tcBorders>
              <w:right w:val="single" w:sz="4" w:space="0" w:color="auto"/>
            </w:tcBorders>
            <w:shd w:val="clear" w:color="auto" w:fill="auto"/>
            <w:noWrap/>
            <w:vAlign w:val="center"/>
            <w:hideMark/>
          </w:tcPr>
          <w:p w14:paraId="62D2789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Conflict in village</w:t>
            </w:r>
          </w:p>
        </w:tc>
        <w:tc>
          <w:tcPr>
            <w:tcW w:w="992" w:type="dxa"/>
            <w:tcBorders>
              <w:left w:val="single" w:sz="4" w:space="0" w:color="auto"/>
            </w:tcBorders>
            <w:shd w:val="clear" w:color="auto" w:fill="auto"/>
            <w:noWrap/>
            <w:vAlign w:val="bottom"/>
            <w:hideMark/>
          </w:tcPr>
          <w:p w14:paraId="3F69D35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59DD5BD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09" w:type="dxa"/>
            <w:shd w:val="clear" w:color="auto" w:fill="auto"/>
            <w:noWrap/>
            <w:vAlign w:val="bottom"/>
            <w:hideMark/>
          </w:tcPr>
          <w:p w14:paraId="1C191987"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tcBorders>
              <w:right w:val="single" w:sz="4" w:space="0" w:color="auto"/>
            </w:tcBorders>
            <w:vAlign w:val="center"/>
          </w:tcPr>
          <w:p w14:paraId="09F52265"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1C3521B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17" w:type="dxa"/>
            <w:shd w:val="clear" w:color="auto" w:fill="auto"/>
            <w:noWrap/>
            <w:vAlign w:val="center"/>
            <w:hideMark/>
          </w:tcPr>
          <w:p w14:paraId="3D5AEC4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1079" w:type="dxa"/>
            <w:gridSpan w:val="2"/>
            <w:shd w:val="clear" w:color="auto" w:fill="auto"/>
            <w:noWrap/>
            <w:vAlign w:val="center"/>
            <w:hideMark/>
          </w:tcPr>
          <w:p w14:paraId="642648B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895" w:type="dxa"/>
            <w:vAlign w:val="center"/>
          </w:tcPr>
          <w:p w14:paraId="2BC14D4F"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151F9149" w14:textId="77777777" w:rsidTr="00F17AF2">
        <w:trPr>
          <w:trHeight w:val="225"/>
        </w:trPr>
        <w:tc>
          <w:tcPr>
            <w:tcW w:w="1985" w:type="dxa"/>
            <w:tcBorders>
              <w:right w:val="single" w:sz="4" w:space="0" w:color="auto"/>
            </w:tcBorders>
            <w:shd w:val="clear" w:color="auto" w:fill="auto"/>
            <w:vAlign w:val="center"/>
            <w:hideMark/>
          </w:tcPr>
          <w:p w14:paraId="1D1AAFD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  Yes</w:t>
            </w:r>
          </w:p>
        </w:tc>
        <w:tc>
          <w:tcPr>
            <w:tcW w:w="992" w:type="dxa"/>
            <w:tcBorders>
              <w:left w:val="single" w:sz="4" w:space="0" w:color="auto"/>
            </w:tcBorders>
            <w:shd w:val="clear" w:color="auto" w:fill="auto"/>
            <w:noWrap/>
            <w:vAlign w:val="bottom"/>
            <w:hideMark/>
          </w:tcPr>
          <w:p w14:paraId="23D9CEA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-0.00519**</w:t>
            </w:r>
          </w:p>
        </w:tc>
        <w:tc>
          <w:tcPr>
            <w:tcW w:w="909" w:type="dxa"/>
            <w:shd w:val="clear" w:color="auto" w:fill="auto"/>
            <w:noWrap/>
            <w:vAlign w:val="bottom"/>
            <w:hideMark/>
          </w:tcPr>
          <w:p w14:paraId="75D907C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-0.00631**</w:t>
            </w:r>
          </w:p>
        </w:tc>
        <w:tc>
          <w:tcPr>
            <w:tcW w:w="909" w:type="dxa"/>
            <w:shd w:val="clear" w:color="auto" w:fill="auto"/>
            <w:noWrap/>
            <w:vAlign w:val="bottom"/>
            <w:hideMark/>
          </w:tcPr>
          <w:p w14:paraId="220C187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0.0115**</w:t>
            </w:r>
          </w:p>
        </w:tc>
        <w:tc>
          <w:tcPr>
            <w:tcW w:w="895" w:type="dxa"/>
            <w:tcBorders>
              <w:right w:val="single" w:sz="4" w:space="0" w:color="auto"/>
            </w:tcBorders>
            <w:vAlign w:val="center"/>
          </w:tcPr>
          <w:p w14:paraId="45143A1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0.01669</w:t>
            </w:r>
          </w:p>
        </w:tc>
        <w:tc>
          <w:tcPr>
            <w:tcW w:w="992" w:type="dxa"/>
            <w:tcBorders>
              <w:left w:val="single" w:sz="4" w:space="0" w:color="auto"/>
            </w:tcBorders>
            <w:shd w:val="clear" w:color="auto" w:fill="auto"/>
            <w:noWrap/>
            <w:vAlign w:val="center"/>
            <w:hideMark/>
          </w:tcPr>
          <w:p w14:paraId="3404830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0.00939***</w:t>
            </w:r>
          </w:p>
        </w:tc>
        <w:tc>
          <w:tcPr>
            <w:tcW w:w="917" w:type="dxa"/>
            <w:shd w:val="clear" w:color="auto" w:fill="auto"/>
            <w:noWrap/>
            <w:vAlign w:val="center"/>
            <w:hideMark/>
          </w:tcPr>
          <w:p w14:paraId="2C23901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0.0193***</w:t>
            </w:r>
          </w:p>
        </w:tc>
        <w:tc>
          <w:tcPr>
            <w:tcW w:w="1079" w:type="dxa"/>
            <w:gridSpan w:val="2"/>
            <w:shd w:val="clear" w:color="auto" w:fill="auto"/>
            <w:noWrap/>
            <w:vAlign w:val="center"/>
            <w:hideMark/>
          </w:tcPr>
          <w:p w14:paraId="6B5C89F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-0.0287***</w:t>
            </w:r>
          </w:p>
        </w:tc>
        <w:tc>
          <w:tcPr>
            <w:tcW w:w="895" w:type="dxa"/>
            <w:vAlign w:val="center"/>
          </w:tcPr>
          <w:p w14:paraId="5824C17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hAnsi="Arial Narrow" w:cs="Calibri"/>
                <w:b/>
                <w:color w:val="000000"/>
                <w:sz w:val="16"/>
                <w:szCs w:val="16"/>
              </w:rPr>
              <w:t>-0.0381</w:t>
            </w:r>
          </w:p>
        </w:tc>
      </w:tr>
      <w:tr w:rsidR="00B83B39" w:rsidRPr="00D13BC1" w14:paraId="1DA4D94F" w14:textId="77777777" w:rsidTr="00F17AF2">
        <w:trPr>
          <w:trHeight w:val="225"/>
        </w:trPr>
        <w:tc>
          <w:tcPr>
            <w:tcW w:w="1985" w:type="dxa"/>
            <w:tcBorders>
              <w:bottom w:val="single" w:sz="4" w:space="0" w:color="auto"/>
              <w:right w:val="single" w:sz="4" w:space="0" w:color="auto"/>
            </w:tcBorders>
            <w:shd w:val="clear" w:color="auto" w:fill="auto"/>
            <w:vAlign w:val="bottom"/>
            <w:hideMark/>
          </w:tcPr>
          <w:p w14:paraId="77154BD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bottom w:val="single" w:sz="4" w:space="0" w:color="auto"/>
            </w:tcBorders>
            <w:shd w:val="clear" w:color="auto" w:fill="auto"/>
            <w:noWrap/>
            <w:vAlign w:val="bottom"/>
            <w:hideMark/>
          </w:tcPr>
          <w:p w14:paraId="070AC13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(0.00237)</w:t>
            </w:r>
          </w:p>
        </w:tc>
        <w:tc>
          <w:tcPr>
            <w:tcW w:w="909" w:type="dxa"/>
            <w:tcBorders>
              <w:bottom w:val="single" w:sz="4" w:space="0" w:color="auto"/>
            </w:tcBorders>
            <w:shd w:val="clear" w:color="auto" w:fill="auto"/>
            <w:noWrap/>
            <w:vAlign w:val="bottom"/>
            <w:hideMark/>
          </w:tcPr>
          <w:p w14:paraId="42A3DDB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(0.00307)</w:t>
            </w:r>
          </w:p>
        </w:tc>
        <w:tc>
          <w:tcPr>
            <w:tcW w:w="909" w:type="dxa"/>
            <w:tcBorders>
              <w:bottom w:val="single" w:sz="4" w:space="0" w:color="auto"/>
            </w:tcBorders>
            <w:shd w:val="clear" w:color="auto" w:fill="auto"/>
            <w:noWrap/>
            <w:vAlign w:val="bottom"/>
            <w:hideMark/>
          </w:tcPr>
          <w:p w14:paraId="237D4A7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(0.00524)</w:t>
            </w:r>
          </w:p>
        </w:tc>
        <w:tc>
          <w:tcPr>
            <w:tcW w:w="895" w:type="dxa"/>
            <w:tcBorders>
              <w:bottom w:val="single" w:sz="4" w:space="0" w:color="auto"/>
              <w:right w:val="single" w:sz="4" w:space="0" w:color="auto"/>
            </w:tcBorders>
            <w:vAlign w:val="center"/>
          </w:tcPr>
          <w:p w14:paraId="189E6550"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bottom w:val="single" w:sz="4" w:space="0" w:color="auto"/>
            </w:tcBorders>
            <w:shd w:val="clear" w:color="auto" w:fill="auto"/>
            <w:noWrap/>
            <w:vAlign w:val="center"/>
            <w:hideMark/>
          </w:tcPr>
          <w:p w14:paraId="0FA17CB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(0.00209)</w:t>
            </w:r>
          </w:p>
        </w:tc>
        <w:tc>
          <w:tcPr>
            <w:tcW w:w="917" w:type="dxa"/>
            <w:tcBorders>
              <w:bottom w:val="single" w:sz="4" w:space="0" w:color="auto"/>
            </w:tcBorders>
            <w:shd w:val="clear" w:color="auto" w:fill="auto"/>
            <w:noWrap/>
            <w:vAlign w:val="center"/>
            <w:hideMark/>
          </w:tcPr>
          <w:p w14:paraId="413B2DD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(0.00365)</w:t>
            </w:r>
          </w:p>
        </w:tc>
        <w:tc>
          <w:tcPr>
            <w:tcW w:w="1079" w:type="dxa"/>
            <w:gridSpan w:val="2"/>
            <w:tcBorders>
              <w:bottom w:val="single" w:sz="4" w:space="0" w:color="auto"/>
            </w:tcBorders>
            <w:shd w:val="clear" w:color="auto" w:fill="auto"/>
            <w:noWrap/>
            <w:vAlign w:val="center"/>
            <w:hideMark/>
          </w:tcPr>
          <w:p w14:paraId="165B2A8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(0.00503)</w:t>
            </w:r>
          </w:p>
        </w:tc>
        <w:tc>
          <w:tcPr>
            <w:tcW w:w="895" w:type="dxa"/>
            <w:tcBorders>
              <w:bottom w:val="single" w:sz="4" w:space="0" w:color="auto"/>
            </w:tcBorders>
            <w:vAlign w:val="center"/>
          </w:tcPr>
          <w:p w14:paraId="427BACE6"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3A174B" w:rsidRPr="00682B9C" w14:paraId="096FE990" w14:textId="77777777" w:rsidTr="00F17AF2">
        <w:trPr>
          <w:trHeight w:val="225"/>
        </w:trPr>
        <w:tc>
          <w:tcPr>
            <w:tcW w:w="5690" w:type="dxa"/>
            <w:gridSpan w:val="5"/>
            <w:tcBorders>
              <w:top w:val="single" w:sz="4" w:space="0" w:color="auto"/>
              <w:right w:val="single" w:sz="4" w:space="0" w:color="auto"/>
            </w:tcBorders>
            <w:shd w:val="clear" w:color="auto" w:fill="auto"/>
            <w:noWrap/>
            <w:vAlign w:val="center"/>
          </w:tcPr>
          <w:p w14:paraId="583178CD" w14:textId="77777777" w:rsidR="003A174B" w:rsidRPr="00682B9C" w:rsidRDefault="003A174B" w:rsidP="00F17AF2">
            <w:pPr>
              <w:pStyle w:val="ListParagraph"/>
              <w:numPr>
                <w:ilvl w:val="0"/>
                <w:numId w:val="14"/>
              </w:numPr>
              <w:adjustRightInd w:val="0"/>
              <w:snapToGrid w:val="0"/>
              <w:spacing w:after="0" w:line="240" w:lineRule="auto"/>
              <w:rPr>
                <w:rFonts w:ascii="Arial Narrow" w:hAnsi="Arial Narrow" w:cs="Arial"/>
                <w:b/>
                <w:i/>
                <w:color w:val="000000"/>
                <w:sz w:val="16"/>
                <w:szCs w:val="16"/>
              </w:rPr>
            </w:pPr>
            <w:r w:rsidRPr="00682B9C">
              <w:rPr>
                <w:rFonts w:ascii="Arial Narrow" w:hAnsi="Arial Narrow" w:cs="Arial"/>
                <w:b/>
                <w:i/>
                <w:sz w:val="16"/>
                <w:szCs w:val="16"/>
              </w:rPr>
              <w:t>Initial Economic Conditions (2005)</w:t>
            </w:r>
          </w:p>
        </w:tc>
        <w:tc>
          <w:tcPr>
            <w:tcW w:w="992" w:type="dxa"/>
            <w:tcBorders>
              <w:top w:val="single" w:sz="4" w:space="0" w:color="auto"/>
              <w:left w:val="single" w:sz="4" w:space="0" w:color="auto"/>
            </w:tcBorders>
            <w:shd w:val="clear" w:color="auto" w:fill="auto"/>
            <w:noWrap/>
            <w:vAlign w:val="center"/>
          </w:tcPr>
          <w:p w14:paraId="7CF426C9" w14:textId="77777777" w:rsidR="003A174B" w:rsidRPr="00682B9C" w:rsidRDefault="003A174B" w:rsidP="00B83B39">
            <w:pPr>
              <w:adjustRightInd w:val="0"/>
              <w:snapToGrid w:val="0"/>
              <w:spacing w:after="0" w:line="240" w:lineRule="auto"/>
              <w:rPr>
                <w:rFonts w:ascii="Arial Narrow" w:hAnsi="Arial Narrow" w:cs="Arial"/>
                <w:b/>
                <w:i/>
                <w:sz w:val="16"/>
                <w:szCs w:val="16"/>
              </w:rPr>
            </w:pPr>
          </w:p>
        </w:tc>
        <w:tc>
          <w:tcPr>
            <w:tcW w:w="917" w:type="dxa"/>
            <w:tcBorders>
              <w:top w:val="single" w:sz="4" w:space="0" w:color="auto"/>
            </w:tcBorders>
            <w:shd w:val="clear" w:color="auto" w:fill="auto"/>
            <w:noWrap/>
            <w:vAlign w:val="center"/>
          </w:tcPr>
          <w:p w14:paraId="3D80F6D0" w14:textId="77777777" w:rsidR="003A174B" w:rsidRPr="00682B9C" w:rsidRDefault="003A174B" w:rsidP="00B83B39">
            <w:pPr>
              <w:adjustRightInd w:val="0"/>
              <w:snapToGrid w:val="0"/>
              <w:spacing w:after="0" w:line="240" w:lineRule="auto"/>
              <w:rPr>
                <w:rFonts w:ascii="Arial Narrow" w:hAnsi="Arial Narrow" w:cs="Arial"/>
                <w:b/>
                <w:i/>
                <w:sz w:val="16"/>
                <w:szCs w:val="16"/>
              </w:rPr>
            </w:pPr>
          </w:p>
        </w:tc>
        <w:tc>
          <w:tcPr>
            <w:tcW w:w="1079" w:type="dxa"/>
            <w:gridSpan w:val="2"/>
            <w:tcBorders>
              <w:top w:val="single" w:sz="4" w:space="0" w:color="auto"/>
            </w:tcBorders>
            <w:shd w:val="clear" w:color="auto" w:fill="auto"/>
            <w:noWrap/>
            <w:vAlign w:val="center"/>
          </w:tcPr>
          <w:p w14:paraId="178964E7" w14:textId="77777777" w:rsidR="003A174B" w:rsidRPr="00682B9C" w:rsidRDefault="003A174B" w:rsidP="00B83B39">
            <w:pPr>
              <w:adjustRightInd w:val="0"/>
              <w:snapToGrid w:val="0"/>
              <w:spacing w:after="0" w:line="240" w:lineRule="auto"/>
              <w:rPr>
                <w:rFonts w:ascii="Arial Narrow" w:hAnsi="Arial Narrow" w:cs="Arial"/>
                <w:b/>
                <w:i/>
                <w:sz w:val="16"/>
                <w:szCs w:val="16"/>
              </w:rPr>
            </w:pPr>
          </w:p>
        </w:tc>
        <w:tc>
          <w:tcPr>
            <w:tcW w:w="895" w:type="dxa"/>
            <w:tcBorders>
              <w:top w:val="single" w:sz="4" w:space="0" w:color="auto"/>
            </w:tcBorders>
            <w:vAlign w:val="center"/>
          </w:tcPr>
          <w:p w14:paraId="0CF0B582" w14:textId="77777777" w:rsidR="003A174B" w:rsidRPr="00682B9C" w:rsidRDefault="003A174B" w:rsidP="00B83B39">
            <w:pPr>
              <w:adjustRightInd w:val="0"/>
              <w:snapToGrid w:val="0"/>
              <w:spacing w:after="0" w:line="240" w:lineRule="auto"/>
              <w:rPr>
                <w:rFonts w:ascii="Arial Narrow" w:hAnsi="Arial Narrow" w:cs="Arial"/>
                <w:b/>
                <w:i/>
                <w:color w:val="000000"/>
                <w:sz w:val="16"/>
                <w:szCs w:val="16"/>
              </w:rPr>
            </w:pPr>
          </w:p>
        </w:tc>
      </w:tr>
      <w:tr w:rsidR="00B83B39" w:rsidRPr="00D13BC1" w14:paraId="0E3F6388" w14:textId="77777777" w:rsidTr="00F17AF2">
        <w:trPr>
          <w:trHeight w:val="225"/>
        </w:trPr>
        <w:tc>
          <w:tcPr>
            <w:tcW w:w="1985" w:type="dxa"/>
            <w:tcBorders>
              <w:top w:val="single" w:sz="4" w:space="0" w:color="auto"/>
              <w:right w:val="single" w:sz="4" w:space="0" w:color="auto"/>
            </w:tcBorders>
            <w:shd w:val="clear" w:color="auto" w:fill="auto"/>
            <w:noWrap/>
            <w:vAlign w:val="center"/>
            <w:hideMark/>
          </w:tcPr>
          <w:p w14:paraId="255FE8A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 xml:space="preserve">Monthly Per capita expenditure </w:t>
            </w:r>
          </w:p>
        </w:tc>
        <w:tc>
          <w:tcPr>
            <w:tcW w:w="992" w:type="dxa"/>
            <w:tcBorders>
              <w:top w:val="single" w:sz="4" w:space="0" w:color="auto"/>
              <w:left w:val="single" w:sz="4" w:space="0" w:color="auto"/>
            </w:tcBorders>
            <w:shd w:val="clear" w:color="auto" w:fill="auto"/>
            <w:noWrap/>
            <w:vAlign w:val="bottom"/>
            <w:hideMark/>
          </w:tcPr>
          <w:p w14:paraId="6B6DBA2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-0.00136***</w:t>
            </w:r>
          </w:p>
        </w:tc>
        <w:tc>
          <w:tcPr>
            <w:tcW w:w="909" w:type="dxa"/>
            <w:tcBorders>
              <w:top w:val="single" w:sz="4" w:space="0" w:color="auto"/>
            </w:tcBorders>
            <w:shd w:val="clear" w:color="auto" w:fill="auto"/>
            <w:noWrap/>
            <w:vAlign w:val="bottom"/>
            <w:hideMark/>
          </w:tcPr>
          <w:p w14:paraId="6B8BD97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-0.00159***</w:t>
            </w:r>
          </w:p>
        </w:tc>
        <w:tc>
          <w:tcPr>
            <w:tcW w:w="909" w:type="dxa"/>
            <w:tcBorders>
              <w:top w:val="single" w:sz="4" w:space="0" w:color="auto"/>
            </w:tcBorders>
            <w:shd w:val="clear" w:color="auto" w:fill="auto"/>
            <w:noWrap/>
            <w:vAlign w:val="bottom"/>
            <w:hideMark/>
          </w:tcPr>
          <w:p w14:paraId="6F23708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0.00295***</w:t>
            </w:r>
          </w:p>
        </w:tc>
        <w:tc>
          <w:tcPr>
            <w:tcW w:w="895" w:type="dxa"/>
            <w:tcBorders>
              <w:top w:val="single" w:sz="4" w:space="0" w:color="auto"/>
              <w:right w:val="single" w:sz="4" w:space="0" w:color="auto"/>
            </w:tcBorders>
            <w:vAlign w:val="center"/>
          </w:tcPr>
          <w:p w14:paraId="3DA16022"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0.00431</w:t>
            </w:r>
          </w:p>
        </w:tc>
        <w:tc>
          <w:tcPr>
            <w:tcW w:w="992" w:type="dxa"/>
            <w:tcBorders>
              <w:top w:val="single" w:sz="4" w:space="0" w:color="auto"/>
              <w:left w:val="single" w:sz="4" w:space="0" w:color="auto"/>
            </w:tcBorders>
            <w:shd w:val="clear" w:color="auto" w:fill="auto"/>
            <w:noWrap/>
            <w:vAlign w:val="bottom"/>
            <w:hideMark/>
          </w:tcPr>
          <w:p w14:paraId="72F1D7E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0.0108***</w:t>
            </w:r>
          </w:p>
        </w:tc>
        <w:tc>
          <w:tcPr>
            <w:tcW w:w="917" w:type="dxa"/>
            <w:tcBorders>
              <w:top w:val="single" w:sz="4" w:space="0" w:color="auto"/>
            </w:tcBorders>
            <w:shd w:val="clear" w:color="auto" w:fill="auto"/>
            <w:noWrap/>
            <w:vAlign w:val="bottom"/>
            <w:hideMark/>
          </w:tcPr>
          <w:p w14:paraId="42F3E9A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0.0235***</w:t>
            </w:r>
          </w:p>
        </w:tc>
        <w:tc>
          <w:tcPr>
            <w:tcW w:w="1079" w:type="dxa"/>
            <w:gridSpan w:val="2"/>
            <w:tcBorders>
              <w:top w:val="single" w:sz="4" w:space="0" w:color="auto"/>
            </w:tcBorders>
            <w:shd w:val="clear" w:color="auto" w:fill="auto"/>
            <w:noWrap/>
            <w:vAlign w:val="bottom"/>
            <w:hideMark/>
          </w:tcPr>
          <w:p w14:paraId="2257323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-0.0343***</w:t>
            </w:r>
          </w:p>
        </w:tc>
        <w:tc>
          <w:tcPr>
            <w:tcW w:w="895" w:type="dxa"/>
            <w:tcBorders>
              <w:top w:val="single" w:sz="4" w:space="0" w:color="auto"/>
            </w:tcBorders>
            <w:vAlign w:val="center"/>
          </w:tcPr>
          <w:p w14:paraId="062D2DB6"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-0.0451</w:t>
            </w:r>
          </w:p>
        </w:tc>
      </w:tr>
      <w:tr w:rsidR="00B83B39" w:rsidRPr="00D13BC1" w14:paraId="1D99E684" w14:textId="77777777" w:rsidTr="00F17AF2">
        <w:trPr>
          <w:trHeight w:val="225"/>
        </w:trPr>
        <w:tc>
          <w:tcPr>
            <w:tcW w:w="1985" w:type="dxa"/>
            <w:tcBorders>
              <w:right w:val="single" w:sz="4" w:space="0" w:color="auto"/>
            </w:tcBorders>
            <w:shd w:val="clear" w:color="auto" w:fill="auto"/>
            <w:vAlign w:val="center"/>
            <w:hideMark/>
          </w:tcPr>
          <w:p w14:paraId="30DA05A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3718198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(0.00025)</w:t>
            </w:r>
          </w:p>
        </w:tc>
        <w:tc>
          <w:tcPr>
            <w:tcW w:w="909" w:type="dxa"/>
            <w:shd w:val="clear" w:color="auto" w:fill="auto"/>
            <w:noWrap/>
            <w:vAlign w:val="bottom"/>
            <w:hideMark/>
          </w:tcPr>
          <w:p w14:paraId="32976665"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(0.00029)</w:t>
            </w:r>
          </w:p>
        </w:tc>
        <w:tc>
          <w:tcPr>
            <w:tcW w:w="909" w:type="dxa"/>
            <w:shd w:val="clear" w:color="auto" w:fill="auto"/>
            <w:noWrap/>
            <w:vAlign w:val="bottom"/>
            <w:hideMark/>
          </w:tcPr>
          <w:p w14:paraId="7540062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(0.00054)</w:t>
            </w:r>
          </w:p>
        </w:tc>
        <w:tc>
          <w:tcPr>
            <w:tcW w:w="895" w:type="dxa"/>
            <w:tcBorders>
              <w:right w:val="single" w:sz="4" w:space="0" w:color="auto"/>
            </w:tcBorders>
            <w:vAlign w:val="center"/>
          </w:tcPr>
          <w:p w14:paraId="343A1C9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center"/>
            <w:hideMark/>
          </w:tcPr>
          <w:p w14:paraId="34673BFF"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(0.00022)</w:t>
            </w:r>
          </w:p>
        </w:tc>
        <w:tc>
          <w:tcPr>
            <w:tcW w:w="917" w:type="dxa"/>
            <w:shd w:val="clear" w:color="auto" w:fill="auto"/>
            <w:noWrap/>
            <w:vAlign w:val="center"/>
            <w:hideMark/>
          </w:tcPr>
          <w:p w14:paraId="7775847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(0.00047)</w:t>
            </w:r>
          </w:p>
        </w:tc>
        <w:tc>
          <w:tcPr>
            <w:tcW w:w="1079" w:type="dxa"/>
            <w:gridSpan w:val="2"/>
            <w:shd w:val="clear" w:color="auto" w:fill="auto"/>
            <w:noWrap/>
            <w:vAlign w:val="center"/>
            <w:hideMark/>
          </w:tcPr>
          <w:p w14:paraId="7268D45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(0.00057)</w:t>
            </w:r>
          </w:p>
        </w:tc>
        <w:tc>
          <w:tcPr>
            <w:tcW w:w="895" w:type="dxa"/>
            <w:vAlign w:val="center"/>
          </w:tcPr>
          <w:p w14:paraId="3AA66C6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r>
      <w:tr w:rsidR="00B83B39" w:rsidRPr="00D13BC1" w14:paraId="080B3E12" w14:textId="77777777" w:rsidTr="00F17AF2">
        <w:trPr>
          <w:trHeight w:val="225"/>
        </w:trPr>
        <w:tc>
          <w:tcPr>
            <w:tcW w:w="1985" w:type="dxa"/>
            <w:tcBorders>
              <w:right w:val="single" w:sz="4" w:space="0" w:color="auto"/>
            </w:tcBorders>
            <w:shd w:val="clear" w:color="auto" w:fill="auto"/>
            <w:vAlign w:val="center"/>
            <w:hideMark/>
          </w:tcPr>
          <w:p w14:paraId="342D1EC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lastRenderedPageBreak/>
              <w:t>Household per capita expenditure as fraction of highest in PSU</w:t>
            </w:r>
          </w:p>
        </w:tc>
        <w:tc>
          <w:tcPr>
            <w:tcW w:w="992" w:type="dxa"/>
            <w:tcBorders>
              <w:left w:val="single" w:sz="4" w:space="0" w:color="auto"/>
            </w:tcBorders>
            <w:shd w:val="clear" w:color="auto" w:fill="auto"/>
            <w:noWrap/>
            <w:vAlign w:val="bottom"/>
            <w:hideMark/>
          </w:tcPr>
          <w:p w14:paraId="4202CDC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-0.0214***</w:t>
            </w:r>
          </w:p>
        </w:tc>
        <w:tc>
          <w:tcPr>
            <w:tcW w:w="909" w:type="dxa"/>
            <w:shd w:val="clear" w:color="auto" w:fill="auto"/>
            <w:noWrap/>
            <w:vAlign w:val="bottom"/>
            <w:hideMark/>
          </w:tcPr>
          <w:p w14:paraId="009D0D1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-0.0260***</w:t>
            </w:r>
          </w:p>
        </w:tc>
        <w:tc>
          <w:tcPr>
            <w:tcW w:w="909" w:type="dxa"/>
            <w:shd w:val="clear" w:color="auto" w:fill="auto"/>
            <w:noWrap/>
            <w:vAlign w:val="bottom"/>
            <w:hideMark/>
          </w:tcPr>
          <w:p w14:paraId="240BA48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0.0474***</w:t>
            </w:r>
          </w:p>
        </w:tc>
        <w:tc>
          <w:tcPr>
            <w:tcW w:w="895" w:type="dxa"/>
            <w:tcBorders>
              <w:right w:val="single" w:sz="4" w:space="0" w:color="auto"/>
            </w:tcBorders>
            <w:vAlign w:val="center"/>
          </w:tcPr>
          <w:p w14:paraId="6DB407AA"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0.0688</w:t>
            </w:r>
          </w:p>
        </w:tc>
        <w:tc>
          <w:tcPr>
            <w:tcW w:w="992" w:type="dxa"/>
            <w:tcBorders>
              <w:left w:val="single" w:sz="4" w:space="0" w:color="auto"/>
            </w:tcBorders>
            <w:shd w:val="clear" w:color="auto" w:fill="auto"/>
            <w:noWrap/>
            <w:vAlign w:val="bottom"/>
            <w:hideMark/>
          </w:tcPr>
          <w:p w14:paraId="2E96FFA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0.0545***</w:t>
            </w:r>
          </w:p>
        </w:tc>
        <w:tc>
          <w:tcPr>
            <w:tcW w:w="917" w:type="dxa"/>
            <w:shd w:val="clear" w:color="auto" w:fill="auto"/>
            <w:noWrap/>
            <w:vAlign w:val="bottom"/>
            <w:hideMark/>
          </w:tcPr>
          <w:p w14:paraId="71DB7C4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0.113***</w:t>
            </w:r>
          </w:p>
        </w:tc>
        <w:tc>
          <w:tcPr>
            <w:tcW w:w="1079" w:type="dxa"/>
            <w:gridSpan w:val="2"/>
            <w:shd w:val="clear" w:color="auto" w:fill="auto"/>
            <w:noWrap/>
            <w:vAlign w:val="bottom"/>
            <w:hideMark/>
          </w:tcPr>
          <w:p w14:paraId="0C3B368A"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-0.167***</w:t>
            </w:r>
          </w:p>
        </w:tc>
        <w:tc>
          <w:tcPr>
            <w:tcW w:w="895" w:type="dxa"/>
            <w:vAlign w:val="center"/>
          </w:tcPr>
          <w:p w14:paraId="56A80D18"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hAnsi="Arial Narrow" w:cs="Calibri"/>
                <w:b/>
                <w:color w:val="000000"/>
                <w:sz w:val="16"/>
                <w:szCs w:val="16"/>
              </w:rPr>
              <w:t>-0.221</w:t>
            </w:r>
          </w:p>
        </w:tc>
      </w:tr>
      <w:tr w:rsidR="00B83B39" w:rsidRPr="00D13BC1" w14:paraId="1EE60C4A" w14:textId="77777777" w:rsidTr="00F17AF2">
        <w:trPr>
          <w:trHeight w:val="225"/>
        </w:trPr>
        <w:tc>
          <w:tcPr>
            <w:tcW w:w="1985" w:type="dxa"/>
            <w:tcBorders>
              <w:right w:val="single" w:sz="4" w:space="0" w:color="auto"/>
            </w:tcBorders>
            <w:shd w:val="clear" w:color="auto" w:fill="auto"/>
            <w:noWrap/>
            <w:vAlign w:val="bottom"/>
            <w:hideMark/>
          </w:tcPr>
          <w:p w14:paraId="3258DEA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hideMark/>
          </w:tcPr>
          <w:p w14:paraId="16637E2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(0.00509)</w:t>
            </w:r>
          </w:p>
        </w:tc>
        <w:tc>
          <w:tcPr>
            <w:tcW w:w="909" w:type="dxa"/>
            <w:shd w:val="clear" w:color="auto" w:fill="auto"/>
            <w:noWrap/>
            <w:vAlign w:val="bottom"/>
            <w:hideMark/>
          </w:tcPr>
          <w:p w14:paraId="01EB2F7B"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(0.00617)</w:t>
            </w:r>
          </w:p>
        </w:tc>
        <w:tc>
          <w:tcPr>
            <w:tcW w:w="909" w:type="dxa"/>
            <w:shd w:val="clear" w:color="auto" w:fill="auto"/>
            <w:noWrap/>
            <w:vAlign w:val="bottom"/>
            <w:hideMark/>
          </w:tcPr>
          <w:p w14:paraId="36893396"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(0.01130)</w:t>
            </w:r>
          </w:p>
        </w:tc>
        <w:tc>
          <w:tcPr>
            <w:tcW w:w="895" w:type="dxa"/>
            <w:tcBorders>
              <w:right w:val="single" w:sz="4" w:space="0" w:color="auto"/>
            </w:tcBorders>
            <w:vAlign w:val="center"/>
          </w:tcPr>
          <w:p w14:paraId="488CDA49" w14:textId="77777777" w:rsidR="00B83B39" w:rsidRPr="008C7298" w:rsidRDefault="00B83B39" w:rsidP="00B83B39">
            <w:pPr>
              <w:adjustRightInd w:val="0"/>
              <w:snapToGrid w:val="0"/>
              <w:spacing w:after="0" w:line="240" w:lineRule="auto"/>
              <w:rPr>
                <w:rFonts w:ascii="Arial Narrow" w:hAnsi="Arial Narrow" w:cs="Arial"/>
                <w:b/>
                <w:sz w:val="16"/>
                <w:szCs w:val="16"/>
              </w:rPr>
            </w:pPr>
          </w:p>
        </w:tc>
        <w:tc>
          <w:tcPr>
            <w:tcW w:w="992" w:type="dxa"/>
            <w:tcBorders>
              <w:left w:val="single" w:sz="4" w:space="0" w:color="auto"/>
            </w:tcBorders>
            <w:shd w:val="clear" w:color="auto" w:fill="auto"/>
            <w:noWrap/>
            <w:vAlign w:val="center"/>
            <w:hideMark/>
          </w:tcPr>
          <w:p w14:paraId="5E9EF65D"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(0.00369)</w:t>
            </w:r>
          </w:p>
        </w:tc>
        <w:tc>
          <w:tcPr>
            <w:tcW w:w="917" w:type="dxa"/>
            <w:shd w:val="clear" w:color="auto" w:fill="auto"/>
            <w:noWrap/>
            <w:vAlign w:val="center"/>
            <w:hideMark/>
          </w:tcPr>
          <w:p w14:paraId="135E3171"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(0.00727)</w:t>
            </w:r>
          </w:p>
        </w:tc>
        <w:tc>
          <w:tcPr>
            <w:tcW w:w="1079" w:type="dxa"/>
            <w:gridSpan w:val="2"/>
            <w:shd w:val="clear" w:color="auto" w:fill="auto"/>
            <w:noWrap/>
            <w:vAlign w:val="center"/>
            <w:hideMark/>
          </w:tcPr>
          <w:p w14:paraId="1F9B85DC"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(0.01080)</w:t>
            </w:r>
          </w:p>
        </w:tc>
        <w:tc>
          <w:tcPr>
            <w:tcW w:w="895" w:type="dxa"/>
            <w:vAlign w:val="center"/>
          </w:tcPr>
          <w:p w14:paraId="2C6AF92D" w14:textId="77777777" w:rsidR="00B83B39" w:rsidRPr="008C7298" w:rsidRDefault="00B83B39" w:rsidP="00B83B39">
            <w:pPr>
              <w:adjustRightInd w:val="0"/>
              <w:snapToGrid w:val="0"/>
              <w:spacing w:after="0" w:line="240" w:lineRule="auto"/>
              <w:rPr>
                <w:rFonts w:ascii="Arial Narrow" w:hAnsi="Arial Narrow" w:cs="Arial"/>
                <w:b/>
                <w:sz w:val="16"/>
                <w:szCs w:val="16"/>
              </w:rPr>
            </w:pPr>
          </w:p>
        </w:tc>
      </w:tr>
      <w:tr w:rsidR="00B83B39" w:rsidRPr="00D13BC1" w14:paraId="6EF12E43" w14:textId="77777777" w:rsidTr="00F17AF2">
        <w:trPr>
          <w:trHeight w:val="225"/>
        </w:trPr>
        <w:tc>
          <w:tcPr>
            <w:tcW w:w="1985" w:type="dxa"/>
            <w:tcBorders>
              <w:right w:val="single" w:sz="4" w:space="0" w:color="auto"/>
            </w:tcBorders>
            <w:shd w:val="clear" w:color="auto" w:fill="auto"/>
            <w:vAlign w:val="center"/>
          </w:tcPr>
          <w:p w14:paraId="7A723DA8"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Ratio of share top 1% to bottom 50%</w:t>
            </w:r>
          </w:p>
        </w:tc>
        <w:tc>
          <w:tcPr>
            <w:tcW w:w="992" w:type="dxa"/>
            <w:tcBorders>
              <w:left w:val="single" w:sz="4" w:space="0" w:color="auto"/>
            </w:tcBorders>
            <w:shd w:val="clear" w:color="auto" w:fill="auto"/>
            <w:noWrap/>
            <w:vAlign w:val="bottom"/>
          </w:tcPr>
          <w:p w14:paraId="0BB460E0"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-0.0836</w:t>
            </w:r>
          </w:p>
        </w:tc>
        <w:tc>
          <w:tcPr>
            <w:tcW w:w="909" w:type="dxa"/>
            <w:shd w:val="clear" w:color="auto" w:fill="auto"/>
            <w:noWrap/>
            <w:vAlign w:val="bottom"/>
          </w:tcPr>
          <w:p w14:paraId="21F53B2E"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-0.101</w:t>
            </w:r>
          </w:p>
        </w:tc>
        <w:tc>
          <w:tcPr>
            <w:tcW w:w="909" w:type="dxa"/>
            <w:shd w:val="clear" w:color="auto" w:fill="auto"/>
            <w:noWrap/>
            <w:vAlign w:val="bottom"/>
          </w:tcPr>
          <w:p w14:paraId="57EC2A54"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0.185</w:t>
            </w:r>
          </w:p>
        </w:tc>
        <w:tc>
          <w:tcPr>
            <w:tcW w:w="895" w:type="dxa"/>
            <w:tcBorders>
              <w:right w:val="single" w:sz="4" w:space="0" w:color="auto"/>
            </w:tcBorders>
            <w:vAlign w:val="center"/>
          </w:tcPr>
          <w:p w14:paraId="1A20B175" w14:textId="77777777" w:rsidR="00B83B39" w:rsidRPr="008C7298" w:rsidRDefault="00B83B39" w:rsidP="00B83B39">
            <w:pPr>
              <w:adjustRightInd w:val="0"/>
              <w:snapToGrid w:val="0"/>
              <w:spacing w:after="0" w:line="240" w:lineRule="auto"/>
              <w:rPr>
                <w:rFonts w:ascii="Arial Narrow" w:hAnsi="Arial Narrow" w:cs="Arial"/>
                <w:b/>
                <w:color w:val="000000"/>
                <w:sz w:val="16"/>
                <w:szCs w:val="16"/>
              </w:rPr>
            </w:pPr>
            <w:r w:rsidRPr="008C7298">
              <w:rPr>
                <w:rFonts w:ascii="Arial Narrow" w:hAnsi="Arial Narrow" w:cs="Calibri"/>
                <w:b/>
                <w:color w:val="000000"/>
                <w:sz w:val="16"/>
                <w:szCs w:val="16"/>
              </w:rPr>
              <w:t>0.269</w:t>
            </w:r>
          </w:p>
        </w:tc>
        <w:tc>
          <w:tcPr>
            <w:tcW w:w="992" w:type="dxa"/>
            <w:tcBorders>
              <w:left w:val="single" w:sz="4" w:space="0" w:color="auto"/>
            </w:tcBorders>
            <w:shd w:val="clear" w:color="auto" w:fill="auto"/>
            <w:noWrap/>
            <w:vAlign w:val="bottom"/>
          </w:tcPr>
          <w:p w14:paraId="7344A048"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eastAsia="Times New Roman" w:hAnsi="Arial Narrow" w:cs="Arial"/>
                <w:b/>
                <w:sz w:val="16"/>
                <w:szCs w:val="16"/>
              </w:rPr>
              <w:t>0.0156</w:t>
            </w:r>
          </w:p>
        </w:tc>
        <w:tc>
          <w:tcPr>
            <w:tcW w:w="917" w:type="dxa"/>
            <w:shd w:val="clear" w:color="auto" w:fill="auto"/>
            <w:noWrap/>
            <w:vAlign w:val="bottom"/>
          </w:tcPr>
          <w:p w14:paraId="2AC5CEA3"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eastAsia="Times New Roman" w:hAnsi="Arial Narrow" w:cs="Arial"/>
                <w:b/>
                <w:sz w:val="16"/>
                <w:szCs w:val="16"/>
              </w:rPr>
              <w:t>0.0323</w:t>
            </w:r>
          </w:p>
        </w:tc>
        <w:tc>
          <w:tcPr>
            <w:tcW w:w="1079" w:type="dxa"/>
            <w:gridSpan w:val="2"/>
            <w:shd w:val="clear" w:color="auto" w:fill="auto"/>
            <w:noWrap/>
            <w:vAlign w:val="bottom"/>
          </w:tcPr>
          <w:p w14:paraId="01950D06"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eastAsia="Times New Roman" w:hAnsi="Arial Narrow" w:cs="Arial"/>
                <w:b/>
                <w:sz w:val="16"/>
                <w:szCs w:val="16"/>
              </w:rPr>
              <w:t>-0.0479</w:t>
            </w:r>
          </w:p>
        </w:tc>
        <w:tc>
          <w:tcPr>
            <w:tcW w:w="895" w:type="dxa"/>
            <w:vAlign w:val="center"/>
          </w:tcPr>
          <w:p w14:paraId="4E214F6F" w14:textId="77777777" w:rsidR="00B83B39" w:rsidRPr="008C7298" w:rsidRDefault="00B83B39" w:rsidP="00B83B39">
            <w:pPr>
              <w:adjustRightInd w:val="0"/>
              <w:snapToGrid w:val="0"/>
              <w:spacing w:after="0" w:line="240" w:lineRule="auto"/>
              <w:rPr>
                <w:rFonts w:ascii="Arial Narrow" w:hAnsi="Arial Narrow" w:cs="Arial"/>
                <w:b/>
                <w:color w:val="000000"/>
                <w:sz w:val="16"/>
                <w:szCs w:val="16"/>
              </w:rPr>
            </w:pPr>
            <w:r w:rsidRPr="008C7298">
              <w:rPr>
                <w:rFonts w:ascii="Arial Narrow" w:hAnsi="Arial Narrow" w:cs="Calibri"/>
                <w:b/>
                <w:color w:val="000000"/>
                <w:sz w:val="16"/>
                <w:szCs w:val="16"/>
              </w:rPr>
              <w:t>-0.0635</w:t>
            </w:r>
          </w:p>
        </w:tc>
      </w:tr>
      <w:tr w:rsidR="00B83B39" w:rsidRPr="00D13BC1" w14:paraId="7629299E" w14:textId="77777777" w:rsidTr="00F17AF2">
        <w:trPr>
          <w:trHeight w:val="225"/>
        </w:trPr>
        <w:tc>
          <w:tcPr>
            <w:tcW w:w="1985" w:type="dxa"/>
            <w:tcBorders>
              <w:right w:val="single" w:sz="4" w:space="0" w:color="auto"/>
            </w:tcBorders>
            <w:shd w:val="clear" w:color="auto" w:fill="auto"/>
            <w:vAlign w:val="bottom"/>
          </w:tcPr>
          <w:p w14:paraId="3588BCF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p>
        </w:tc>
        <w:tc>
          <w:tcPr>
            <w:tcW w:w="992" w:type="dxa"/>
            <w:tcBorders>
              <w:left w:val="single" w:sz="4" w:space="0" w:color="auto"/>
            </w:tcBorders>
            <w:shd w:val="clear" w:color="auto" w:fill="auto"/>
            <w:noWrap/>
            <w:vAlign w:val="bottom"/>
          </w:tcPr>
          <w:p w14:paraId="59C56C73"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(0.01030)</w:t>
            </w:r>
          </w:p>
        </w:tc>
        <w:tc>
          <w:tcPr>
            <w:tcW w:w="909" w:type="dxa"/>
            <w:shd w:val="clear" w:color="auto" w:fill="auto"/>
            <w:noWrap/>
            <w:vAlign w:val="bottom"/>
          </w:tcPr>
          <w:p w14:paraId="05DE5E22"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(0.01240)</w:t>
            </w:r>
          </w:p>
        </w:tc>
        <w:tc>
          <w:tcPr>
            <w:tcW w:w="909" w:type="dxa"/>
            <w:shd w:val="clear" w:color="auto" w:fill="auto"/>
            <w:noWrap/>
            <w:vAlign w:val="bottom"/>
          </w:tcPr>
          <w:p w14:paraId="3ECDF679" w14:textId="77777777" w:rsidR="00B83B39" w:rsidRPr="008C7298" w:rsidRDefault="00B83B39" w:rsidP="00B83B39">
            <w:pPr>
              <w:adjustRightInd w:val="0"/>
              <w:snapToGrid w:val="0"/>
              <w:spacing w:after="0" w:line="240" w:lineRule="auto"/>
              <w:rPr>
                <w:rFonts w:ascii="Arial Narrow" w:eastAsia="Times New Roman" w:hAnsi="Arial Narrow" w:cs="Arial"/>
                <w:b/>
                <w:sz w:val="16"/>
                <w:szCs w:val="16"/>
              </w:rPr>
            </w:pPr>
            <w:r w:rsidRPr="008C7298">
              <w:rPr>
                <w:rFonts w:ascii="Arial Narrow" w:eastAsia="Times New Roman" w:hAnsi="Arial Narrow" w:cs="Arial"/>
                <w:b/>
                <w:sz w:val="16"/>
                <w:szCs w:val="16"/>
              </w:rPr>
              <w:t>(0.02260)</w:t>
            </w:r>
          </w:p>
        </w:tc>
        <w:tc>
          <w:tcPr>
            <w:tcW w:w="895" w:type="dxa"/>
            <w:tcBorders>
              <w:right w:val="single" w:sz="4" w:space="0" w:color="auto"/>
            </w:tcBorders>
            <w:vAlign w:val="center"/>
          </w:tcPr>
          <w:p w14:paraId="7E755BAA" w14:textId="77777777" w:rsidR="00B83B39" w:rsidRPr="008C7298" w:rsidRDefault="00B83B39" w:rsidP="00B83B39">
            <w:pPr>
              <w:adjustRightInd w:val="0"/>
              <w:snapToGrid w:val="0"/>
              <w:spacing w:after="0" w:line="240" w:lineRule="auto"/>
              <w:rPr>
                <w:rFonts w:ascii="Arial Narrow" w:hAnsi="Arial Narrow" w:cs="Arial"/>
                <w:b/>
                <w:color w:val="000000"/>
                <w:sz w:val="16"/>
                <w:szCs w:val="16"/>
              </w:rPr>
            </w:pPr>
          </w:p>
        </w:tc>
        <w:tc>
          <w:tcPr>
            <w:tcW w:w="992" w:type="dxa"/>
            <w:tcBorders>
              <w:left w:val="single" w:sz="4" w:space="0" w:color="auto"/>
            </w:tcBorders>
            <w:shd w:val="clear" w:color="auto" w:fill="auto"/>
            <w:noWrap/>
            <w:vAlign w:val="center"/>
          </w:tcPr>
          <w:p w14:paraId="774A958C"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eastAsia="Times New Roman" w:hAnsi="Arial Narrow" w:cs="Arial"/>
                <w:b/>
                <w:sz w:val="16"/>
                <w:szCs w:val="16"/>
              </w:rPr>
              <w:t>(0.00711)</w:t>
            </w:r>
          </w:p>
        </w:tc>
        <w:tc>
          <w:tcPr>
            <w:tcW w:w="917" w:type="dxa"/>
            <w:shd w:val="clear" w:color="auto" w:fill="auto"/>
            <w:noWrap/>
            <w:vAlign w:val="center"/>
          </w:tcPr>
          <w:p w14:paraId="03580164"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eastAsia="Times New Roman" w:hAnsi="Arial Narrow" w:cs="Arial"/>
                <w:b/>
                <w:sz w:val="16"/>
                <w:szCs w:val="16"/>
              </w:rPr>
              <w:t>(0.01470)</w:t>
            </w:r>
          </w:p>
        </w:tc>
        <w:tc>
          <w:tcPr>
            <w:tcW w:w="1079" w:type="dxa"/>
            <w:gridSpan w:val="2"/>
            <w:shd w:val="clear" w:color="auto" w:fill="auto"/>
            <w:noWrap/>
            <w:vAlign w:val="center"/>
          </w:tcPr>
          <w:p w14:paraId="623A1199" w14:textId="77777777" w:rsidR="00B83B39" w:rsidRPr="008C7298" w:rsidRDefault="00B83B39" w:rsidP="00B83B39">
            <w:pPr>
              <w:adjustRightInd w:val="0"/>
              <w:snapToGrid w:val="0"/>
              <w:spacing w:after="0" w:line="240" w:lineRule="auto"/>
              <w:rPr>
                <w:rFonts w:ascii="Arial Narrow" w:hAnsi="Arial Narrow" w:cs="Arial"/>
                <w:b/>
                <w:sz w:val="16"/>
                <w:szCs w:val="16"/>
              </w:rPr>
            </w:pPr>
            <w:r w:rsidRPr="008C7298">
              <w:rPr>
                <w:rFonts w:ascii="Arial Narrow" w:eastAsia="Times New Roman" w:hAnsi="Arial Narrow" w:cs="Arial"/>
                <w:b/>
                <w:sz w:val="16"/>
                <w:szCs w:val="16"/>
              </w:rPr>
              <w:t>(0.02180)</w:t>
            </w:r>
          </w:p>
        </w:tc>
        <w:tc>
          <w:tcPr>
            <w:tcW w:w="895" w:type="dxa"/>
            <w:vAlign w:val="center"/>
          </w:tcPr>
          <w:p w14:paraId="68C2043B" w14:textId="77777777" w:rsidR="00B83B39" w:rsidRPr="008C7298" w:rsidRDefault="00B83B39" w:rsidP="00B83B39">
            <w:pPr>
              <w:adjustRightInd w:val="0"/>
              <w:snapToGrid w:val="0"/>
              <w:spacing w:after="0" w:line="240" w:lineRule="auto"/>
              <w:rPr>
                <w:rFonts w:ascii="Arial Narrow" w:hAnsi="Arial Narrow" w:cs="Arial"/>
                <w:b/>
                <w:color w:val="000000"/>
                <w:sz w:val="16"/>
                <w:szCs w:val="16"/>
              </w:rPr>
            </w:pPr>
          </w:p>
        </w:tc>
      </w:tr>
      <w:tr w:rsidR="00B83B39" w:rsidRPr="00D13BC1" w14:paraId="639B5F3A" w14:textId="77777777" w:rsidTr="00F17AF2">
        <w:trPr>
          <w:trHeight w:val="225"/>
        </w:trPr>
        <w:tc>
          <w:tcPr>
            <w:tcW w:w="1985" w:type="dxa"/>
            <w:tcBorders>
              <w:right w:val="single" w:sz="4" w:space="0" w:color="auto"/>
            </w:tcBorders>
            <w:shd w:val="clear" w:color="auto" w:fill="auto"/>
            <w:vAlign w:val="center"/>
          </w:tcPr>
          <w:p w14:paraId="242E789A"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Net State domestic Product (in ‘000)</w:t>
            </w:r>
          </w:p>
        </w:tc>
        <w:tc>
          <w:tcPr>
            <w:tcW w:w="992" w:type="dxa"/>
            <w:tcBorders>
              <w:left w:val="single" w:sz="4" w:space="0" w:color="auto"/>
            </w:tcBorders>
            <w:shd w:val="clear" w:color="auto" w:fill="auto"/>
            <w:noWrap/>
            <w:vAlign w:val="bottom"/>
          </w:tcPr>
          <w:p w14:paraId="25D57C7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-0.00119</w:t>
            </w:r>
          </w:p>
        </w:tc>
        <w:tc>
          <w:tcPr>
            <w:tcW w:w="909" w:type="dxa"/>
            <w:shd w:val="clear" w:color="auto" w:fill="auto"/>
            <w:noWrap/>
            <w:vAlign w:val="bottom"/>
          </w:tcPr>
          <w:p w14:paraId="0A15D1BB"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-0.00128</w:t>
            </w:r>
          </w:p>
        </w:tc>
        <w:tc>
          <w:tcPr>
            <w:tcW w:w="909" w:type="dxa"/>
            <w:shd w:val="clear" w:color="auto" w:fill="auto"/>
            <w:noWrap/>
            <w:vAlign w:val="bottom"/>
          </w:tcPr>
          <w:p w14:paraId="021BB241"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0.00247</w:t>
            </w:r>
          </w:p>
        </w:tc>
        <w:tc>
          <w:tcPr>
            <w:tcW w:w="895" w:type="dxa"/>
            <w:tcBorders>
              <w:right w:val="single" w:sz="4" w:space="0" w:color="auto"/>
            </w:tcBorders>
            <w:vAlign w:val="center"/>
          </w:tcPr>
          <w:p w14:paraId="7B920761" w14:textId="77777777" w:rsidR="00B83B39" w:rsidRPr="008C7298" w:rsidRDefault="00B83B39" w:rsidP="00B83B39">
            <w:pPr>
              <w:adjustRightInd w:val="0"/>
              <w:snapToGrid w:val="0"/>
              <w:spacing w:after="0" w:line="240" w:lineRule="auto"/>
              <w:rPr>
                <w:rFonts w:ascii="Arial Narrow" w:hAnsi="Arial Narrow" w:cs="Arial"/>
                <w:i/>
                <w:color w:val="000000"/>
                <w:sz w:val="16"/>
                <w:szCs w:val="16"/>
              </w:rPr>
            </w:pPr>
            <w:r w:rsidRPr="008C7298">
              <w:rPr>
                <w:rFonts w:ascii="Arial Narrow" w:hAnsi="Arial Narrow" w:cs="Calibri"/>
                <w:i/>
                <w:color w:val="000000"/>
                <w:sz w:val="16"/>
                <w:szCs w:val="16"/>
              </w:rPr>
              <w:t>0.00366</w:t>
            </w:r>
          </w:p>
        </w:tc>
        <w:tc>
          <w:tcPr>
            <w:tcW w:w="992" w:type="dxa"/>
            <w:tcBorders>
              <w:left w:val="single" w:sz="4" w:space="0" w:color="auto"/>
            </w:tcBorders>
            <w:shd w:val="clear" w:color="auto" w:fill="auto"/>
            <w:noWrap/>
            <w:vAlign w:val="bottom"/>
          </w:tcPr>
          <w:p w14:paraId="2C32150B"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eastAsia="Times New Roman" w:hAnsi="Arial Narrow" w:cs="Arial"/>
                <w:i/>
                <w:sz w:val="16"/>
                <w:szCs w:val="16"/>
              </w:rPr>
              <w:t>-0.00145</w:t>
            </w:r>
          </w:p>
        </w:tc>
        <w:tc>
          <w:tcPr>
            <w:tcW w:w="917" w:type="dxa"/>
            <w:shd w:val="clear" w:color="auto" w:fill="auto"/>
            <w:noWrap/>
            <w:vAlign w:val="bottom"/>
          </w:tcPr>
          <w:p w14:paraId="185E1AB2"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eastAsia="Times New Roman" w:hAnsi="Arial Narrow" w:cs="Arial"/>
                <w:i/>
                <w:sz w:val="16"/>
                <w:szCs w:val="16"/>
              </w:rPr>
              <w:t>-0.00290</w:t>
            </w:r>
          </w:p>
        </w:tc>
        <w:tc>
          <w:tcPr>
            <w:tcW w:w="1079" w:type="dxa"/>
            <w:gridSpan w:val="2"/>
            <w:shd w:val="clear" w:color="auto" w:fill="auto"/>
            <w:noWrap/>
            <w:vAlign w:val="bottom"/>
          </w:tcPr>
          <w:p w14:paraId="6D32CE04"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eastAsia="Times New Roman" w:hAnsi="Arial Narrow" w:cs="Arial"/>
                <w:i/>
                <w:sz w:val="16"/>
                <w:szCs w:val="16"/>
              </w:rPr>
              <w:t>0.00435</w:t>
            </w:r>
          </w:p>
        </w:tc>
        <w:tc>
          <w:tcPr>
            <w:tcW w:w="895" w:type="dxa"/>
            <w:vAlign w:val="center"/>
          </w:tcPr>
          <w:p w14:paraId="511667DD" w14:textId="77777777" w:rsidR="00B83B39" w:rsidRPr="008C7298" w:rsidRDefault="00B83B39" w:rsidP="00B83B39">
            <w:pPr>
              <w:adjustRightInd w:val="0"/>
              <w:snapToGrid w:val="0"/>
              <w:spacing w:after="0" w:line="240" w:lineRule="auto"/>
              <w:rPr>
                <w:rFonts w:ascii="Arial Narrow" w:hAnsi="Arial Narrow" w:cs="Arial"/>
                <w:i/>
                <w:color w:val="000000"/>
                <w:sz w:val="16"/>
                <w:szCs w:val="16"/>
              </w:rPr>
            </w:pPr>
            <w:r w:rsidRPr="008C7298">
              <w:rPr>
                <w:rFonts w:ascii="Arial Narrow" w:hAnsi="Arial Narrow" w:cs="Calibri"/>
                <w:i/>
                <w:color w:val="000000"/>
                <w:sz w:val="16"/>
                <w:szCs w:val="16"/>
              </w:rPr>
              <w:t>0.0058</w:t>
            </w:r>
          </w:p>
        </w:tc>
      </w:tr>
      <w:tr w:rsidR="00B83B39" w:rsidRPr="00D13BC1" w14:paraId="7E548ED7" w14:textId="77777777" w:rsidTr="00F17AF2">
        <w:trPr>
          <w:trHeight w:val="225"/>
        </w:trPr>
        <w:tc>
          <w:tcPr>
            <w:tcW w:w="1985" w:type="dxa"/>
            <w:tcBorders>
              <w:bottom w:val="single" w:sz="4" w:space="0" w:color="auto"/>
              <w:right w:val="single" w:sz="4" w:space="0" w:color="auto"/>
            </w:tcBorders>
            <w:shd w:val="clear" w:color="auto" w:fill="auto"/>
            <w:vAlign w:val="bottom"/>
          </w:tcPr>
          <w:p w14:paraId="5AA11B05"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 </w:t>
            </w:r>
          </w:p>
        </w:tc>
        <w:tc>
          <w:tcPr>
            <w:tcW w:w="992" w:type="dxa"/>
            <w:tcBorders>
              <w:left w:val="single" w:sz="4" w:space="0" w:color="auto"/>
              <w:bottom w:val="single" w:sz="4" w:space="0" w:color="auto"/>
            </w:tcBorders>
            <w:shd w:val="clear" w:color="auto" w:fill="auto"/>
            <w:noWrap/>
            <w:vAlign w:val="bottom"/>
          </w:tcPr>
          <w:p w14:paraId="71967EA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(0.00016)</w:t>
            </w:r>
          </w:p>
        </w:tc>
        <w:tc>
          <w:tcPr>
            <w:tcW w:w="909" w:type="dxa"/>
            <w:tcBorders>
              <w:bottom w:val="single" w:sz="4" w:space="0" w:color="auto"/>
            </w:tcBorders>
            <w:shd w:val="clear" w:color="auto" w:fill="auto"/>
            <w:noWrap/>
            <w:vAlign w:val="bottom"/>
          </w:tcPr>
          <w:p w14:paraId="3586E0AF"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(0.00017)</w:t>
            </w:r>
          </w:p>
        </w:tc>
        <w:tc>
          <w:tcPr>
            <w:tcW w:w="909" w:type="dxa"/>
            <w:tcBorders>
              <w:bottom w:val="single" w:sz="4" w:space="0" w:color="auto"/>
            </w:tcBorders>
            <w:shd w:val="clear" w:color="auto" w:fill="auto"/>
            <w:noWrap/>
            <w:vAlign w:val="bottom"/>
          </w:tcPr>
          <w:p w14:paraId="12665CA3" w14:textId="77777777" w:rsidR="00B83B39" w:rsidRPr="008C7298" w:rsidRDefault="00B83B39" w:rsidP="00B83B39">
            <w:pPr>
              <w:adjustRightInd w:val="0"/>
              <w:snapToGrid w:val="0"/>
              <w:spacing w:after="0" w:line="240" w:lineRule="auto"/>
              <w:rPr>
                <w:rFonts w:ascii="Arial Narrow" w:eastAsia="Times New Roman" w:hAnsi="Arial Narrow" w:cs="Arial"/>
                <w:i/>
                <w:sz w:val="16"/>
                <w:szCs w:val="16"/>
              </w:rPr>
            </w:pPr>
            <w:r w:rsidRPr="008C7298">
              <w:rPr>
                <w:rFonts w:ascii="Arial Narrow" w:eastAsia="Times New Roman" w:hAnsi="Arial Narrow" w:cs="Arial"/>
                <w:i/>
                <w:sz w:val="16"/>
                <w:szCs w:val="16"/>
              </w:rPr>
              <w:t>(0.00032)</w:t>
            </w:r>
          </w:p>
        </w:tc>
        <w:tc>
          <w:tcPr>
            <w:tcW w:w="895" w:type="dxa"/>
            <w:tcBorders>
              <w:bottom w:val="single" w:sz="4" w:space="0" w:color="auto"/>
              <w:right w:val="single" w:sz="4" w:space="0" w:color="auto"/>
            </w:tcBorders>
            <w:vAlign w:val="center"/>
          </w:tcPr>
          <w:p w14:paraId="7BFCA27E" w14:textId="77777777" w:rsidR="00B83B39" w:rsidRPr="008C7298" w:rsidRDefault="00B83B39" w:rsidP="00B83B39">
            <w:pPr>
              <w:adjustRightInd w:val="0"/>
              <w:snapToGrid w:val="0"/>
              <w:spacing w:after="0" w:line="240" w:lineRule="auto"/>
              <w:rPr>
                <w:rFonts w:ascii="Arial Narrow" w:hAnsi="Arial Narrow" w:cs="Arial"/>
                <w:i/>
                <w:color w:val="000000"/>
                <w:sz w:val="16"/>
                <w:szCs w:val="16"/>
              </w:rPr>
            </w:pPr>
          </w:p>
        </w:tc>
        <w:tc>
          <w:tcPr>
            <w:tcW w:w="992" w:type="dxa"/>
            <w:tcBorders>
              <w:left w:val="single" w:sz="4" w:space="0" w:color="auto"/>
              <w:bottom w:val="single" w:sz="4" w:space="0" w:color="auto"/>
            </w:tcBorders>
            <w:shd w:val="clear" w:color="auto" w:fill="auto"/>
            <w:noWrap/>
            <w:vAlign w:val="center"/>
          </w:tcPr>
          <w:p w14:paraId="25F2AE57"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eastAsia="Times New Roman" w:hAnsi="Arial Narrow" w:cs="Arial"/>
                <w:i/>
                <w:sz w:val="16"/>
                <w:szCs w:val="16"/>
              </w:rPr>
              <w:t>(0.00011)</w:t>
            </w:r>
          </w:p>
        </w:tc>
        <w:tc>
          <w:tcPr>
            <w:tcW w:w="917" w:type="dxa"/>
            <w:tcBorders>
              <w:bottom w:val="single" w:sz="4" w:space="0" w:color="auto"/>
            </w:tcBorders>
            <w:shd w:val="clear" w:color="auto" w:fill="auto"/>
            <w:noWrap/>
            <w:vAlign w:val="center"/>
          </w:tcPr>
          <w:p w14:paraId="6A170F1A"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eastAsia="Times New Roman" w:hAnsi="Arial Narrow" w:cs="Arial"/>
                <w:i/>
                <w:sz w:val="16"/>
                <w:szCs w:val="16"/>
              </w:rPr>
              <w:t>(0.00021)</w:t>
            </w:r>
          </w:p>
        </w:tc>
        <w:tc>
          <w:tcPr>
            <w:tcW w:w="1079" w:type="dxa"/>
            <w:gridSpan w:val="2"/>
            <w:tcBorders>
              <w:bottom w:val="single" w:sz="4" w:space="0" w:color="auto"/>
            </w:tcBorders>
            <w:shd w:val="clear" w:color="auto" w:fill="auto"/>
            <w:noWrap/>
            <w:vAlign w:val="center"/>
          </w:tcPr>
          <w:p w14:paraId="11AB4DF0" w14:textId="77777777" w:rsidR="00B83B39" w:rsidRPr="008C7298" w:rsidRDefault="00B83B39" w:rsidP="00B83B39">
            <w:pPr>
              <w:adjustRightInd w:val="0"/>
              <w:snapToGrid w:val="0"/>
              <w:spacing w:after="0" w:line="240" w:lineRule="auto"/>
              <w:rPr>
                <w:rFonts w:ascii="Arial Narrow" w:hAnsi="Arial Narrow" w:cs="Arial"/>
                <w:i/>
                <w:sz w:val="16"/>
                <w:szCs w:val="16"/>
              </w:rPr>
            </w:pPr>
            <w:r w:rsidRPr="008C7298">
              <w:rPr>
                <w:rFonts w:ascii="Arial Narrow" w:eastAsia="Times New Roman" w:hAnsi="Arial Narrow" w:cs="Arial"/>
                <w:i/>
                <w:sz w:val="16"/>
                <w:szCs w:val="16"/>
              </w:rPr>
              <w:t>(0.00032)</w:t>
            </w:r>
          </w:p>
        </w:tc>
        <w:tc>
          <w:tcPr>
            <w:tcW w:w="895" w:type="dxa"/>
            <w:tcBorders>
              <w:bottom w:val="single" w:sz="4" w:space="0" w:color="auto"/>
            </w:tcBorders>
            <w:vAlign w:val="center"/>
          </w:tcPr>
          <w:p w14:paraId="73D99C78" w14:textId="77777777" w:rsidR="00B83B39" w:rsidRPr="008C7298" w:rsidRDefault="00B83B39" w:rsidP="00B83B39">
            <w:pPr>
              <w:adjustRightInd w:val="0"/>
              <w:snapToGrid w:val="0"/>
              <w:spacing w:after="0" w:line="240" w:lineRule="auto"/>
              <w:rPr>
                <w:rFonts w:ascii="Arial Narrow" w:hAnsi="Arial Narrow" w:cs="Arial"/>
                <w:i/>
                <w:color w:val="000000"/>
                <w:sz w:val="16"/>
                <w:szCs w:val="16"/>
              </w:rPr>
            </w:pPr>
          </w:p>
        </w:tc>
      </w:tr>
    </w:tbl>
    <w:p w14:paraId="0CF8DA00" w14:textId="77777777" w:rsidR="003A174B" w:rsidRDefault="003A174B" w:rsidP="003A174B">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Notes: 1. </w:t>
      </w:r>
      <w:r w:rsidRPr="009219BF">
        <w:rPr>
          <w:rFonts w:ascii="Arial" w:hAnsi="Arial" w:cs="Arial"/>
          <w:sz w:val="16"/>
          <w:szCs w:val="16"/>
        </w:rPr>
        <w:t>Standard errors in parentheses</w:t>
      </w:r>
      <w:r>
        <w:rPr>
          <w:rFonts w:ascii="Arial" w:hAnsi="Arial" w:cs="Arial"/>
          <w:sz w:val="16"/>
          <w:szCs w:val="16"/>
        </w:rPr>
        <w:t xml:space="preserve">. </w:t>
      </w:r>
      <w:proofErr w:type="gramStart"/>
      <w:r w:rsidRPr="009219BF">
        <w:rPr>
          <w:rFonts w:ascii="Arial" w:hAnsi="Arial" w:cs="Arial"/>
          <w:sz w:val="16"/>
          <w:szCs w:val="16"/>
        </w:rPr>
        <w:t>*** p&lt;0.01, ** p&lt;0.05, * p&lt;0.1</w:t>
      </w:r>
      <w:r>
        <w:rPr>
          <w:rFonts w:ascii="Arial" w:hAnsi="Arial" w:cs="Arial"/>
          <w:sz w:val="16"/>
          <w:szCs w:val="16"/>
        </w:rPr>
        <w:t>.</w:t>
      </w:r>
      <w:proofErr w:type="gramEnd"/>
      <w:r>
        <w:rPr>
          <w:rFonts w:ascii="Arial" w:hAnsi="Arial" w:cs="Arial"/>
          <w:sz w:val="16"/>
          <w:szCs w:val="16"/>
        </w:rPr>
        <w:t xml:space="preserve"> 2.;    </w:t>
      </w:r>
    </w:p>
    <w:p w14:paraId="41CFEA45" w14:textId="77777777" w:rsidR="003A174B" w:rsidRDefault="003A174B" w:rsidP="003A174B">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2. The results where the coefficient estimates are statistically significant for ∆SWB and ∆OWB with an opposite </w:t>
      </w:r>
      <w:proofErr w:type="gramStart"/>
      <w:r>
        <w:rPr>
          <w:rFonts w:ascii="Arial" w:hAnsi="Arial" w:cs="Arial"/>
          <w:sz w:val="16"/>
          <w:szCs w:val="16"/>
        </w:rPr>
        <w:t>sign,</w:t>
      </w:r>
      <w:proofErr w:type="gramEnd"/>
      <w:r>
        <w:rPr>
          <w:rFonts w:ascii="Arial" w:hAnsi="Arial" w:cs="Arial"/>
          <w:sz w:val="16"/>
          <w:szCs w:val="16"/>
        </w:rPr>
        <w:t xml:space="preserve"> or only significant for ∆SWB are highlighted in bold. Significance judged by a subset of three marginal effects at 10% level;  </w:t>
      </w:r>
    </w:p>
    <w:p w14:paraId="605B42B7" w14:textId="77777777" w:rsidR="003A174B" w:rsidRPr="009219BF" w:rsidRDefault="003A174B" w:rsidP="003A174B">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3. The results where the coefficient estimates are statistically significant for ∆SWB and ∆OWB with a same sign are highlighted in Italics. Significance judged by a subset of three marginal effects at 10% level;  </w:t>
      </w:r>
    </w:p>
    <w:p w14:paraId="281B44AB" w14:textId="77777777" w:rsidR="003A174B" w:rsidRDefault="003A174B" w:rsidP="003A174B">
      <w:pPr>
        <w:adjustRightInd w:val="0"/>
        <w:snapToGrid w:val="0"/>
        <w:spacing w:after="0" w:line="240" w:lineRule="auto"/>
        <w:jc w:val="both"/>
        <w:rPr>
          <w:rFonts w:ascii="Arial" w:hAnsi="Arial" w:cs="Arial"/>
          <w:sz w:val="16"/>
          <w:szCs w:val="16"/>
        </w:rPr>
      </w:pPr>
      <w:r>
        <w:rPr>
          <w:rFonts w:ascii="Arial" w:hAnsi="Arial" w:cs="Arial"/>
          <w:sz w:val="16"/>
          <w:szCs w:val="16"/>
        </w:rPr>
        <w:t>4. Average ME (marginal effects) show the additional probability that a household shifts to the category (0</w:t>
      </w:r>
      <w:proofErr w:type="gramStart"/>
      <w:r>
        <w:rPr>
          <w:rFonts w:ascii="Arial" w:hAnsi="Arial" w:cs="Arial"/>
          <w:sz w:val="16"/>
          <w:szCs w:val="16"/>
        </w:rPr>
        <w:t>,1,2</w:t>
      </w:r>
      <w:proofErr w:type="gramEnd"/>
      <w:r>
        <w:rPr>
          <w:rFonts w:ascii="Arial" w:hAnsi="Arial" w:cs="Arial"/>
          <w:sz w:val="16"/>
          <w:szCs w:val="16"/>
        </w:rPr>
        <w:t xml:space="preserve">) one above and this is equivalent to the OLS estimate in Table 2. This is equal to ‘0*ME for “0” + 1*ME for “1” + 2*ME for “2”’.   </w:t>
      </w:r>
    </w:p>
    <w:p w14:paraId="392613F6" w14:textId="77777777" w:rsidR="003A174B" w:rsidRPr="003A174B" w:rsidRDefault="003A174B" w:rsidP="003A174B">
      <w:pPr>
        <w:widowControl w:val="0"/>
        <w:tabs>
          <w:tab w:val="left" w:pos="4680"/>
        </w:tabs>
        <w:autoSpaceDE w:val="0"/>
        <w:autoSpaceDN w:val="0"/>
        <w:adjustRightInd w:val="0"/>
        <w:spacing w:after="0" w:line="240" w:lineRule="auto"/>
        <w:jc w:val="center"/>
        <w:rPr>
          <w:rFonts w:ascii="Arial Narrow" w:eastAsia="Times New Roman" w:hAnsi="Arial Narrow" w:cs="Times New Roman"/>
          <w:color w:val="000000"/>
        </w:rPr>
      </w:pPr>
    </w:p>
    <w:p w14:paraId="04D894EB" w14:textId="77777777" w:rsidR="003A174B" w:rsidRPr="00471862" w:rsidRDefault="003A174B" w:rsidP="003A174B">
      <w:pPr>
        <w:widowControl w:val="0"/>
        <w:tabs>
          <w:tab w:val="left" w:pos="4680"/>
        </w:tabs>
        <w:autoSpaceDE w:val="0"/>
        <w:autoSpaceDN w:val="0"/>
        <w:adjustRightInd w:val="0"/>
        <w:spacing w:after="0" w:line="240" w:lineRule="auto"/>
        <w:jc w:val="center"/>
        <w:rPr>
          <w:rFonts w:ascii="Arial" w:hAnsi="Arial" w:cs="Arial"/>
          <w:sz w:val="16"/>
          <w:szCs w:val="16"/>
        </w:rPr>
      </w:pPr>
    </w:p>
    <w:sectPr w:rsidR="003A174B" w:rsidRPr="00471862" w:rsidSect="005224DA">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3EE0D9D" w15:done="0"/>
  <w15:commentEx w15:paraId="5E8CFD06" w15:done="0"/>
  <w15:commentEx w15:paraId="61D3C9D6" w15:done="0"/>
  <w15:commentEx w15:paraId="14F2FDD9" w15:done="0"/>
  <w15:commentEx w15:paraId="49011EE9" w15:done="0"/>
  <w15:commentEx w15:paraId="4B0BA98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4F09A9" w14:textId="77777777" w:rsidR="004938E9" w:rsidRDefault="004938E9" w:rsidP="001326B5">
      <w:pPr>
        <w:spacing w:after="0" w:line="240" w:lineRule="auto"/>
      </w:pPr>
      <w:r>
        <w:separator/>
      </w:r>
    </w:p>
  </w:endnote>
  <w:endnote w:type="continuationSeparator" w:id="0">
    <w:p w14:paraId="45361D6C" w14:textId="77777777" w:rsidR="004938E9" w:rsidRDefault="004938E9" w:rsidP="001326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0848403"/>
      <w:docPartObj>
        <w:docPartGallery w:val="Page Numbers (Bottom of Page)"/>
        <w:docPartUnique/>
      </w:docPartObj>
    </w:sdtPr>
    <w:sdtEndPr>
      <w:rPr>
        <w:noProof/>
      </w:rPr>
    </w:sdtEndPr>
    <w:sdtContent>
      <w:p w14:paraId="3BD6D85B" w14:textId="6B850F6B" w:rsidR="009C0C62" w:rsidRDefault="009C0C62">
        <w:pPr>
          <w:pStyle w:val="Footer"/>
          <w:jc w:val="center"/>
        </w:pPr>
        <w:r>
          <w:fldChar w:fldCharType="begin"/>
        </w:r>
        <w:r>
          <w:instrText xml:space="preserve"> PAGE   \* MERGEFORMAT </w:instrText>
        </w:r>
        <w:r>
          <w:fldChar w:fldCharType="separate"/>
        </w:r>
        <w:r w:rsidR="006E4281">
          <w:rPr>
            <w:noProof/>
          </w:rPr>
          <w:t>42</w:t>
        </w:r>
        <w:r>
          <w:rPr>
            <w:noProof/>
          </w:rPr>
          <w:fldChar w:fldCharType="end"/>
        </w:r>
      </w:p>
    </w:sdtContent>
  </w:sdt>
  <w:p w14:paraId="3C36E430" w14:textId="77777777" w:rsidR="009C0C62" w:rsidRDefault="009C0C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D8032D" w14:textId="77777777" w:rsidR="004938E9" w:rsidRDefault="004938E9" w:rsidP="001326B5">
      <w:pPr>
        <w:spacing w:after="0" w:line="240" w:lineRule="auto"/>
      </w:pPr>
      <w:r>
        <w:separator/>
      </w:r>
    </w:p>
  </w:footnote>
  <w:footnote w:type="continuationSeparator" w:id="0">
    <w:p w14:paraId="411FC1BC" w14:textId="77777777" w:rsidR="004938E9" w:rsidRDefault="004938E9" w:rsidP="001326B5">
      <w:pPr>
        <w:spacing w:after="0" w:line="240" w:lineRule="auto"/>
      </w:pPr>
      <w:r>
        <w:continuationSeparator/>
      </w:r>
    </w:p>
  </w:footnote>
  <w:footnote w:id="1">
    <w:p w14:paraId="34ABD6E0" w14:textId="66651105" w:rsidR="009C0C62" w:rsidRPr="00D031C4" w:rsidRDefault="009C0C62" w:rsidP="00AC52B0">
      <w:pPr>
        <w:pStyle w:val="FootnoteText"/>
        <w:jc w:val="both"/>
        <w:rPr>
          <w:rFonts w:ascii="Times New Roman" w:hAnsi="Times New Roman" w:cs="Times New Roman"/>
          <w:sz w:val="21"/>
          <w:szCs w:val="21"/>
        </w:rPr>
      </w:pPr>
      <w:r w:rsidRPr="00D031C4">
        <w:rPr>
          <w:rStyle w:val="FootnoteReference"/>
          <w:sz w:val="21"/>
          <w:szCs w:val="21"/>
        </w:rPr>
        <w:footnoteRef/>
      </w:r>
      <w:r w:rsidRPr="00D031C4">
        <w:rPr>
          <w:rFonts w:ascii="Times New Roman" w:hAnsi="Times New Roman" w:cs="Times New Roman"/>
          <w:sz w:val="21"/>
          <w:szCs w:val="21"/>
        </w:rPr>
        <w:t xml:space="preserve">We are indebted to Raj Bhatia for his invaluable contribution to the econometric analysis, and to A. J. Oswald, </w:t>
      </w:r>
      <w:r w:rsidR="003478F0">
        <w:rPr>
          <w:rFonts w:ascii="Times New Roman" w:hAnsi="Times New Roman" w:cs="Times New Roman"/>
          <w:sz w:val="21"/>
          <w:szCs w:val="21"/>
        </w:rPr>
        <w:t xml:space="preserve">Anil S. </w:t>
      </w:r>
      <w:proofErr w:type="spellStart"/>
      <w:r w:rsidR="003478F0">
        <w:rPr>
          <w:rFonts w:ascii="Times New Roman" w:hAnsi="Times New Roman" w:cs="Times New Roman"/>
          <w:sz w:val="21"/>
          <w:szCs w:val="21"/>
        </w:rPr>
        <w:t>Deolalikar</w:t>
      </w:r>
      <w:proofErr w:type="spellEnd"/>
      <w:r w:rsidR="003478F0">
        <w:rPr>
          <w:rFonts w:ascii="Times New Roman" w:hAnsi="Times New Roman" w:cs="Times New Roman"/>
          <w:sz w:val="21"/>
          <w:szCs w:val="21"/>
        </w:rPr>
        <w:t xml:space="preserve">, </w:t>
      </w:r>
      <w:r w:rsidRPr="00D031C4">
        <w:rPr>
          <w:rFonts w:ascii="Times New Roman" w:hAnsi="Times New Roman" w:cs="Times New Roman"/>
          <w:sz w:val="21"/>
          <w:szCs w:val="21"/>
        </w:rPr>
        <w:t xml:space="preserve">S. Shankar, A. S. </w:t>
      </w:r>
      <w:proofErr w:type="spellStart"/>
      <w:r w:rsidRPr="00D031C4">
        <w:rPr>
          <w:rFonts w:ascii="Times New Roman" w:hAnsi="Times New Roman" w:cs="Times New Roman"/>
          <w:sz w:val="21"/>
          <w:szCs w:val="21"/>
        </w:rPr>
        <w:t>Venkatraman</w:t>
      </w:r>
      <w:proofErr w:type="spellEnd"/>
      <w:r>
        <w:rPr>
          <w:rFonts w:ascii="Times New Roman" w:hAnsi="Times New Roman" w:cs="Times New Roman"/>
          <w:sz w:val="21"/>
          <w:szCs w:val="21"/>
        </w:rPr>
        <w:t>,</w:t>
      </w:r>
      <w:r w:rsidRPr="00D031C4">
        <w:rPr>
          <w:rFonts w:ascii="Times New Roman" w:hAnsi="Times New Roman" w:cs="Times New Roman"/>
          <w:sz w:val="21"/>
          <w:szCs w:val="21"/>
        </w:rPr>
        <w:t xml:space="preserve"> N. </w:t>
      </w:r>
      <w:proofErr w:type="spellStart"/>
      <w:r w:rsidRPr="00D031C4">
        <w:rPr>
          <w:rFonts w:ascii="Times New Roman" w:hAnsi="Times New Roman" w:cs="Times New Roman"/>
          <w:sz w:val="21"/>
          <w:szCs w:val="21"/>
        </w:rPr>
        <w:t>Chandramohan</w:t>
      </w:r>
      <w:proofErr w:type="spellEnd"/>
      <w:r w:rsidRPr="00D031C4">
        <w:rPr>
          <w:rFonts w:ascii="Times New Roman" w:hAnsi="Times New Roman" w:cs="Times New Roman"/>
          <w:sz w:val="21"/>
          <w:szCs w:val="21"/>
        </w:rPr>
        <w:t xml:space="preserve"> and Radhika Aggarwal for constructive suggestions. Above all, we are grateful to Jere Behrman for his guidance and valuable suggestions. We appreciate valuable advice on the interpretations of IHDS by </w:t>
      </w:r>
      <w:proofErr w:type="spellStart"/>
      <w:r w:rsidRPr="00D031C4">
        <w:rPr>
          <w:rFonts w:ascii="Times New Roman" w:hAnsi="Times New Roman" w:cs="Times New Roman"/>
          <w:sz w:val="21"/>
          <w:szCs w:val="21"/>
        </w:rPr>
        <w:t>Sonalde</w:t>
      </w:r>
      <w:proofErr w:type="spellEnd"/>
      <w:r w:rsidRPr="00D031C4">
        <w:rPr>
          <w:rFonts w:ascii="Times New Roman" w:hAnsi="Times New Roman" w:cs="Times New Roman"/>
          <w:sz w:val="21"/>
          <w:szCs w:val="21"/>
        </w:rPr>
        <w:t xml:space="preserve"> Desai who led IHDS. The views are personal and not necessarily of the institutions to which we are affiliated.</w:t>
      </w:r>
    </w:p>
  </w:footnote>
  <w:footnote w:id="2">
    <w:p w14:paraId="3F5F2D30" w14:textId="77777777" w:rsidR="009C0C62" w:rsidRPr="00D031C4" w:rsidRDefault="009C0C62">
      <w:pPr>
        <w:pStyle w:val="FootnoteText"/>
        <w:rPr>
          <w:rFonts w:ascii="Times New Roman" w:hAnsi="Times New Roman" w:cs="Times New Roman"/>
          <w:sz w:val="21"/>
          <w:szCs w:val="21"/>
        </w:rPr>
      </w:pPr>
      <w:r w:rsidRPr="00D031C4">
        <w:rPr>
          <w:rStyle w:val="FootnoteReference"/>
          <w:rFonts w:ascii="Times New Roman" w:hAnsi="Times New Roman" w:cs="Times New Roman"/>
          <w:sz w:val="21"/>
          <w:szCs w:val="21"/>
        </w:rPr>
        <w:footnoteRef/>
      </w:r>
      <w:r w:rsidRPr="00D031C4">
        <w:rPr>
          <w:rFonts w:ascii="Times New Roman" w:hAnsi="Times New Roman" w:cs="Times New Roman"/>
          <w:sz w:val="21"/>
          <w:szCs w:val="21"/>
        </w:rPr>
        <w:t xml:space="preserve"> Corresponding Author: </w:t>
      </w:r>
      <w:proofErr w:type="spellStart"/>
      <w:r w:rsidRPr="00D031C4">
        <w:rPr>
          <w:rFonts w:ascii="Times New Roman" w:hAnsi="Times New Roman" w:cs="Times New Roman"/>
          <w:sz w:val="21"/>
          <w:szCs w:val="21"/>
        </w:rPr>
        <w:t>Raghav</w:t>
      </w:r>
      <w:proofErr w:type="spellEnd"/>
      <w:r w:rsidRPr="00D031C4">
        <w:rPr>
          <w:rFonts w:ascii="Times New Roman" w:hAnsi="Times New Roman" w:cs="Times New Roman"/>
          <w:sz w:val="21"/>
          <w:szCs w:val="21"/>
        </w:rPr>
        <w:t xml:space="preserve"> </w:t>
      </w:r>
      <w:proofErr w:type="spellStart"/>
      <w:r w:rsidRPr="00D031C4">
        <w:rPr>
          <w:rFonts w:ascii="Times New Roman" w:hAnsi="Times New Roman" w:cs="Times New Roman"/>
          <w:sz w:val="21"/>
          <w:szCs w:val="21"/>
        </w:rPr>
        <w:t>Gaiha</w:t>
      </w:r>
      <w:proofErr w:type="spellEnd"/>
      <w:r w:rsidRPr="00D031C4">
        <w:rPr>
          <w:rFonts w:ascii="Times New Roman" w:hAnsi="Times New Roman" w:cs="Times New Roman"/>
          <w:sz w:val="21"/>
          <w:szCs w:val="21"/>
        </w:rPr>
        <w:t xml:space="preserve">, Email: </w:t>
      </w:r>
      <w:hyperlink r:id="rId1" w:history="1">
        <w:r w:rsidRPr="00D031C4">
          <w:rPr>
            <w:rStyle w:val="Hyperlink"/>
            <w:rFonts w:ascii="Times New Roman" w:hAnsi="Times New Roman" w:cs="Times New Roman"/>
            <w:sz w:val="21"/>
            <w:szCs w:val="21"/>
          </w:rPr>
          <w:t>raghavdasgaiha@gmail.com</w:t>
        </w:r>
      </w:hyperlink>
    </w:p>
    <w:p w14:paraId="41554DCC" w14:textId="77777777" w:rsidR="009C0C62" w:rsidRPr="00D031C4" w:rsidRDefault="009C0C62">
      <w:pPr>
        <w:pStyle w:val="FootnoteText"/>
        <w:rPr>
          <w:rFonts w:ascii="Times New Roman" w:hAnsi="Times New Roman" w:cs="Times New Roman"/>
          <w:sz w:val="21"/>
          <w:szCs w:val="21"/>
          <w:lang w:val="en-GB"/>
        </w:rPr>
      </w:pPr>
    </w:p>
  </w:footnote>
  <w:footnote w:id="3">
    <w:p w14:paraId="00967044" w14:textId="77777777" w:rsidR="009C0C62" w:rsidRPr="00D031C4" w:rsidRDefault="009C0C62" w:rsidP="00842EFE">
      <w:pPr>
        <w:pStyle w:val="FootnoteText"/>
        <w:jc w:val="both"/>
        <w:rPr>
          <w:rFonts w:ascii="Times New Roman" w:hAnsi="Times New Roman" w:cs="Times New Roman"/>
          <w:sz w:val="21"/>
          <w:szCs w:val="21"/>
        </w:rPr>
      </w:pPr>
      <w:r w:rsidRPr="00D031C4">
        <w:rPr>
          <w:rStyle w:val="FootnoteReference"/>
          <w:sz w:val="21"/>
          <w:szCs w:val="21"/>
        </w:rPr>
        <w:footnoteRef/>
      </w:r>
      <w:r w:rsidRPr="00D031C4">
        <w:rPr>
          <w:rFonts w:ascii="Times New Roman" w:hAnsi="Times New Roman" w:cs="Times New Roman"/>
          <w:sz w:val="21"/>
          <w:szCs w:val="21"/>
        </w:rPr>
        <w:t xml:space="preserve">In another important contribution, </w:t>
      </w:r>
      <w:proofErr w:type="spellStart"/>
      <w:r w:rsidRPr="00D031C4">
        <w:rPr>
          <w:rFonts w:ascii="Times New Roman" w:hAnsi="Times New Roman" w:cs="Times New Roman"/>
          <w:sz w:val="21"/>
          <w:szCs w:val="21"/>
        </w:rPr>
        <w:t>Ravallion</w:t>
      </w:r>
      <w:proofErr w:type="spellEnd"/>
      <w:r w:rsidRPr="00D031C4">
        <w:rPr>
          <w:rFonts w:ascii="Times New Roman" w:hAnsi="Times New Roman" w:cs="Times New Roman"/>
          <w:sz w:val="21"/>
          <w:szCs w:val="21"/>
        </w:rPr>
        <w:t xml:space="preserve"> (2014) </w:t>
      </w:r>
      <w:r w:rsidRPr="00D031C4">
        <w:rPr>
          <w:rFonts w:ascii="Times New Roman" w:hAnsi="Times New Roman" w:cs="Times New Roman"/>
          <w:sz w:val="21"/>
          <w:szCs w:val="21"/>
          <w:lang w:val="en-US"/>
        </w:rPr>
        <w:t xml:space="preserve">conjectures that </w:t>
      </w:r>
      <w:r w:rsidRPr="00D031C4">
        <w:rPr>
          <w:rFonts w:ascii="Times New Roman" w:hAnsi="Times New Roman" w:cs="Times New Roman"/>
          <w:bCs/>
          <w:sz w:val="21"/>
          <w:szCs w:val="21"/>
        </w:rPr>
        <w:t>different people are likely to have different ideas about what it means to be “rich” or “poor,” or “satisfied” or not with one’s life, leading them to interpret survey questions on subjective welfare differently.</w:t>
      </w:r>
    </w:p>
  </w:footnote>
  <w:footnote w:id="4">
    <w:p w14:paraId="265D9C6C" w14:textId="77777777" w:rsidR="009C0C62" w:rsidRPr="00D031C4" w:rsidRDefault="009C0C62" w:rsidP="00DE5AA4">
      <w:pPr>
        <w:pStyle w:val="FootnoteText"/>
        <w:rPr>
          <w:rFonts w:ascii="Times New Roman" w:hAnsi="Times New Roman" w:cs="Times New Roman"/>
          <w:sz w:val="21"/>
          <w:szCs w:val="21"/>
        </w:rPr>
      </w:pPr>
      <w:r w:rsidRPr="00D031C4">
        <w:rPr>
          <w:rStyle w:val="FootnoteReference"/>
          <w:rFonts w:ascii="Times New Roman" w:hAnsi="Times New Roman" w:cs="Times New Roman"/>
          <w:sz w:val="21"/>
          <w:szCs w:val="21"/>
        </w:rPr>
        <w:footnoteRef/>
      </w:r>
      <w:hyperlink r:id="rId2" w:history="1">
        <w:proofErr w:type="gramStart"/>
        <w:r w:rsidRPr="00D031C4">
          <w:rPr>
            <w:rStyle w:val="Hyperlink"/>
            <w:rFonts w:ascii="Times New Roman" w:hAnsi="Times New Roman" w:cs="Times New Roman"/>
            <w:sz w:val="21"/>
            <w:szCs w:val="21"/>
          </w:rPr>
          <w:t>https://ihds.umd.edu/data</w:t>
        </w:r>
      </w:hyperlink>
      <w:r w:rsidRPr="00D031C4">
        <w:rPr>
          <w:rFonts w:ascii="Times New Roman" w:hAnsi="Times New Roman" w:cs="Times New Roman"/>
          <w:sz w:val="21"/>
          <w:szCs w:val="21"/>
        </w:rPr>
        <w:t xml:space="preserve"> (accessed on 22 February 2021).</w:t>
      </w:r>
      <w:proofErr w:type="gramEnd"/>
    </w:p>
  </w:footnote>
  <w:footnote w:id="5">
    <w:p w14:paraId="2274DE45" w14:textId="4BD01CBC" w:rsidR="00766456" w:rsidRPr="00C6194F" w:rsidRDefault="00766456" w:rsidP="00C6194F">
      <w:pPr>
        <w:pStyle w:val="FootnoteText"/>
        <w:jc w:val="both"/>
        <w:rPr>
          <w:rFonts w:ascii="Times New Roman" w:hAnsi="Times New Roman" w:cs="Times New Roman"/>
        </w:rPr>
      </w:pPr>
      <w:r>
        <w:rPr>
          <w:rStyle w:val="FootnoteReference"/>
        </w:rPr>
        <w:footnoteRef/>
      </w:r>
      <w:r>
        <w:t xml:space="preserve"> </w:t>
      </w:r>
      <w:r w:rsidRPr="00C6194F">
        <w:rPr>
          <w:rFonts w:ascii="Times New Roman" w:hAnsi="Times New Roman" w:cs="Times New Roman"/>
        </w:rPr>
        <w:t xml:space="preserve">Although this does not overcome the endogeneity of some of the explanatory variables, it allows us to </w:t>
      </w:r>
      <w:r w:rsidR="00FD4ACB">
        <w:rPr>
          <w:rFonts w:ascii="Times New Roman" w:hAnsi="Times New Roman" w:cs="Times New Roman"/>
        </w:rPr>
        <w:t>rule out reverse causality</w:t>
      </w:r>
      <w:proofErr w:type="gramStart"/>
      <w:r w:rsidR="00FD4ACB">
        <w:rPr>
          <w:rFonts w:ascii="Times New Roman" w:hAnsi="Times New Roman" w:cs="Times New Roman"/>
        </w:rPr>
        <w:t>.</w:t>
      </w:r>
      <w:r w:rsidRPr="00C6194F">
        <w:rPr>
          <w:rFonts w:ascii="Times New Roman" w:hAnsi="Times New Roman" w:cs="Times New Roman"/>
        </w:rPr>
        <w:t>.</w:t>
      </w:r>
      <w:proofErr w:type="gramEnd"/>
    </w:p>
  </w:footnote>
  <w:footnote w:id="6">
    <w:p w14:paraId="7046AC28" w14:textId="77777777" w:rsidR="009C0C62" w:rsidRPr="00D031C4" w:rsidRDefault="009C0C62" w:rsidP="00FD4ACB">
      <w:pPr>
        <w:pStyle w:val="FootnoteText"/>
        <w:jc w:val="both"/>
        <w:rPr>
          <w:rFonts w:ascii="Times New Roman" w:hAnsi="Times New Roman" w:cs="Times New Roman"/>
          <w:sz w:val="21"/>
          <w:szCs w:val="21"/>
        </w:rPr>
      </w:pPr>
      <w:r w:rsidRPr="00D031C4">
        <w:rPr>
          <w:rStyle w:val="FootnoteReference"/>
          <w:rFonts w:ascii="Times New Roman" w:hAnsi="Times New Roman" w:cs="Times New Roman"/>
          <w:sz w:val="21"/>
          <w:szCs w:val="21"/>
        </w:rPr>
        <w:footnoteRef/>
      </w:r>
      <w:r w:rsidRPr="00D031C4">
        <w:rPr>
          <w:rFonts w:ascii="Times New Roman" w:hAnsi="Times New Roman" w:cs="Times New Roman"/>
          <w:sz w:val="21"/>
          <w:szCs w:val="21"/>
        </w:rPr>
        <w:t xml:space="preserve"> A notable exception is Oswald and Wu (2010) who found a close correlation between SWB and OWB measures at the state level in the U.S.A. </w:t>
      </w:r>
    </w:p>
  </w:footnote>
  <w:footnote w:id="7">
    <w:p w14:paraId="62476677" w14:textId="77777777" w:rsidR="009C0C62" w:rsidRPr="00D031C4" w:rsidRDefault="009C0C62" w:rsidP="00B6017B">
      <w:pPr>
        <w:pStyle w:val="FootnoteText"/>
        <w:jc w:val="both"/>
        <w:rPr>
          <w:rFonts w:ascii="Times New Roman" w:hAnsi="Times New Roman" w:cs="Times New Roman"/>
          <w:sz w:val="21"/>
          <w:szCs w:val="21"/>
        </w:rPr>
      </w:pPr>
      <w:r w:rsidRPr="00D031C4">
        <w:rPr>
          <w:rStyle w:val="FootnoteReference"/>
          <w:sz w:val="21"/>
          <w:szCs w:val="21"/>
        </w:rPr>
        <w:footnoteRef/>
      </w:r>
      <w:r w:rsidRPr="00D031C4">
        <w:rPr>
          <w:rFonts w:ascii="Times New Roman" w:hAnsi="Times New Roman" w:cs="Times New Roman"/>
          <w:bCs/>
          <w:sz w:val="21"/>
          <w:szCs w:val="21"/>
        </w:rPr>
        <w:t xml:space="preserve">Much of the credit is due to </w:t>
      </w:r>
      <w:proofErr w:type="spellStart"/>
      <w:r w:rsidRPr="00D031C4">
        <w:rPr>
          <w:rFonts w:ascii="Times New Roman" w:hAnsi="Times New Roman" w:cs="Times New Roman"/>
          <w:bCs/>
          <w:sz w:val="21"/>
          <w:szCs w:val="21"/>
        </w:rPr>
        <w:t>Duesenberry</w:t>
      </w:r>
      <w:proofErr w:type="spellEnd"/>
      <w:r w:rsidRPr="00D031C4">
        <w:rPr>
          <w:rFonts w:ascii="Times New Roman" w:hAnsi="Times New Roman" w:cs="Times New Roman"/>
          <w:bCs/>
          <w:sz w:val="21"/>
          <w:szCs w:val="21"/>
        </w:rPr>
        <w:t xml:space="preserve"> (1949) who argued that relative income rather than the level of income affects well-being – earning more or less than others looms larger than how much one earns.</w:t>
      </w:r>
    </w:p>
  </w:footnote>
  <w:footnote w:id="8">
    <w:p w14:paraId="6832C310" w14:textId="77777777" w:rsidR="009C0C62" w:rsidRPr="00D031C4" w:rsidRDefault="009C0C62" w:rsidP="0094609D">
      <w:pPr>
        <w:pStyle w:val="FootnoteText"/>
        <w:jc w:val="both"/>
        <w:rPr>
          <w:bCs/>
          <w:sz w:val="21"/>
          <w:szCs w:val="21"/>
        </w:rPr>
      </w:pPr>
      <w:r w:rsidRPr="00D031C4">
        <w:rPr>
          <w:rStyle w:val="FootnoteReference"/>
          <w:sz w:val="21"/>
          <w:szCs w:val="21"/>
        </w:rPr>
        <w:footnoteRef/>
      </w:r>
      <w:r w:rsidRPr="00D031C4">
        <w:rPr>
          <w:rFonts w:ascii="Times New Roman" w:hAnsi="Times New Roman" w:cs="Times New Roman"/>
          <w:sz w:val="21"/>
          <w:szCs w:val="21"/>
        </w:rPr>
        <w:t xml:space="preserve">As noted earlier, </w:t>
      </w:r>
      <w:r w:rsidRPr="00D031C4">
        <w:rPr>
          <w:rFonts w:ascii="Times New Roman" w:hAnsi="Times New Roman" w:cs="Times New Roman"/>
          <w:bCs/>
          <w:sz w:val="21"/>
          <w:szCs w:val="21"/>
        </w:rPr>
        <w:t>this view is not corroborated in more recent studies of Africa and South Asia (Deaton, 2018).</w:t>
      </w:r>
    </w:p>
    <w:p w14:paraId="7E7222DD" w14:textId="77777777" w:rsidR="009C0C62" w:rsidRPr="00D031C4" w:rsidRDefault="009C0C62">
      <w:pPr>
        <w:pStyle w:val="FootnoteText"/>
        <w:rPr>
          <w:sz w:val="21"/>
          <w:szCs w:val="21"/>
        </w:rPr>
      </w:pPr>
    </w:p>
  </w:footnote>
  <w:footnote w:id="9">
    <w:p w14:paraId="7BB06142" w14:textId="77777777" w:rsidR="009C0C62" w:rsidRPr="00D031C4" w:rsidRDefault="009C0C62" w:rsidP="001326B5">
      <w:pPr>
        <w:pStyle w:val="FootnoteText"/>
        <w:jc w:val="both"/>
        <w:rPr>
          <w:sz w:val="21"/>
          <w:szCs w:val="21"/>
          <w:lang w:val="en-US"/>
        </w:rPr>
      </w:pPr>
      <w:r w:rsidRPr="00D031C4">
        <w:rPr>
          <w:rStyle w:val="FootnoteReference"/>
          <w:sz w:val="21"/>
          <w:szCs w:val="21"/>
        </w:rPr>
        <w:footnoteRef/>
      </w:r>
      <w:r w:rsidRPr="00D031C4">
        <w:rPr>
          <w:rFonts w:ascii="Times New Roman" w:hAnsi="Times New Roman" w:cs="Times New Roman"/>
          <w:sz w:val="21"/>
          <w:szCs w:val="21"/>
        </w:rPr>
        <w:t xml:space="preserve">An additional sample of 2134 households was added to the urban sample of IHDS-II to reduce the impact of attrition on the standard errors of a few key variables. The simulations estimated that the attrition would increase standard errors to unacceptable levels if 8 out of 15 households were unreachable in each urban cluster. Hence, the interviewers were asked to report to NCAER supervisors if they were unable to </w:t>
      </w:r>
      <w:proofErr w:type="spellStart"/>
      <w:r w:rsidRPr="00D031C4">
        <w:rPr>
          <w:rFonts w:ascii="Times New Roman" w:hAnsi="Times New Roman" w:cs="Times New Roman"/>
          <w:sz w:val="21"/>
          <w:szCs w:val="21"/>
        </w:rPr>
        <w:t>recontact</w:t>
      </w:r>
      <w:proofErr w:type="spellEnd"/>
      <w:r w:rsidRPr="00D031C4">
        <w:rPr>
          <w:rFonts w:ascii="Times New Roman" w:hAnsi="Times New Roman" w:cs="Times New Roman"/>
          <w:sz w:val="21"/>
          <w:szCs w:val="21"/>
        </w:rPr>
        <w:t xml:space="preserve"> 5 or more households in a cluster. The supervisor verified the losses and randomly assigned households to the right, the left, or at the original location based on the original locations of the households which were not observed in 2011-12 using a predefined rule. A similar addition to the rural sample was not attempted because of much lower attrition rates (Personal communication with a scholar who led IHDS)</w:t>
      </w:r>
      <w:r w:rsidRPr="00D031C4">
        <w:rPr>
          <w:sz w:val="21"/>
          <w:szCs w:val="21"/>
        </w:rPr>
        <w:t xml:space="preserve">.  </w:t>
      </w:r>
    </w:p>
  </w:footnote>
  <w:footnote w:id="10">
    <w:p w14:paraId="38900D40" w14:textId="77777777" w:rsidR="009C0C62" w:rsidRPr="00D031C4" w:rsidRDefault="009C0C62" w:rsidP="00885977">
      <w:pPr>
        <w:pStyle w:val="FootnoteText"/>
        <w:jc w:val="both"/>
        <w:rPr>
          <w:rFonts w:ascii="Times New Roman" w:hAnsi="Times New Roman" w:cs="Times New Roman"/>
          <w:sz w:val="21"/>
          <w:szCs w:val="21"/>
        </w:rPr>
      </w:pPr>
      <w:r w:rsidRPr="00D031C4">
        <w:rPr>
          <w:rStyle w:val="FootnoteReference"/>
          <w:rFonts w:ascii="Times New Roman" w:hAnsi="Times New Roman" w:cs="Times New Roman"/>
          <w:sz w:val="21"/>
          <w:szCs w:val="21"/>
        </w:rPr>
        <w:footnoteRef/>
      </w:r>
      <w:r w:rsidRPr="00D031C4">
        <w:rPr>
          <w:rFonts w:ascii="Times New Roman" w:hAnsi="Times New Roman" w:cs="Times New Roman"/>
          <w:sz w:val="21"/>
          <w:szCs w:val="21"/>
        </w:rPr>
        <w:t xml:space="preserve">It is noted that the IHDS-1 in 2005 does not allow identification of the respondent, while the IHDS-2 in 2012 does. As the respondents reported SWB changes in 2005-12 at the household level in IHDS-2, we have matched SWB or OWB changes, a dependent variable, to household head’s characteristics, </w:t>
      </w:r>
      <w:r>
        <w:rPr>
          <w:rFonts w:ascii="Times New Roman" w:hAnsi="Times New Roman" w:cs="Times New Roman"/>
          <w:sz w:val="21"/>
          <w:szCs w:val="21"/>
        </w:rPr>
        <w:t xml:space="preserve">and other </w:t>
      </w:r>
      <w:r w:rsidRPr="00D031C4">
        <w:rPr>
          <w:rFonts w:ascii="Times New Roman" w:hAnsi="Times New Roman" w:cs="Times New Roman"/>
          <w:sz w:val="21"/>
          <w:szCs w:val="21"/>
        </w:rPr>
        <w:t>explanatory variables, by restricting the sample only to the case</w:t>
      </w:r>
      <w:r>
        <w:rPr>
          <w:rFonts w:ascii="Times New Roman" w:hAnsi="Times New Roman" w:cs="Times New Roman"/>
          <w:sz w:val="21"/>
          <w:szCs w:val="21"/>
        </w:rPr>
        <w:t>s</w:t>
      </w:r>
      <w:r w:rsidRPr="00D031C4">
        <w:rPr>
          <w:rFonts w:ascii="Times New Roman" w:hAnsi="Times New Roman" w:cs="Times New Roman"/>
          <w:sz w:val="21"/>
          <w:szCs w:val="21"/>
        </w:rPr>
        <w:t xml:space="preserve"> where the household head</w:t>
      </w:r>
      <w:r>
        <w:rPr>
          <w:rFonts w:ascii="Times New Roman" w:hAnsi="Times New Roman" w:cs="Times New Roman"/>
          <w:sz w:val="21"/>
          <w:szCs w:val="21"/>
        </w:rPr>
        <w:t xml:space="preserve"> data are available</w:t>
      </w:r>
      <w:r w:rsidRPr="00D031C4">
        <w:rPr>
          <w:rFonts w:ascii="Times New Roman" w:hAnsi="Times New Roman" w:cs="Times New Roman"/>
          <w:sz w:val="21"/>
          <w:szCs w:val="21"/>
        </w:rPr>
        <w:t xml:space="preserve">. </w:t>
      </w:r>
    </w:p>
  </w:footnote>
  <w:footnote w:id="11">
    <w:p w14:paraId="095915DD" w14:textId="67D56A5C" w:rsidR="009C0C62" w:rsidRPr="00183194" w:rsidRDefault="009C0C62" w:rsidP="008269E4">
      <w:pPr>
        <w:pStyle w:val="FootnoteText"/>
        <w:jc w:val="both"/>
        <w:rPr>
          <w:rStyle w:val="FootnoteReference"/>
        </w:rPr>
      </w:pPr>
      <w:r w:rsidRPr="00D031C4">
        <w:rPr>
          <w:rStyle w:val="FootnoteReference"/>
          <w:rFonts w:ascii="Times New Roman" w:hAnsi="Times New Roman" w:cs="Times New Roman"/>
          <w:sz w:val="21"/>
          <w:szCs w:val="21"/>
        </w:rPr>
        <w:footnoteRef/>
      </w:r>
      <w:r w:rsidRPr="00D031C4">
        <w:rPr>
          <w:rFonts w:ascii="Times New Roman" w:hAnsi="Times New Roman" w:cs="Times New Roman"/>
          <w:sz w:val="21"/>
          <w:szCs w:val="21"/>
        </w:rPr>
        <w:t xml:space="preserve"> In Appendix Table A.1 we have estimated a robust OLS model by using the growth rate of real household consumption per capita </w:t>
      </w:r>
      <w:r w:rsidR="0060707D">
        <w:rPr>
          <w:rFonts w:ascii="Times New Roman" w:hAnsi="Times New Roman" w:cs="Times New Roman"/>
          <w:sz w:val="21"/>
          <w:szCs w:val="21"/>
        </w:rPr>
        <w:t xml:space="preserve">between </w:t>
      </w:r>
      <w:r w:rsidRPr="00D031C4">
        <w:rPr>
          <w:rFonts w:ascii="Times New Roman" w:hAnsi="Times New Roman" w:cs="Times New Roman"/>
          <w:sz w:val="21"/>
          <w:szCs w:val="21"/>
        </w:rPr>
        <w:t>2005</w:t>
      </w:r>
      <w:r w:rsidR="0060707D">
        <w:rPr>
          <w:rFonts w:ascii="Times New Roman" w:hAnsi="Times New Roman" w:cs="Times New Roman"/>
          <w:sz w:val="21"/>
          <w:szCs w:val="21"/>
        </w:rPr>
        <w:t xml:space="preserve">and </w:t>
      </w:r>
      <w:r w:rsidRPr="00D031C4">
        <w:rPr>
          <w:rFonts w:ascii="Times New Roman" w:hAnsi="Times New Roman" w:cs="Times New Roman"/>
          <w:sz w:val="21"/>
          <w:szCs w:val="21"/>
        </w:rPr>
        <w:t>12 as a dependent variable. The results are very similar in terms of the sign and statistical significance to those where ∆OWB is used as a dependent variable in Table 2 and Table 3.</w:t>
      </w:r>
      <w:r>
        <w:rPr>
          <w:rFonts w:ascii="Times New Roman" w:hAnsi="Times New Roman" w:cs="Times New Roman"/>
          <w:sz w:val="21"/>
          <w:szCs w:val="21"/>
        </w:rPr>
        <w:t xml:space="preserve"> It is noted that the coefficient of correlation between </w:t>
      </w:r>
      <w:r w:rsidRPr="00D031C4">
        <w:rPr>
          <w:rFonts w:ascii="Times New Roman" w:hAnsi="Times New Roman" w:cs="Times New Roman"/>
          <w:sz w:val="21"/>
          <w:szCs w:val="21"/>
        </w:rPr>
        <w:t xml:space="preserve">the growth rate of real household </w:t>
      </w:r>
      <w:r w:rsidRPr="0066390E">
        <w:rPr>
          <w:rFonts w:ascii="Times New Roman" w:hAnsi="Times New Roman" w:cs="Times New Roman"/>
          <w:sz w:val="21"/>
          <w:szCs w:val="21"/>
        </w:rPr>
        <w:t xml:space="preserve">consumption per capita </w:t>
      </w:r>
      <w:r w:rsidR="0060707D">
        <w:rPr>
          <w:rFonts w:ascii="Times New Roman" w:hAnsi="Times New Roman" w:cs="Times New Roman"/>
          <w:sz w:val="21"/>
          <w:szCs w:val="21"/>
        </w:rPr>
        <w:t>between</w:t>
      </w:r>
      <w:r w:rsidR="0060707D" w:rsidRPr="0066390E">
        <w:rPr>
          <w:rFonts w:ascii="Times New Roman" w:hAnsi="Times New Roman" w:cs="Times New Roman"/>
          <w:sz w:val="21"/>
          <w:szCs w:val="21"/>
        </w:rPr>
        <w:t xml:space="preserve"> </w:t>
      </w:r>
      <w:r w:rsidRPr="0066390E">
        <w:rPr>
          <w:rFonts w:ascii="Times New Roman" w:hAnsi="Times New Roman" w:cs="Times New Roman"/>
          <w:sz w:val="21"/>
          <w:szCs w:val="21"/>
        </w:rPr>
        <w:t>2005</w:t>
      </w:r>
      <w:r w:rsidR="0060707D">
        <w:rPr>
          <w:rFonts w:ascii="Times New Roman" w:hAnsi="Times New Roman" w:cs="Times New Roman"/>
          <w:sz w:val="21"/>
          <w:szCs w:val="21"/>
        </w:rPr>
        <w:t xml:space="preserve">and </w:t>
      </w:r>
      <w:r w:rsidRPr="0066390E">
        <w:rPr>
          <w:rFonts w:ascii="Times New Roman" w:hAnsi="Times New Roman" w:cs="Times New Roman"/>
          <w:sz w:val="21"/>
          <w:szCs w:val="21"/>
        </w:rPr>
        <w:t xml:space="preserve">12 and ∆OWB is 0.4173 and statistically significant at the 1% level. It should also be noted that the coefficient of correlation between ∆SWB and ∆OWB is 0.0401 and that between ∆SWB and the growth rate of real household consumption per capita in 2005-12 is 0.0221, both significant at </w:t>
      </w:r>
      <w:r>
        <w:rPr>
          <w:rFonts w:ascii="Times New Roman" w:hAnsi="Times New Roman" w:cs="Times New Roman"/>
          <w:sz w:val="21"/>
          <w:szCs w:val="21"/>
        </w:rPr>
        <w:t xml:space="preserve">the </w:t>
      </w:r>
      <w:r w:rsidRPr="0066390E">
        <w:rPr>
          <w:rFonts w:ascii="Times New Roman" w:hAnsi="Times New Roman" w:cs="Times New Roman"/>
          <w:sz w:val="21"/>
          <w:szCs w:val="21"/>
        </w:rPr>
        <w:t>1% level</w:t>
      </w:r>
      <w:r>
        <w:rPr>
          <w:rFonts w:ascii="Times New Roman" w:hAnsi="Times New Roman" w:cs="Times New Roman"/>
          <w:sz w:val="21"/>
          <w:szCs w:val="21"/>
        </w:rPr>
        <w:t xml:space="preserve"> given the large sample size</w:t>
      </w:r>
      <w:r w:rsidRPr="00183194">
        <w:rPr>
          <w:rFonts w:ascii="Times New Roman" w:hAnsi="Times New Roman" w:cs="Times New Roman"/>
          <w:sz w:val="21"/>
          <w:szCs w:val="21"/>
        </w:rPr>
        <w:t xml:space="preserve">.     </w:t>
      </w:r>
    </w:p>
  </w:footnote>
  <w:footnote w:id="12">
    <w:p w14:paraId="39A868F2" w14:textId="77777777" w:rsidR="009C0C62" w:rsidRPr="00D031C4" w:rsidRDefault="009C0C62" w:rsidP="00203BD5">
      <w:pPr>
        <w:pStyle w:val="FootnoteText"/>
        <w:jc w:val="both"/>
        <w:rPr>
          <w:rFonts w:ascii="Times New Roman" w:hAnsi="Times New Roman" w:cs="Times New Roman"/>
          <w:sz w:val="21"/>
          <w:szCs w:val="21"/>
        </w:rPr>
      </w:pPr>
      <w:r w:rsidRPr="00D031C4">
        <w:rPr>
          <w:rStyle w:val="FootnoteReference"/>
          <w:rFonts w:ascii="Times New Roman" w:hAnsi="Times New Roman" w:cs="Times New Roman"/>
          <w:sz w:val="21"/>
          <w:szCs w:val="21"/>
        </w:rPr>
        <w:footnoteRef/>
      </w:r>
      <w:r w:rsidRPr="00D031C4">
        <w:rPr>
          <w:rFonts w:ascii="Times New Roman" w:hAnsi="Times New Roman" w:cs="Times New Roman"/>
          <w:sz w:val="21"/>
          <w:szCs w:val="21"/>
        </w:rPr>
        <w:t xml:space="preserve">See Angrist and </w:t>
      </w:r>
      <w:proofErr w:type="spellStart"/>
      <w:r w:rsidRPr="00D031C4">
        <w:rPr>
          <w:rFonts w:ascii="Times New Roman" w:hAnsi="Times New Roman" w:cs="Times New Roman"/>
          <w:sz w:val="21"/>
          <w:szCs w:val="21"/>
        </w:rPr>
        <w:t>Pischke</w:t>
      </w:r>
      <w:proofErr w:type="spellEnd"/>
      <w:r w:rsidRPr="00D031C4">
        <w:rPr>
          <w:rFonts w:ascii="Times New Roman" w:hAnsi="Times New Roman" w:cs="Times New Roman"/>
          <w:sz w:val="21"/>
          <w:szCs w:val="21"/>
        </w:rPr>
        <w:t xml:space="preserve"> (2008) for the detailed argument in favour of the Linear Probability Model (LPM) over the </w:t>
      </w:r>
      <w:proofErr w:type="spellStart"/>
      <w:r w:rsidRPr="00D031C4">
        <w:rPr>
          <w:rFonts w:ascii="Times New Roman" w:hAnsi="Times New Roman" w:cs="Times New Roman"/>
          <w:sz w:val="21"/>
          <w:szCs w:val="21"/>
        </w:rPr>
        <w:t>probit</w:t>
      </w:r>
      <w:proofErr w:type="spellEnd"/>
      <w:r w:rsidRPr="00D031C4">
        <w:rPr>
          <w:rFonts w:ascii="Times New Roman" w:hAnsi="Times New Roman" w:cs="Times New Roman"/>
          <w:sz w:val="21"/>
          <w:szCs w:val="21"/>
        </w:rPr>
        <w:t xml:space="preserve"> model where OLS is used for a binary choice model, against the standard textbook recommendation for the use of </w:t>
      </w:r>
      <w:proofErr w:type="spellStart"/>
      <w:r w:rsidRPr="00D031C4">
        <w:rPr>
          <w:rFonts w:ascii="Times New Roman" w:hAnsi="Times New Roman" w:cs="Times New Roman"/>
          <w:sz w:val="21"/>
          <w:szCs w:val="21"/>
        </w:rPr>
        <w:t>probit</w:t>
      </w:r>
      <w:proofErr w:type="spellEnd"/>
      <w:r w:rsidRPr="00D031C4">
        <w:rPr>
          <w:rFonts w:ascii="Times New Roman" w:hAnsi="Times New Roman" w:cs="Times New Roman"/>
          <w:sz w:val="21"/>
          <w:szCs w:val="21"/>
        </w:rPr>
        <w:t xml:space="preserve"> or logit models for the binary variable. The use of OLS for the discrete variable (0, 1, </w:t>
      </w:r>
      <w:proofErr w:type="gramStart"/>
      <w:r w:rsidRPr="00D031C4">
        <w:rPr>
          <w:rFonts w:ascii="Times New Roman" w:hAnsi="Times New Roman" w:cs="Times New Roman"/>
          <w:sz w:val="21"/>
          <w:szCs w:val="21"/>
        </w:rPr>
        <w:t>2</w:t>
      </w:r>
      <w:proofErr w:type="gramEnd"/>
      <w:r w:rsidRPr="00D031C4">
        <w:rPr>
          <w:rFonts w:ascii="Times New Roman" w:hAnsi="Times New Roman" w:cs="Times New Roman"/>
          <w:sz w:val="21"/>
          <w:szCs w:val="21"/>
        </w:rPr>
        <w:t xml:space="preserve">) can be justified on the same grounds. OLS with robust clustered standard errors is used to address possible correlations among individuals within a household as well as heteroscedasticity. </w:t>
      </w:r>
    </w:p>
  </w:footnote>
  <w:footnote w:id="13">
    <w:p w14:paraId="0CCEE575" w14:textId="77777777" w:rsidR="009C0C62" w:rsidRPr="00D031C4" w:rsidRDefault="009C0C62" w:rsidP="00783638">
      <w:pPr>
        <w:pStyle w:val="FootnoteText"/>
        <w:jc w:val="both"/>
        <w:rPr>
          <w:sz w:val="21"/>
          <w:szCs w:val="21"/>
          <w:lang w:val="en-US"/>
        </w:rPr>
      </w:pPr>
      <w:r w:rsidRPr="00D031C4">
        <w:rPr>
          <w:rStyle w:val="FootnoteReference"/>
          <w:sz w:val="21"/>
          <w:szCs w:val="21"/>
        </w:rPr>
        <w:footnoteRef/>
      </w:r>
      <w:r w:rsidRPr="00D031C4">
        <w:rPr>
          <w:rFonts w:ascii="Times New Roman" w:hAnsi="Times New Roman" w:cs="Times New Roman"/>
          <w:sz w:val="21"/>
          <w:szCs w:val="21"/>
        </w:rPr>
        <w:t xml:space="preserve">As </w:t>
      </w:r>
      <w:proofErr w:type="spellStart"/>
      <w:r w:rsidRPr="00D031C4">
        <w:rPr>
          <w:rFonts w:ascii="Times New Roman" w:hAnsi="Times New Roman" w:cs="Times New Roman"/>
          <w:sz w:val="21"/>
          <w:szCs w:val="21"/>
        </w:rPr>
        <w:t>Kahneman</w:t>
      </w:r>
      <w:proofErr w:type="spellEnd"/>
      <w:r w:rsidRPr="00D031C4">
        <w:rPr>
          <w:rFonts w:ascii="Times New Roman" w:hAnsi="Times New Roman" w:cs="Times New Roman"/>
          <w:sz w:val="21"/>
          <w:szCs w:val="21"/>
        </w:rPr>
        <w:t xml:space="preserve"> and Deaton (2010) point out, psychologists and sociologists often plot measures of subjective well-being against income in dollars, but a strong argument can be made for the logarithm of income as the preferred scale. The logarithmic transformation represents a basic fact of perception known as Weber’s Law, which applies generally to quantitative dimensions of perception and judgment (e.g., the intensity of sounds and lights). The rule is that the effective stimulus for the detection and evaluation of changes or differences in such dimensions is the percentage change, not its absolute amount.</w:t>
      </w:r>
    </w:p>
  </w:footnote>
  <w:footnote w:id="14">
    <w:p w14:paraId="78456F4D" w14:textId="77777777" w:rsidR="009C0C62" w:rsidRPr="00D031C4" w:rsidRDefault="009C0C62" w:rsidP="00FF7ED1">
      <w:pPr>
        <w:pStyle w:val="FootnoteText"/>
        <w:jc w:val="both"/>
        <w:rPr>
          <w:rFonts w:ascii="Times New Roman" w:hAnsi="Times New Roman" w:cs="Times New Roman"/>
          <w:sz w:val="21"/>
          <w:szCs w:val="21"/>
        </w:rPr>
      </w:pPr>
      <w:r w:rsidRPr="00D031C4">
        <w:rPr>
          <w:rStyle w:val="FootnoteReference"/>
          <w:sz w:val="21"/>
          <w:szCs w:val="21"/>
        </w:rPr>
        <w:footnoteRef/>
      </w:r>
      <w:r w:rsidRPr="00D031C4">
        <w:rPr>
          <w:rFonts w:ascii="Times New Roman" w:hAnsi="Times New Roman" w:cs="Times New Roman"/>
          <w:sz w:val="21"/>
          <w:szCs w:val="21"/>
        </w:rPr>
        <w:t>All marginal e</w:t>
      </w:r>
      <w:r>
        <w:rPr>
          <w:rFonts w:ascii="Times New Roman" w:hAnsi="Times New Roman" w:cs="Times New Roman"/>
          <w:sz w:val="21"/>
          <w:szCs w:val="21"/>
        </w:rPr>
        <w:t>ffects are significant at the ≤10</w:t>
      </w:r>
      <w:r w:rsidRPr="00D031C4">
        <w:rPr>
          <w:rFonts w:ascii="Times New Roman" w:hAnsi="Times New Roman" w:cs="Times New Roman"/>
          <w:sz w:val="21"/>
          <w:szCs w:val="21"/>
        </w:rPr>
        <w:t xml:space="preserve"> % level unless stated otherwise. </w:t>
      </w:r>
    </w:p>
  </w:footnote>
  <w:footnote w:id="15">
    <w:p w14:paraId="1ACBC6D9" w14:textId="2CE7B4FB" w:rsidR="009C0C62" w:rsidRPr="00D031C4" w:rsidRDefault="009C0C62" w:rsidP="00D031C4">
      <w:pPr>
        <w:pStyle w:val="FootnoteText"/>
        <w:jc w:val="both"/>
        <w:rPr>
          <w:rFonts w:ascii="Times New Roman" w:hAnsi="Times New Roman" w:cs="Times New Roman"/>
          <w:sz w:val="21"/>
          <w:szCs w:val="21"/>
        </w:rPr>
      </w:pPr>
      <w:r w:rsidRPr="00D031C4">
        <w:rPr>
          <w:rStyle w:val="FootnoteReference"/>
          <w:sz w:val="21"/>
          <w:szCs w:val="21"/>
        </w:rPr>
        <w:footnoteRef/>
      </w:r>
      <w:r w:rsidRPr="00D031C4">
        <w:rPr>
          <w:rFonts w:ascii="Times New Roman" w:hAnsi="Times New Roman" w:cs="Times New Roman"/>
          <w:sz w:val="21"/>
          <w:szCs w:val="21"/>
        </w:rPr>
        <w:t xml:space="preserve">Throughout the study, we use the terms, such as </w:t>
      </w:r>
      <w:r>
        <w:rPr>
          <w:rFonts w:ascii="Times New Roman" w:hAnsi="Times New Roman" w:cs="Times New Roman"/>
          <w:sz w:val="21"/>
          <w:szCs w:val="21"/>
        </w:rPr>
        <w:t>associations</w:t>
      </w:r>
      <w:r w:rsidRPr="00D031C4">
        <w:rPr>
          <w:rFonts w:ascii="Times New Roman" w:hAnsi="Times New Roman" w:cs="Times New Roman"/>
          <w:sz w:val="21"/>
          <w:szCs w:val="21"/>
        </w:rPr>
        <w:t xml:space="preserve"> or marginal effects, given that ∆SWB or ∆OWB in 2005-2012 is regressed on the variables in 2005 following the convention, for instance, of the empirical studies on macroeconomic growth using cross-country data. We note that for ∆SWB, though it is based on the survey data in 2012, </w:t>
      </w:r>
      <w:r>
        <w:rPr>
          <w:rFonts w:ascii="Times New Roman" w:hAnsi="Times New Roman" w:cs="Times New Roman"/>
          <w:sz w:val="21"/>
          <w:szCs w:val="21"/>
        </w:rPr>
        <w:t>and the</w:t>
      </w:r>
      <w:r w:rsidRPr="00D031C4">
        <w:rPr>
          <w:rFonts w:ascii="Times New Roman" w:hAnsi="Times New Roman" w:cs="Times New Roman"/>
          <w:sz w:val="21"/>
          <w:szCs w:val="21"/>
        </w:rPr>
        <w:t xml:space="preserve"> reference point is 2005, a few variables on economic status </w:t>
      </w:r>
      <w:r>
        <w:rPr>
          <w:rFonts w:ascii="Times New Roman" w:hAnsi="Times New Roman" w:cs="Times New Roman"/>
          <w:sz w:val="21"/>
          <w:szCs w:val="21"/>
        </w:rPr>
        <w:t>on</w:t>
      </w:r>
      <w:r w:rsidRPr="00D031C4">
        <w:rPr>
          <w:rFonts w:ascii="Times New Roman" w:hAnsi="Times New Roman" w:cs="Times New Roman"/>
          <w:sz w:val="21"/>
          <w:szCs w:val="21"/>
        </w:rPr>
        <w:t xml:space="preserve"> the right hand side </w:t>
      </w:r>
      <w:r>
        <w:rPr>
          <w:rFonts w:ascii="Times New Roman" w:hAnsi="Times New Roman" w:cs="Times New Roman"/>
          <w:sz w:val="21"/>
          <w:szCs w:val="21"/>
        </w:rPr>
        <w:t xml:space="preserve">are </w:t>
      </w:r>
      <w:r w:rsidRPr="00D031C4">
        <w:rPr>
          <w:rFonts w:ascii="Times New Roman" w:hAnsi="Times New Roman" w:cs="Times New Roman"/>
          <w:sz w:val="21"/>
          <w:szCs w:val="21"/>
        </w:rPr>
        <w:t>not strictly exogenous, but the reverse causality is reasonably rejected. ∆OWB can also be influenced by the initial economic status</w:t>
      </w:r>
      <w:r>
        <w:rPr>
          <w:rFonts w:ascii="Times New Roman" w:hAnsi="Times New Roman" w:cs="Times New Roman"/>
          <w:sz w:val="21"/>
          <w:szCs w:val="21"/>
        </w:rPr>
        <w:t xml:space="preserve">, but, as noted earlier, it is crucial for </w:t>
      </w:r>
      <w:r w:rsidRPr="00EF0BFA">
        <w:rPr>
          <w:rFonts w:ascii="Times New Roman" w:hAnsi="Times New Roman" w:cs="Times New Roman"/>
          <w:sz w:val="21"/>
          <w:szCs w:val="21"/>
        </w:rPr>
        <w:t>the initial economic status</w:t>
      </w:r>
      <w:r>
        <w:rPr>
          <w:rFonts w:ascii="Times New Roman" w:hAnsi="Times New Roman" w:cs="Times New Roman"/>
          <w:sz w:val="21"/>
          <w:szCs w:val="21"/>
        </w:rPr>
        <w:t xml:space="preserve"> to be controlled for in order to interpret </w:t>
      </w:r>
      <w:r w:rsidRPr="00D031C4">
        <w:rPr>
          <w:rFonts w:ascii="Times New Roman" w:hAnsi="Times New Roman" w:cs="Times New Roman"/>
          <w:sz w:val="21"/>
          <w:szCs w:val="21"/>
        </w:rPr>
        <w:t>∆OWB</w:t>
      </w:r>
      <w:r>
        <w:rPr>
          <w:rFonts w:ascii="Times New Roman" w:hAnsi="Times New Roman" w:cs="Times New Roman"/>
          <w:sz w:val="21"/>
          <w:szCs w:val="21"/>
        </w:rPr>
        <w:t xml:space="preserve"> as the well-being change after controlling for the initial differences in </w:t>
      </w:r>
      <w:r w:rsidRPr="00D031C4">
        <w:rPr>
          <w:rFonts w:ascii="Times New Roman" w:hAnsi="Times New Roman" w:cs="Times New Roman"/>
          <w:sz w:val="21"/>
          <w:szCs w:val="21"/>
        </w:rPr>
        <w:t>OWB</w:t>
      </w:r>
      <w:r>
        <w:rPr>
          <w:rFonts w:ascii="Times New Roman" w:hAnsi="Times New Roman" w:cs="Times New Roman"/>
          <w:sz w:val="21"/>
          <w:szCs w:val="21"/>
        </w:rPr>
        <w:t>. T</w:t>
      </w:r>
      <w:r w:rsidRPr="00D031C4">
        <w:rPr>
          <w:rFonts w:ascii="Times New Roman" w:hAnsi="Times New Roman" w:cs="Times New Roman"/>
          <w:sz w:val="21"/>
          <w:szCs w:val="21"/>
        </w:rPr>
        <w:t>he possibility of reverse causality is ruled out for other covariates.</w:t>
      </w:r>
      <w:r w:rsidR="007A5621">
        <w:rPr>
          <w:rFonts w:ascii="Times New Roman" w:hAnsi="Times New Roman" w:cs="Times New Roman"/>
          <w:sz w:val="21"/>
          <w:szCs w:val="21"/>
        </w:rPr>
        <w:t xml:space="preserve"> </w:t>
      </w:r>
      <w:r w:rsidRPr="00D031C4">
        <w:rPr>
          <w:rFonts w:ascii="Times New Roman" w:hAnsi="Times New Roman" w:cs="Times New Roman"/>
          <w:sz w:val="21"/>
          <w:szCs w:val="21"/>
        </w:rPr>
        <w:t xml:space="preserve">We have avoided using </w:t>
      </w:r>
      <w:r>
        <w:rPr>
          <w:rFonts w:ascii="Times New Roman" w:hAnsi="Times New Roman" w:cs="Times New Roman"/>
          <w:sz w:val="21"/>
          <w:szCs w:val="21"/>
        </w:rPr>
        <w:t xml:space="preserve">an </w:t>
      </w:r>
      <w:r w:rsidRPr="00D031C4">
        <w:rPr>
          <w:rFonts w:ascii="Times New Roman" w:hAnsi="Times New Roman" w:cs="Times New Roman"/>
          <w:sz w:val="21"/>
          <w:szCs w:val="21"/>
        </w:rPr>
        <w:t xml:space="preserve">IV </w:t>
      </w:r>
      <w:r>
        <w:rPr>
          <w:rFonts w:ascii="Times New Roman" w:hAnsi="Times New Roman" w:cs="Times New Roman"/>
          <w:sz w:val="21"/>
          <w:szCs w:val="21"/>
        </w:rPr>
        <w:t xml:space="preserve">model </w:t>
      </w:r>
      <w:r w:rsidRPr="00D031C4">
        <w:rPr>
          <w:rFonts w:ascii="Times New Roman" w:hAnsi="Times New Roman" w:cs="Times New Roman"/>
          <w:sz w:val="21"/>
          <w:szCs w:val="21"/>
        </w:rPr>
        <w:t xml:space="preserve">as it is highly sensitive to the choice of an instrument, which would make the comparisons of the </w:t>
      </w:r>
      <w:r>
        <w:rPr>
          <w:rFonts w:ascii="Times New Roman" w:hAnsi="Times New Roman" w:cs="Times New Roman"/>
          <w:sz w:val="21"/>
          <w:szCs w:val="21"/>
        </w:rPr>
        <w:t xml:space="preserve">estimates </w:t>
      </w:r>
      <w:r w:rsidRPr="00D031C4">
        <w:rPr>
          <w:rFonts w:ascii="Times New Roman" w:hAnsi="Times New Roman" w:cs="Times New Roman"/>
          <w:sz w:val="21"/>
          <w:szCs w:val="21"/>
        </w:rPr>
        <w:t xml:space="preserve">for ∆SWB and ∆OWB difficult.   </w:t>
      </w:r>
    </w:p>
  </w:footnote>
  <w:footnote w:id="16">
    <w:p w14:paraId="16983FA3" w14:textId="77777777" w:rsidR="009C0C62" w:rsidRPr="00D031C4" w:rsidRDefault="009C0C62" w:rsidP="00995E98">
      <w:pPr>
        <w:pStyle w:val="FootnoteText"/>
        <w:rPr>
          <w:sz w:val="21"/>
          <w:szCs w:val="21"/>
          <w:lang w:val="en-US"/>
        </w:rPr>
      </w:pPr>
      <w:r w:rsidRPr="00D031C4">
        <w:rPr>
          <w:rStyle w:val="FootnoteReference"/>
          <w:sz w:val="21"/>
          <w:szCs w:val="21"/>
        </w:rPr>
        <w:footnoteRef/>
      </w:r>
      <w:r w:rsidRPr="00D031C4">
        <w:rPr>
          <w:rFonts w:ascii="Times New Roman" w:hAnsi="Times New Roman" w:cs="Times New Roman"/>
          <w:sz w:val="21"/>
          <w:szCs w:val="21"/>
          <w:lang w:val="en-US"/>
        </w:rPr>
        <w:t>For a definitive assessment based on rural samples from select north-Indian states, see Spears (2016).</w:t>
      </w:r>
    </w:p>
  </w:footnote>
  <w:footnote w:id="17">
    <w:p w14:paraId="69CE0AA8" w14:textId="77777777" w:rsidR="009C0C62" w:rsidRPr="00C13656" w:rsidRDefault="009C0C62" w:rsidP="00F17AF2">
      <w:pPr>
        <w:pStyle w:val="FootnoteText"/>
        <w:jc w:val="both"/>
        <w:rPr>
          <w:rFonts w:ascii="Times New Roman" w:hAnsi="Times New Roman" w:cs="Times New Roman"/>
          <w:sz w:val="21"/>
          <w:szCs w:val="21"/>
        </w:rPr>
      </w:pPr>
      <w:r w:rsidRPr="00C13656">
        <w:rPr>
          <w:rStyle w:val="FootnoteReference"/>
          <w:rFonts w:ascii="Times New Roman" w:hAnsi="Times New Roman" w:cs="Times New Roman"/>
          <w:sz w:val="21"/>
          <w:szCs w:val="21"/>
        </w:rPr>
        <w:footnoteRef/>
      </w:r>
      <w:r>
        <w:rPr>
          <w:rFonts w:ascii="Times New Roman" w:hAnsi="Times New Roman" w:cs="Times New Roman"/>
          <w:sz w:val="21"/>
          <w:szCs w:val="21"/>
        </w:rPr>
        <w:t xml:space="preserve"> Admittedly, the variables on the initial per capita household expenditure are likely to be endogenous, but we include them</w:t>
      </w:r>
      <w:r w:rsidRPr="00C13656">
        <w:rPr>
          <w:rFonts w:ascii="Times New Roman" w:hAnsi="Times New Roman" w:cs="Times New Roman"/>
          <w:sz w:val="21"/>
          <w:szCs w:val="21"/>
        </w:rPr>
        <w:t xml:space="preserve"> in estimating ∆OBW to facilitate the comparison of the results for ∆SWB and ∆OWB. Omitting the initial expenditure</w:t>
      </w:r>
      <w:r>
        <w:rPr>
          <w:rFonts w:ascii="Times New Roman" w:hAnsi="Times New Roman" w:cs="Times New Roman"/>
          <w:sz w:val="21"/>
          <w:szCs w:val="21"/>
        </w:rPr>
        <w:t xml:space="preserve">, its square and its share in PSU from the equation </w:t>
      </w:r>
      <w:r w:rsidRPr="00C13656">
        <w:rPr>
          <w:rFonts w:ascii="Times New Roman" w:hAnsi="Times New Roman" w:cs="Times New Roman"/>
          <w:sz w:val="21"/>
          <w:szCs w:val="21"/>
        </w:rPr>
        <w:t>est</w:t>
      </w:r>
      <w:r>
        <w:rPr>
          <w:rFonts w:ascii="Times New Roman" w:hAnsi="Times New Roman" w:cs="Times New Roman"/>
          <w:sz w:val="21"/>
          <w:szCs w:val="21"/>
        </w:rPr>
        <w:t xml:space="preserve">imating ∆OBW </w:t>
      </w:r>
      <w:r w:rsidRPr="00C13656">
        <w:rPr>
          <w:rFonts w:ascii="Times New Roman" w:hAnsi="Times New Roman" w:cs="Times New Roman"/>
          <w:sz w:val="21"/>
          <w:szCs w:val="21"/>
        </w:rPr>
        <w:t xml:space="preserve">does not significantly affect the </w:t>
      </w:r>
      <w:r>
        <w:rPr>
          <w:rFonts w:ascii="Times New Roman" w:hAnsi="Times New Roman" w:cs="Times New Roman"/>
          <w:sz w:val="21"/>
          <w:szCs w:val="21"/>
        </w:rPr>
        <w:t xml:space="preserve">estimates of other coefficients except that estimates for schooling in the top two categories become statistically non-significant.  </w:t>
      </w:r>
    </w:p>
  </w:footnote>
  <w:footnote w:id="18">
    <w:p w14:paraId="207BC2F3" w14:textId="77777777" w:rsidR="009C0C62" w:rsidRPr="0086316F" w:rsidRDefault="009C0C62" w:rsidP="00E95D90">
      <w:pPr>
        <w:pStyle w:val="FootnoteText"/>
        <w:rPr>
          <w:rFonts w:ascii="Times New Roman" w:hAnsi="Times New Roman" w:cs="Times New Roman"/>
          <w:lang w:val="en-US"/>
        </w:rPr>
      </w:pPr>
      <w:r>
        <w:rPr>
          <w:rStyle w:val="FootnoteReference"/>
        </w:rPr>
        <w:footnoteRef/>
      </w:r>
      <w:r w:rsidRPr="0086316F">
        <w:rPr>
          <w:rFonts w:ascii="Times New Roman" w:hAnsi="Times New Roman" w:cs="Times New Roman"/>
          <w:lang w:val="en-US"/>
        </w:rPr>
        <w:t>With the exception of Spears (2016) which is confined to rural areas in select north-Indian states.</w:t>
      </w:r>
    </w:p>
  </w:footnote>
  <w:footnote w:id="19">
    <w:p w14:paraId="46F297AE" w14:textId="77777777" w:rsidR="009C0C62" w:rsidRPr="00463762" w:rsidRDefault="009C0C62">
      <w:pPr>
        <w:pStyle w:val="FootnoteText"/>
        <w:rPr>
          <w:lang w:val="en-US"/>
        </w:rPr>
      </w:pPr>
      <w:r>
        <w:rPr>
          <w:rStyle w:val="FootnoteReference"/>
        </w:rPr>
        <w:footnoteRef/>
      </w:r>
      <w:r w:rsidRPr="00463762">
        <w:rPr>
          <w:rFonts w:ascii="Times New Roman" w:hAnsi="Times New Roman" w:cs="Times New Roman"/>
          <w:lang w:val="en-US"/>
        </w:rPr>
        <w:t>The results vary with the specification.</w:t>
      </w:r>
      <w:r>
        <w:rPr>
          <w:rFonts w:ascii="Times New Roman" w:hAnsi="Times New Roman" w:cs="Times New Roman"/>
          <w:lang w:val="en-US"/>
        </w:rPr>
        <w:t xml:space="preserve"> </w:t>
      </w:r>
      <w:r w:rsidRPr="00463762">
        <w:rPr>
          <w:rFonts w:ascii="Times New Roman" w:hAnsi="Times New Roman" w:cs="Times New Roman"/>
          <w:lang w:val="en-US"/>
        </w:rPr>
        <w:t>These are the findings based on the OP analysis</w:t>
      </w:r>
      <w:r>
        <w:rPr>
          <w:lang w:val="en-US"/>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E53E23" w14:textId="77777777" w:rsidR="009C0C62" w:rsidRDefault="009C0C62">
    <w:pPr>
      <w:pStyle w:val="Header"/>
      <w:jc w:val="center"/>
    </w:pPr>
  </w:p>
  <w:p w14:paraId="7E8D8CCB" w14:textId="77777777" w:rsidR="009C0C62" w:rsidRDefault="009C0C6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6141A"/>
    <w:multiLevelType w:val="hybridMultilevel"/>
    <w:tmpl w:val="2C3ED364"/>
    <w:lvl w:ilvl="0" w:tplc="694E36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1D541CC"/>
    <w:multiLevelType w:val="hybridMultilevel"/>
    <w:tmpl w:val="36D60F4A"/>
    <w:lvl w:ilvl="0" w:tplc="065C5458">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42A5108"/>
    <w:multiLevelType w:val="hybridMultilevel"/>
    <w:tmpl w:val="6D38695A"/>
    <w:lvl w:ilvl="0" w:tplc="D034D060">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1F263634"/>
    <w:multiLevelType w:val="hybridMultilevel"/>
    <w:tmpl w:val="D4DA44D6"/>
    <w:lvl w:ilvl="0" w:tplc="AC085950">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36CB3CEA"/>
    <w:multiLevelType w:val="hybridMultilevel"/>
    <w:tmpl w:val="03448716"/>
    <w:lvl w:ilvl="0" w:tplc="60B80E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800271F"/>
    <w:multiLevelType w:val="hybridMultilevel"/>
    <w:tmpl w:val="03448716"/>
    <w:lvl w:ilvl="0" w:tplc="60B80E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DAA6331"/>
    <w:multiLevelType w:val="hybridMultilevel"/>
    <w:tmpl w:val="3E78D8C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3F9457A1"/>
    <w:multiLevelType w:val="hybridMultilevel"/>
    <w:tmpl w:val="FF0288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690405C"/>
    <w:multiLevelType w:val="hybridMultilevel"/>
    <w:tmpl w:val="762AC8B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633D6699"/>
    <w:multiLevelType w:val="hybridMultilevel"/>
    <w:tmpl w:val="3726120C"/>
    <w:lvl w:ilvl="0" w:tplc="2C900196">
      <w:start w:val="1"/>
      <w:numFmt w:val="decimal"/>
      <w:lvlText w:val="(%1)"/>
      <w:lvlJc w:val="left"/>
      <w:pPr>
        <w:ind w:left="720" w:hanging="360"/>
      </w:pPr>
      <w:rPr>
        <w:rFonts w:hint="default"/>
        <w:b/>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D8B3697"/>
    <w:multiLevelType w:val="hybridMultilevel"/>
    <w:tmpl w:val="CB02A056"/>
    <w:lvl w:ilvl="0" w:tplc="6EDC5596">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75784035"/>
    <w:multiLevelType w:val="hybridMultilevel"/>
    <w:tmpl w:val="AF12B5B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nsid w:val="7E473DDD"/>
    <w:multiLevelType w:val="hybridMultilevel"/>
    <w:tmpl w:val="7932D88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7E747B28"/>
    <w:multiLevelType w:val="hybridMultilevel"/>
    <w:tmpl w:val="150816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0"/>
  </w:num>
  <w:num w:numId="3">
    <w:abstractNumId w:val="8"/>
  </w:num>
  <w:num w:numId="4">
    <w:abstractNumId w:val="11"/>
  </w:num>
  <w:num w:numId="5">
    <w:abstractNumId w:val="7"/>
  </w:num>
  <w:num w:numId="6">
    <w:abstractNumId w:val="12"/>
  </w:num>
  <w:num w:numId="7">
    <w:abstractNumId w:val="6"/>
  </w:num>
  <w:num w:numId="8">
    <w:abstractNumId w:val="2"/>
  </w:num>
  <w:num w:numId="9">
    <w:abstractNumId w:val="13"/>
  </w:num>
  <w:num w:numId="10">
    <w:abstractNumId w:val="4"/>
  </w:num>
  <w:num w:numId="11">
    <w:abstractNumId w:val="1"/>
  </w:num>
  <w:num w:numId="12">
    <w:abstractNumId w:val="5"/>
  </w:num>
  <w:num w:numId="13">
    <w:abstractNumId w:val="9"/>
  </w:num>
  <w:num w:numId="1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ere Behrman">
    <w15:presenceInfo w15:providerId="AD" w15:userId="S-1-5-21-527237240-1682526488-1060284298-46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6"/>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6B5"/>
    <w:rsid w:val="0000085A"/>
    <w:rsid w:val="0000495B"/>
    <w:rsid w:val="00004C01"/>
    <w:rsid w:val="000055CB"/>
    <w:rsid w:val="00013591"/>
    <w:rsid w:val="00013CB4"/>
    <w:rsid w:val="000215AF"/>
    <w:rsid w:val="00025575"/>
    <w:rsid w:val="00025E89"/>
    <w:rsid w:val="000275A0"/>
    <w:rsid w:val="0003075A"/>
    <w:rsid w:val="00030EF9"/>
    <w:rsid w:val="00036831"/>
    <w:rsid w:val="00036870"/>
    <w:rsid w:val="00041226"/>
    <w:rsid w:val="00046ADB"/>
    <w:rsid w:val="00052D46"/>
    <w:rsid w:val="00070B95"/>
    <w:rsid w:val="00072A05"/>
    <w:rsid w:val="00072FF5"/>
    <w:rsid w:val="00073BEC"/>
    <w:rsid w:val="0007409F"/>
    <w:rsid w:val="00075A38"/>
    <w:rsid w:val="000773C5"/>
    <w:rsid w:val="00084150"/>
    <w:rsid w:val="00084B25"/>
    <w:rsid w:val="0008745B"/>
    <w:rsid w:val="0009341F"/>
    <w:rsid w:val="000A1C23"/>
    <w:rsid w:val="000A6765"/>
    <w:rsid w:val="000A6C2E"/>
    <w:rsid w:val="000B3C17"/>
    <w:rsid w:val="000B5537"/>
    <w:rsid w:val="000B6A6A"/>
    <w:rsid w:val="000C41DE"/>
    <w:rsid w:val="000C5578"/>
    <w:rsid w:val="000E187B"/>
    <w:rsid w:val="000E28D0"/>
    <w:rsid w:val="000E361E"/>
    <w:rsid w:val="000E4FF2"/>
    <w:rsid w:val="000E5822"/>
    <w:rsid w:val="000E6AC4"/>
    <w:rsid w:val="000F11CD"/>
    <w:rsid w:val="000F4165"/>
    <w:rsid w:val="000F418F"/>
    <w:rsid w:val="00100270"/>
    <w:rsid w:val="001102CC"/>
    <w:rsid w:val="00115BD5"/>
    <w:rsid w:val="00117F65"/>
    <w:rsid w:val="0012208D"/>
    <w:rsid w:val="00124CB4"/>
    <w:rsid w:val="001326B5"/>
    <w:rsid w:val="0013294E"/>
    <w:rsid w:val="0013336E"/>
    <w:rsid w:val="0013344D"/>
    <w:rsid w:val="001356C3"/>
    <w:rsid w:val="001368AD"/>
    <w:rsid w:val="001376E1"/>
    <w:rsid w:val="00140A6A"/>
    <w:rsid w:val="00141C85"/>
    <w:rsid w:val="00141FC2"/>
    <w:rsid w:val="00142952"/>
    <w:rsid w:val="001430D6"/>
    <w:rsid w:val="00145C96"/>
    <w:rsid w:val="00150ADE"/>
    <w:rsid w:val="00151B89"/>
    <w:rsid w:val="00153CFA"/>
    <w:rsid w:val="00153F53"/>
    <w:rsid w:val="001612EB"/>
    <w:rsid w:val="001631EA"/>
    <w:rsid w:val="0017000C"/>
    <w:rsid w:val="001715C0"/>
    <w:rsid w:val="00171CF9"/>
    <w:rsid w:val="001721B4"/>
    <w:rsid w:val="00174404"/>
    <w:rsid w:val="00175C6B"/>
    <w:rsid w:val="00175EE8"/>
    <w:rsid w:val="00180B93"/>
    <w:rsid w:val="00180B95"/>
    <w:rsid w:val="00180C18"/>
    <w:rsid w:val="0018110D"/>
    <w:rsid w:val="00182218"/>
    <w:rsid w:val="00183194"/>
    <w:rsid w:val="00187747"/>
    <w:rsid w:val="00193B71"/>
    <w:rsid w:val="001946B1"/>
    <w:rsid w:val="001A0E61"/>
    <w:rsid w:val="001A10CD"/>
    <w:rsid w:val="001A1837"/>
    <w:rsid w:val="001B6540"/>
    <w:rsid w:val="001B7560"/>
    <w:rsid w:val="001B7923"/>
    <w:rsid w:val="001C052B"/>
    <w:rsid w:val="001C0AB1"/>
    <w:rsid w:val="001C1D0E"/>
    <w:rsid w:val="001C26FC"/>
    <w:rsid w:val="001C419C"/>
    <w:rsid w:val="001C6C5F"/>
    <w:rsid w:val="001D453E"/>
    <w:rsid w:val="001D573B"/>
    <w:rsid w:val="001E1A79"/>
    <w:rsid w:val="001E20C5"/>
    <w:rsid w:val="001E655A"/>
    <w:rsid w:val="001E6E10"/>
    <w:rsid w:val="001E79D2"/>
    <w:rsid w:val="001F10C2"/>
    <w:rsid w:val="001F1D8F"/>
    <w:rsid w:val="001F22D9"/>
    <w:rsid w:val="001F3D60"/>
    <w:rsid w:val="00200AAC"/>
    <w:rsid w:val="002010E0"/>
    <w:rsid w:val="0020239B"/>
    <w:rsid w:val="00203BD5"/>
    <w:rsid w:val="00216C30"/>
    <w:rsid w:val="002220AC"/>
    <w:rsid w:val="00225A51"/>
    <w:rsid w:val="002272AA"/>
    <w:rsid w:val="00231480"/>
    <w:rsid w:val="00234640"/>
    <w:rsid w:val="002353C1"/>
    <w:rsid w:val="00242203"/>
    <w:rsid w:val="00242960"/>
    <w:rsid w:val="00255C62"/>
    <w:rsid w:val="00262065"/>
    <w:rsid w:val="00262A6A"/>
    <w:rsid w:val="002716A2"/>
    <w:rsid w:val="002752F2"/>
    <w:rsid w:val="00276739"/>
    <w:rsid w:val="0027712E"/>
    <w:rsid w:val="002819E2"/>
    <w:rsid w:val="002849BE"/>
    <w:rsid w:val="00286D77"/>
    <w:rsid w:val="00287FFB"/>
    <w:rsid w:val="00292093"/>
    <w:rsid w:val="00292E37"/>
    <w:rsid w:val="00292EEC"/>
    <w:rsid w:val="00294342"/>
    <w:rsid w:val="00294D0F"/>
    <w:rsid w:val="00294ECD"/>
    <w:rsid w:val="00296CFF"/>
    <w:rsid w:val="002A6A20"/>
    <w:rsid w:val="002B119C"/>
    <w:rsid w:val="002B1AE4"/>
    <w:rsid w:val="002B7B5E"/>
    <w:rsid w:val="002C0881"/>
    <w:rsid w:val="002C2CA1"/>
    <w:rsid w:val="002D097F"/>
    <w:rsid w:val="002D1A96"/>
    <w:rsid w:val="002D298B"/>
    <w:rsid w:val="002D43A2"/>
    <w:rsid w:val="002D6A28"/>
    <w:rsid w:val="002D72C2"/>
    <w:rsid w:val="002D79E5"/>
    <w:rsid w:val="002E1ADC"/>
    <w:rsid w:val="002E2694"/>
    <w:rsid w:val="002E275A"/>
    <w:rsid w:val="002E3097"/>
    <w:rsid w:val="002E3C34"/>
    <w:rsid w:val="002E3F66"/>
    <w:rsid w:val="002E52A4"/>
    <w:rsid w:val="002E53E9"/>
    <w:rsid w:val="002F0FF9"/>
    <w:rsid w:val="002F46E9"/>
    <w:rsid w:val="002F6BEA"/>
    <w:rsid w:val="0030086C"/>
    <w:rsid w:val="003010D9"/>
    <w:rsid w:val="003018B3"/>
    <w:rsid w:val="003022B9"/>
    <w:rsid w:val="00303424"/>
    <w:rsid w:val="00303EF8"/>
    <w:rsid w:val="00307EBA"/>
    <w:rsid w:val="00311741"/>
    <w:rsid w:val="00317C8D"/>
    <w:rsid w:val="00323881"/>
    <w:rsid w:val="00324244"/>
    <w:rsid w:val="003304E8"/>
    <w:rsid w:val="00330987"/>
    <w:rsid w:val="003366CD"/>
    <w:rsid w:val="003374EC"/>
    <w:rsid w:val="0034212E"/>
    <w:rsid w:val="00342514"/>
    <w:rsid w:val="00345585"/>
    <w:rsid w:val="003475EE"/>
    <w:rsid w:val="003478F0"/>
    <w:rsid w:val="0035403D"/>
    <w:rsid w:val="00356FAD"/>
    <w:rsid w:val="00356FDF"/>
    <w:rsid w:val="00360E83"/>
    <w:rsid w:val="0036186E"/>
    <w:rsid w:val="00361DE9"/>
    <w:rsid w:val="003653E4"/>
    <w:rsid w:val="00365C1A"/>
    <w:rsid w:val="00367824"/>
    <w:rsid w:val="003721DE"/>
    <w:rsid w:val="00372CE5"/>
    <w:rsid w:val="00372FC7"/>
    <w:rsid w:val="00373282"/>
    <w:rsid w:val="00374ECC"/>
    <w:rsid w:val="00377DF5"/>
    <w:rsid w:val="00377E56"/>
    <w:rsid w:val="00386203"/>
    <w:rsid w:val="0038748F"/>
    <w:rsid w:val="003879F3"/>
    <w:rsid w:val="00390A5B"/>
    <w:rsid w:val="00391AB9"/>
    <w:rsid w:val="00393223"/>
    <w:rsid w:val="003972D2"/>
    <w:rsid w:val="003A174B"/>
    <w:rsid w:val="003A20DC"/>
    <w:rsid w:val="003A3472"/>
    <w:rsid w:val="003B2C81"/>
    <w:rsid w:val="003B4639"/>
    <w:rsid w:val="003B4A8A"/>
    <w:rsid w:val="003B576E"/>
    <w:rsid w:val="003C0359"/>
    <w:rsid w:val="003C1B79"/>
    <w:rsid w:val="003C254A"/>
    <w:rsid w:val="003C2698"/>
    <w:rsid w:val="003C2F53"/>
    <w:rsid w:val="003C31AA"/>
    <w:rsid w:val="003C629F"/>
    <w:rsid w:val="003D05AC"/>
    <w:rsid w:val="003D2965"/>
    <w:rsid w:val="003D4EC9"/>
    <w:rsid w:val="003D5DBC"/>
    <w:rsid w:val="003D67D7"/>
    <w:rsid w:val="003E48F1"/>
    <w:rsid w:val="003E5664"/>
    <w:rsid w:val="003E6809"/>
    <w:rsid w:val="003F2259"/>
    <w:rsid w:val="003F4FA1"/>
    <w:rsid w:val="003F6231"/>
    <w:rsid w:val="003F67FA"/>
    <w:rsid w:val="003F7B88"/>
    <w:rsid w:val="004002EF"/>
    <w:rsid w:val="00400A09"/>
    <w:rsid w:val="004010EE"/>
    <w:rsid w:val="004025FF"/>
    <w:rsid w:val="004076FA"/>
    <w:rsid w:val="004139B8"/>
    <w:rsid w:val="00414388"/>
    <w:rsid w:val="004143EA"/>
    <w:rsid w:val="0042215D"/>
    <w:rsid w:val="00426A6E"/>
    <w:rsid w:val="00427216"/>
    <w:rsid w:val="004279EC"/>
    <w:rsid w:val="004309A8"/>
    <w:rsid w:val="00432412"/>
    <w:rsid w:val="00432920"/>
    <w:rsid w:val="004349A8"/>
    <w:rsid w:val="00436C92"/>
    <w:rsid w:val="00436D0E"/>
    <w:rsid w:val="00442D61"/>
    <w:rsid w:val="00445613"/>
    <w:rsid w:val="00446207"/>
    <w:rsid w:val="00446D5A"/>
    <w:rsid w:val="00446DB3"/>
    <w:rsid w:val="00447688"/>
    <w:rsid w:val="00453425"/>
    <w:rsid w:val="00453F02"/>
    <w:rsid w:val="00457FEE"/>
    <w:rsid w:val="00460251"/>
    <w:rsid w:val="004612A0"/>
    <w:rsid w:val="00461EFE"/>
    <w:rsid w:val="00462259"/>
    <w:rsid w:val="0046254C"/>
    <w:rsid w:val="004633AD"/>
    <w:rsid w:val="00463762"/>
    <w:rsid w:val="004648BF"/>
    <w:rsid w:val="0046585E"/>
    <w:rsid w:val="004677BD"/>
    <w:rsid w:val="00477AA5"/>
    <w:rsid w:val="004814D8"/>
    <w:rsid w:val="00482D89"/>
    <w:rsid w:val="0048315F"/>
    <w:rsid w:val="004832D6"/>
    <w:rsid w:val="00490435"/>
    <w:rsid w:val="0049054F"/>
    <w:rsid w:val="004938E9"/>
    <w:rsid w:val="00496791"/>
    <w:rsid w:val="004979A8"/>
    <w:rsid w:val="004A176C"/>
    <w:rsid w:val="004A2988"/>
    <w:rsid w:val="004A3D22"/>
    <w:rsid w:val="004A40B6"/>
    <w:rsid w:val="004A516F"/>
    <w:rsid w:val="004A5762"/>
    <w:rsid w:val="004A6A8C"/>
    <w:rsid w:val="004B2763"/>
    <w:rsid w:val="004B5C5F"/>
    <w:rsid w:val="004C372E"/>
    <w:rsid w:val="004C4B70"/>
    <w:rsid w:val="004D11EF"/>
    <w:rsid w:val="004D185D"/>
    <w:rsid w:val="004D1C81"/>
    <w:rsid w:val="004D21A7"/>
    <w:rsid w:val="004D372C"/>
    <w:rsid w:val="004D3883"/>
    <w:rsid w:val="004D4572"/>
    <w:rsid w:val="004E1295"/>
    <w:rsid w:val="004E6A88"/>
    <w:rsid w:val="004F1B48"/>
    <w:rsid w:val="004F2E80"/>
    <w:rsid w:val="0050096E"/>
    <w:rsid w:val="00501F9B"/>
    <w:rsid w:val="00507EF5"/>
    <w:rsid w:val="005118A6"/>
    <w:rsid w:val="0051353E"/>
    <w:rsid w:val="00514F20"/>
    <w:rsid w:val="005172D2"/>
    <w:rsid w:val="00517D95"/>
    <w:rsid w:val="005210B9"/>
    <w:rsid w:val="005224DA"/>
    <w:rsid w:val="0052352D"/>
    <w:rsid w:val="00523977"/>
    <w:rsid w:val="005246D6"/>
    <w:rsid w:val="005303AE"/>
    <w:rsid w:val="0053256C"/>
    <w:rsid w:val="00533CF4"/>
    <w:rsid w:val="00536C61"/>
    <w:rsid w:val="00537604"/>
    <w:rsid w:val="005411C4"/>
    <w:rsid w:val="00545B7D"/>
    <w:rsid w:val="00546886"/>
    <w:rsid w:val="005522D8"/>
    <w:rsid w:val="00552413"/>
    <w:rsid w:val="00552C35"/>
    <w:rsid w:val="00553851"/>
    <w:rsid w:val="005551DB"/>
    <w:rsid w:val="00555DFA"/>
    <w:rsid w:val="0056045F"/>
    <w:rsid w:val="00561A5A"/>
    <w:rsid w:val="0056311E"/>
    <w:rsid w:val="0056565B"/>
    <w:rsid w:val="00566661"/>
    <w:rsid w:val="00567F36"/>
    <w:rsid w:val="00572B38"/>
    <w:rsid w:val="00573A30"/>
    <w:rsid w:val="00574258"/>
    <w:rsid w:val="0057490F"/>
    <w:rsid w:val="00590104"/>
    <w:rsid w:val="00594B2F"/>
    <w:rsid w:val="00595530"/>
    <w:rsid w:val="005966FA"/>
    <w:rsid w:val="00597A23"/>
    <w:rsid w:val="005A01C5"/>
    <w:rsid w:val="005A18C8"/>
    <w:rsid w:val="005B2809"/>
    <w:rsid w:val="005C0A59"/>
    <w:rsid w:val="005C1669"/>
    <w:rsid w:val="005C1C6A"/>
    <w:rsid w:val="005C2A3E"/>
    <w:rsid w:val="005C32BD"/>
    <w:rsid w:val="005C4220"/>
    <w:rsid w:val="005C4595"/>
    <w:rsid w:val="005C665D"/>
    <w:rsid w:val="005C75C8"/>
    <w:rsid w:val="005C79F4"/>
    <w:rsid w:val="005C7C6C"/>
    <w:rsid w:val="005D7277"/>
    <w:rsid w:val="005E229C"/>
    <w:rsid w:val="005E23B2"/>
    <w:rsid w:val="005E4A56"/>
    <w:rsid w:val="005E7E65"/>
    <w:rsid w:val="005F19DF"/>
    <w:rsid w:val="005F1C5F"/>
    <w:rsid w:val="005F712E"/>
    <w:rsid w:val="00605C5E"/>
    <w:rsid w:val="0060707D"/>
    <w:rsid w:val="006070EA"/>
    <w:rsid w:val="0061362E"/>
    <w:rsid w:val="00616AE8"/>
    <w:rsid w:val="006225E6"/>
    <w:rsid w:val="00622FF9"/>
    <w:rsid w:val="0062776C"/>
    <w:rsid w:val="00630237"/>
    <w:rsid w:val="00630D30"/>
    <w:rsid w:val="00632420"/>
    <w:rsid w:val="00633419"/>
    <w:rsid w:val="00633B39"/>
    <w:rsid w:val="00635DAE"/>
    <w:rsid w:val="00636FF3"/>
    <w:rsid w:val="00637336"/>
    <w:rsid w:val="0063766D"/>
    <w:rsid w:val="006405A4"/>
    <w:rsid w:val="006414C7"/>
    <w:rsid w:val="00642268"/>
    <w:rsid w:val="006459FD"/>
    <w:rsid w:val="0064775D"/>
    <w:rsid w:val="00647E9C"/>
    <w:rsid w:val="0065096B"/>
    <w:rsid w:val="00654377"/>
    <w:rsid w:val="00655011"/>
    <w:rsid w:val="006552EA"/>
    <w:rsid w:val="006567EE"/>
    <w:rsid w:val="0065733E"/>
    <w:rsid w:val="00662073"/>
    <w:rsid w:val="0066390E"/>
    <w:rsid w:val="00666175"/>
    <w:rsid w:val="00667374"/>
    <w:rsid w:val="00676239"/>
    <w:rsid w:val="006777E9"/>
    <w:rsid w:val="00682B9C"/>
    <w:rsid w:val="00684B1B"/>
    <w:rsid w:val="00686AB2"/>
    <w:rsid w:val="0069295E"/>
    <w:rsid w:val="006A0613"/>
    <w:rsid w:val="006A4BF2"/>
    <w:rsid w:val="006B0320"/>
    <w:rsid w:val="006B547C"/>
    <w:rsid w:val="006B56FE"/>
    <w:rsid w:val="006C1F83"/>
    <w:rsid w:val="006C5415"/>
    <w:rsid w:val="006C7A34"/>
    <w:rsid w:val="006D06AA"/>
    <w:rsid w:val="006D0CBB"/>
    <w:rsid w:val="006D46EA"/>
    <w:rsid w:val="006D5FAF"/>
    <w:rsid w:val="006D6472"/>
    <w:rsid w:val="006D6D39"/>
    <w:rsid w:val="006E2CA5"/>
    <w:rsid w:val="006E2F04"/>
    <w:rsid w:val="006E35FA"/>
    <w:rsid w:val="006E4281"/>
    <w:rsid w:val="006E69AD"/>
    <w:rsid w:val="006F11E9"/>
    <w:rsid w:val="006F2594"/>
    <w:rsid w:val="006F28AD"/>
    <w:rsid w:val="006F3541"/>
    <w:rsid w:val="006F744F"/>
    <w:rsid w:val="00701421"/>
    <w:rsid w:val="007026AF"/>
    <w:rsid w:val="00702F5C"/>
    <w:rsid w:val="0070365B"/>
    <w:rsid w:val="007069BB"/>
    <w:rsid w:val="007078B0"/>
    <w:rsid w:val="00710E30"/>
    <w:rsid w:val="007123B7"/>
    <w:rsid w:val="00712D48"/>
    <w:rsid w:val="007227A7"/>
    <w:rsid w:val="00723F22"/>
    <w:rsid w:val="007272FD"/>
    <w:rsid w:val="00732B2D"/>
    <w:rsid w:val="0073743F"/>
    <w:rsid w:val="00742897"/>
    <w:rsid w:val="007478F3"/>
    <w:rsid w:val="0075438D"/>
    <w:rsid w:val="00754493"/>
    <w:rsid w:val="00754909"/>
    <w:rsid w:val="0076252D"/>
    <w:rsid w:val="00765989"/>
    <w:rsid w:val="00766456"/>
    <w:rsid w:val="00766CBE"/>
    <w:rsid w:val="0077008E"/>
    <w:rsid w:val="00770C35"/>
    <w:rsid w:val="007744F9"/>
    <w:rsid w:val="00777A8D"/>
    <w:rsid w:val="00777C97"/>
    <w:rsid w:val="00783638"/>
    <w:rsid w:val="00783728"/>
    <w:rsid w:val="00784E13"/>
    <w:rsid w:val="00784F3F"/>
    <w:rsid w:val="0078566C"/>
    <w:rsid w:val="00790459"/>
    <w:rsid w:val="00794962"/>
    <w:rsid w:val="00794D00"/>
    <w:rsid w:val="00796849"/>
    <w:rsid w:val="007A169E"/>
    <w:rsid w:val="007A4441"/>
    <w:rsid w:val="007A4E04"/>
    <w:rsid w:val="007A5621"/>
    <w:rsid w:val="007A79CC"/>
    <w:rsid w:val="007B30FA"/>
    <w:rsid w:val="007B7A52"/>
    <w:rsid w:val="007C0568"/>
    <w:rsid w:val="007C34EB"/>
    <w:rsid w:val="007C36CC"/>
    <w:rsid w:val="007C5570"/>
    <w:rsid w:val="007C5949"/>
    <w:rsid w:val="007C7D29"/>
    <w:rsid w:val="007D252D"/>
    <w:rsid w:val="007D4D18"/>
    <w:rsid w:val="007F0313"/>
    <w:rsid w:val="007F09D0"/>
    <w:rsid w:val="007F1305"/>
    <w:rsid w:val="007F1E2C"/>
    <w:rsid w:val="007F7660"/>
    <w:rsid w:val="00800B4E"/>
    <w:rsid w:val="00803659"/>
    <w:rsid w:val="0080590D"/>
    <w:rsid w:val="008144B9"/>
    <w:rsid w:val="00815633"/>
    <w:rsid w:val="008157E4"/>
    <w:rsid w:val="008158AB"/>
    <w:rsid w:val="00817DF2"/>
    <w:rsid w:val="00820D20"/>
    <w:rsid w:val="00823595"/>
    <w:rsid w:val="008247BF"/>
    <w:rsid w:val="00825962"/>
    <w:rsid w:val="008269E4"/>
    <w:rsid w:val="00834530"/>
    <w:rsid w:val="00836A89"/>
    <w:rsid w:val="00841AB1"/>
    <w:rsid w:val="008421AA"/>
    <w:rsid w:val="00842EFE"/>
    <w:rsid w:val="00845216"/>
    <w:rsid w:val="0084761C"/>
    <w:rsid w:val="00851AC9"/>
    <w:rsid w:val="00855803"/>
    <w:rsid w:val="0086056E"/>
    <w:rsid w:val="00860861"/>
    <w:rsid w:val="00862267"/>
    <w:rsid w:val="0086316F"/>
    <w:rsid w:val="00865528"/>
    <w:rsid w:val="00865F42"/>
    <w:rsid w:val="008667E0"/>
    <w:rsid w:val="008725F5"/>
    <w:rsid w:val="00874DD4"/>
    <w:rsid w:val="0087714D"/>
    <w:rsid w:val="00880E96"/>
    <w:rsid w:val="00884E53"/>
    <w:rsid w:val="00885977"/>
    <w:rsid w:val="00887CF4"/>
    <w:rsid w:val="00887DF5"/>
    <w:rsid w:val="00893A9F"/>
    <w:rsid w:val="00893F7F"/>
    <w:rsid w:val="00897FA6"/>
    <w:rsid w:val="008A39D5"/>
    <w:rsid w:val="008A614E"/>
    <w:rsid w:val="008A74F9"/>
    <w:rsid w:val="008A7E47"/>
    <w:rsid w:val="008B61E3"/>
    <w:rsid w:val="008C1EB1"/>
    <w:rsid w:val="008C2262"/>
    <w:rsid w:val="008C2902"/>
    <w:rsid w:val="008C3CC7"/>
    <w:rsid w:val="008C7298"/>
    <w:rsid w:val="008D0347"/>
    <w:rsid w:val="008D03A1"/>
    <w:rsid w:val="008D2701"/>
    <w:rsid w:val="008D290B"/>
    <w:rsid w:val="008D451D"/>
    <w:rsid w:val="008E1B27"/>
    <w:rsid w:val="008E476C"/>
    <w:rsid w:val="008E65EF"/>
    <w:rsid w:val="008F3F03"/>
    <w:rsid w:val="00902D39"/>
    <w:rsid w:val="00907521"/>
    <w:rsid w:val="009114B3"/>
    <w:rsid w:val="00912471"/>
    <w:rsid w:val="009168B2"/>
    <w:rsid w:val="00925E91"/>
    <w:rsid w:val="00931E75"/>
    <w:rsid w:val="0093464B"/>
    <w:rsid w:val="00937F2C"/>
    <w:rsid w:val="009415D5"/>
    <w:rsid w:val="00942E9F"/>
    <w:rsid w:val="0094609D"/>
    <w:rsid w:val="009523D1"/>
    <w:rsid w:val="00954D3E"/>
    <w:rsid w:val="0095689A"/>
    <w:rsid w:val="00956F58"/>
    <w:rsid w:val="00957297"/>
    <w:rsid w:val="009605D6"/>
    <w:rsid w:val="00961EB2"/>
    <w:rsid w:val="009655E3"/>
    <w:rsid w:val="00965D49"/>
    <w:rsid w:val="009663BE"/>
    <w:rsid w:val="009674FC"/>
    <w:rsid w:val="009702B3"/>
    <w:rsid w:val="00971221"/>
    <w:rsid w:val="0097196B"/>
    <w:rsid w:val="009726DF"/>
    <w:rsid w:val="00973351"/>
    <w:rsid w:val="009757FA"/>
    <w:rsid w:val="00977C36"/>
    <w:rsid w:val="009832A7"/>
    <w:rsid w:val="00983359"/>
    <w:rsid w:val="00984F54"/>
    <w:rsid w:val="0099382A"/>
    <w:rsid w:val="00995768"/>
    <w:rsid w:val="00995E98"/>
    <w:rsid w:val="00996F0B"/>
    <w:rsid w:val="009A1451"/>
    <w:rsid w:val="009A27B5"/>
    <w:rsid w:val="009A3C8A"/>
    <w:rsid w:val="009A468F"/>
    <w:rsid w:val="009A639F"/>
    <w:rsid w:val="009B592E"/>
    <w:rsid w:val="009B5F95"/>
    <w:rsid w:val="009C0C62"/>
    <w:rsid w:val="009C1379"/>
    <w:rsid w:val="009C2C87"/>
    <w:rsid w:val="009C37CC"/>
    <w:rsid w:val="009C3CA5"/>
    <w:rsid w:val="009C3FC4"/>
    <w:rsid w:val="009C52EE"/>
    <w:rsid w:val="009C5388"/>
    <w:rsid w:val="009C66BC"/>
    <w:rsid w:val="009D246B"/>
    <w:rsid w:val="009E5A6F"/>
    <w:rsid w:val="009E68E1"/>
    <w:rsid w:val="009F0CBC"/>
    <w:rsid w:val="009F47C1"/>
    <w:rsid w:val="009F5585"/>
    <w:rsid w:val="009F652B"/>
    <w:rsid w:val="009F65A7"/>
    <w:rsid w:val="00A00AA2"/>
    <w:rsid w:val="00A0256F"/>
    <w:rsid w:val="00A02814"/>
    <w:rsid w:val="00A0304D"/>
    <w:rsid w:val="00A034B6"/>
    <w:rsid w:val="00A0410B"/>
    <w:rsid w:val="00A04E7E"/>
    <w:rsid w:val="00A11455"/>
    <w:rsid w:val="00A145C1"/>
    <w:rsid w:val="00A16C40"/>
    <w:rsid w:val="00A2045B"/>
    <w:rsid w:val="00A21998"/>
    <w:rsid w:val="00A23F83"/>
    <w:rsid w:val="00A2569F"/>
    <w:rsid w:val="00A25A1F"/>
    <w:rsid w:val="00A2739C"/>
    <w:rsid w:val="00A27BA3"/>
    <w:rsid w:val="00A35321"/>
    <w:rsid w:val="00A37784"/>
    <w:rsid w:val="00A43864"/>
    <w:rsid w:val="00A43BED"/>
    <w:rsid w:val="00A44086"/>
    <w:rsid w:val="00A46551"/>
    <w:rsid w:val="00A5340A"/>
    <w:rsid w:val="00A53EFE"/>
    <w:rsid w:val="00A54437"/>
    <w:rsid w:val="00A555C6"/>
    <w:rsid w:val="00A55FCF"/>
    <w:rsid w:val="00A61536"/>
    <w:rsid w:val="00A627D8"/>
    <w:rsid w:val="00A643A0"/>
    <w:rsid w:val="00A746EE"/>
    <w:rsid w:val="00A75DFD"/>
    <w:rsid w:val="00A76301"/>
    <w:rsid w:val="00A830EA"/>
    <w:rsid w:val="00A8738C"/>
    <w:rsid w:val="00A92A12"/>
    <w:rsid w:val="00A94C4A"/>
    <w:rsid w:val="00A95CDA"/>
    <w:rsid w:val="00AA1287"/>
    <w:rsid w:val="00AA262C"/>
    <w:rsid w:val="00AA7711"/>
    <w:rsid w:val="00AA7F72"/>
    <w:rsid w:val="00AB23B5"/>
    <w:rsid w:val="00AB3E09"/>
    <w:rsid w:val="00AB4A28"/>
    <w:rsid w:val="00AB5782"/>
    <w:rsid w:val="00AB6E24"/>
    <w:rsid w:val="00AC217F"/>
    <w:rsid w:val="00AC4A04"/>
    <w:rsid w:val="00AC50FD"/>
    <w:rsid w:val="00AC52B0"/>
    <w:rsid w:val="00AD2B24"/>
    <w:rsid w:val="00AD5B6A"/>
    <w:rsid w:val="00AE09C3"/>
    <w:rsid w:val="00AE2859"/>
    <w:rsid w:val="00AE38E1"/>
    <w:rsid w:val="00AE5B2B"/>
    <w:rsid w:val="00AE71B5"/>
    <w:rsid w:val="00AF01B5"/>
    <w:rsid w:val="00AF4B52"/>
    <w:rsid w:val="00AF4E5B"/>
    <w:rsid w:val="00AF77A5"/>
    <w:rsid w:val="00B0049E"/>
    <w:rsid w:val="00B00AFC"/>
    <w:rsid w:val="00B00C58"/>
    <w:rsid w:val="00B03A20"/>
    <w:rsid w:val="00B07374"/>
    <w:rsid w:val="00B1070B"/>
    <w:rsid w:val="00B11F83"/>
    <w:rsid w:val="00B131AC"/>
    <w:rsid w:val="00B21084"/>
    <w:rsid w:val="00B248A2"/>
    <w:rsid w:val="00B25832"/>
    <w:rsid w:val="00B2661F"/>
    <w:rsid w:val="00B276BE"/>
    <w:rsid w:val="00B279D9"/>
    <w:rsid w:val="00B307DD"/>
    <w:rsid w:val="00B309E6"/>
    <w:rsid w:val="00B31FB0"/>
    <w:rsid w:val="00B32568"/>
    <w:rsid w:val="00B325D9"/>
    <w:rsid w:val="00B351CF"/>
    <w:rsid w:val="00B3583B"/>
    <w:rsid w:val="00B40447"/>
    <w:rsid w:val="00B40E9C"/>
    <w:rsid w:val="00B4765A"/>
    <w:rsid w:val="00B47AC7"/>
    <w:rsid w:val="00B6017B"/>
    <w:rsid w:val="00B60872"/>
    <w:rsid w:val="00B679BF"/>
    <w:rsid w:val="00B71247"/>
    <w:rsid w:val="00B7357E"/>
    <w:rsid w:val="00B7569A"/>
    <w:rsid w:val="00B8135E"/>
    <w:rsid w:val="00B83B39"/>
    <w:rsid w:val="00B83D54"/>
    <w:rsid w:val="00B855BD"/>
    <w:rsid w:val="00B85629"/>
    <w:rsid w:val="00B91EA9"/>
    <w:rsid w:val="00B92C46"/>
    <w:rsid w:val="00B93B52"/>
    <w:rsid w:val="00B975A5"/>
    <w:rsid w:val="00BA0D28"/>
    <w:rsid w:val="00BA1186"/>
    <w:rsid w:val="00BA2ADA"/>
    <w:rsid w:val="00BB10D6"/>
    <w:rsid w:val="00BB2F3D"/>
    <w:rsid w:val="00BB4187"/>
    <w:rsid w:val="00BC059C"/>
    <w:rsid w:val="00BC1C4A"/>
    <w:rsid w:val="00BC348B"/>
    <w:rsid w:val="00BC55E4"/>
    <w:rsid w:val="00BC5C7D"/>
    <w:rsid w:val="00BD4A2A"/>
    <w:rsid w:val="00BD6F81"/>
    <w:rsid w:val="00BD7E09"/>
    <w:rsid w:val="00BE08DD"/>
    <w:rsid w:val="00BE5D00"/>
    <w:rsid w:val="00BE676E"/>
    <w:rsid w:val="00BE7633"/>
    <w:rsid w:val="00BF4C85"/>
    <w:rsid w:val="00BF51D7"/>
    <w:rsid w:val="00BF5995"/>
    <w:rsid w:val="00C00E73"/>
    <w:rsid w:val="00C01234"/>
    <w:rsid w:val="00C02DC4"/>
    <w:rsid w:val="00C05525"/>
    <w:rsid w:val="00C13656"/>
    <w:rsid w:val="00C140F5"/>
    <w:rsid w:val="00C14786"/>
    <w:rsid w:val="00C21A3F"/>
    <w:rsid w:val="00C268FF"/>
    <w:rsid w:val="00C314A5"/>
    <w:rsid w:val="00C3161E"/>
    <w:rsid w:val="00C33478"/>
    <w:rsid w:val="00C409CC"/>
    <w:rsid w:val="00C505FC"/>
    <w:rsid w:val="00C52E02"/>
    <w:rsid w:val="00C530CC"/>
    <w:rsid w:val="00C5630D"/>
    <w:rsid w:val="00C60006"/>
    <w:rsid w:val="00C6194F"/>
    <w:rsid w:val="00C63A09"/>
    <w:rsid w:val="00C65BDF"/>
    <w:rsid w:val="00C65F2E"/>
    <w:rsid w:val="00C73CFB"/>
    <w:rsid w:val="00C83B06"/>
    <w:rsid w:val="00C842DB"/>
    <w:rsid w:val="00C84F90"/>
    <w:rsid w:val="00C86073"/>
    <w:rsid w:val="00C86512"/>
    <w:rsid w:val="00C93391"/>
    <w:rsid w:val="00C95375"/>
    <w:rsid w:val="00C9544C"/>
    <w:rsid w:val="00C960E8"/>
    <w:rsid w:val="00C97F33"/>
    <w:rsid w:val="00CA05DE"/>
    <w:rsid w:val="00CA3179"/>
    <w:rsid w:val="00CA4F5F"/>
    <w:rsid w:val="00CA7D34"/>
    <w:rsid w:val="00CB1C0F"/>
    <w:rsid w:val="00CB2192"/>
    <w:rsid w:val="00CB50E6"/>
    <w:rsid w:val="00CB75A1"/>
    <w:rsid w:val="00CC0C9B"/>
    <w:rsid w:val="00CC447C"/>
    <w:rsid w:val="00CC6D78"/>
    <w:rsid w:val="00CD2B6C"/>
    <w:rsid w:val="00CD5285"/>
    <w:rsid w:val="00CE07B3"/>
    <w:rsid w:val="00CE1C50"/>
    <w:rsid w:val="00CE773A"/>
    <w:rsid w:val="00CF20DC"/>
    <w:rsid w:val="00CF2F21"/>
    <w:rsid w:val="00CF567D"/>
    <w:rsid w:val="00CF567F"/>
    <w:rsid w:val="00D020CE"/>
    <w:rsid w:val="00D021BB"/>
    <w:rsid w:val="00D031C4"/>
    <w:rsid w:val="00D04AE6"/>
    <w:rsid w:val="00D069D6"/>
    <w:rsid w:val="00D07C21"/>
    <w:rsid w:val="00D1083E"/>
    <w:rsid w:val="00D110A0"/>
    <w:rsid w:val="00D121BA"/>
    <w:rsid w:val="00D13630"/>
    <w:rsid w:val="00D13BC1"/>
    <w:rsid w:val="00D1470C"/>
    <w:rsid w:val="00D153C7"/>
    <w:rsid w:val="00D16F0C"/>
    <w:rsid w:val="00D22EF2"/>
    <w:rsid w:val="00D24F16"/>
    <w:rsid w:val="00D26460"/>
    <w:rsid w:val="00D26E06"/>
    <w:rsid w:val="00D26F82"/>
    <w:rsid w:val="00D27E4F"/>
    <w:rsid w:val="00D34AFD"/>
    <w:rsid w:val="00D351EE"/>
    <w:rsid w:val="00D36551"/>
    <w:rsid w:val="00D40097"/>
    <w:rsid w:val="00D40937"/>
    <w:rsid w:val="00D445FC"/>
    <w:rsid w:val="00D47959"/>
    <w:rsid w:val="00D500A2"/>
    <w:rsid w:val="00D538DB"/>
    <w:rsid w:val="00D54E8E"/>
    <w:rsid w:val="00D55311"/>
    <w:rsid w:val="00D55CD3"/>
    <w:rsid w:val="00D56298"/>
    <w:rsid w:val="00D57EC2"/>
    <w:rsid w:val="00D60A4F"/>
    <w:rsid w:val="00D623D4"/>
    <w:rsid w:val="00D62B5A"/>
    <w:rsid w:val="00D64B0A"/>
    <w:rsid w:val="00D66EF0"/>
    <w:rsid w:val="00D74128"/>
    <w:rsid w:val="00D745DD"/>
    <w:rsid w:val="00D74AD3"/>
    <w:rsid w:val="00D74D67"/>
    <w:rsid w:val="00D76391"/>
    <w:rsid w:val="00D77798"/>
    <w:rsid w:val="00D8190D"/>
    <w:rsid w:val="00D82467"/>
    <w:rsid w:val="00D82EBB"/>
    <w:rsid w:val="00D84642"/>
    <w:rsid w:val="00D867A2"/>
    <w:rsid w:val="00D94B65"/>
    <w:rsid w:val="00DA0895"/>
    <w:rsid w:val="00DA4546"/>
    <w:rsid w:val="00DA7C48"/>
    <w:rsid w:val="00DB009C"/>
    <w:rsid w:val="00DB1665"/>
    <w:rsid w:val="00DC1DDD"/>
    <w:rsid w:val="00DC4EF9"/>
    <w:rsid w:val="00DC5F53"/>
    <w:rsid w:val="00DC622F"/>
    <w:rsid w:val="00DD0F6E"/>
    <w:rsid w:val="00DE099F"/>
    <w:rsid w:val="00DE5200"/>
    <w:rsid w:val="00DE5AA4"/>
    <w:rsid w:val="00DE5B72"/>
    <w:rsid w:val="00DE5DE3"/>
    <w:rsid w:val="00DF0163"/>
    <w:rsid w:val="00DF147C"/>
    <w:rsid w:val="00E018B6"/>
    <w:rsid w:val="00E01B79"/>
    <w:rsid w:val="00E0268B"/>
    <w:rsid w:val="00E06831"/>
    <w:rsid w:val="00E06B86"/>
    <w:rsid w:val="00E07ECD"/>
    <w:rsid w:val="00E1430E"/>
    <w:rsid w:val="00E15368"/>
    <w:rsid w:val="00E156CF"/>
    <w:rsid w:val="00E179AE"/>
    <w:rsid w:val="00E228EF"/>
    <w:rsid w:val="00E246E7"/>
    <w:rsid w:val="00E25C3F"/>
    <w:rsid w:val="00E27462"/>
    <w:rsid w:val="00E3028A"/>
    <w:rsid w:val="00E30637"/>
    <w:rsid w:val="00E30F75"/>
    <w:rsid w:val="00E31876"/>
    <w:rsid w:val="00E4594D"/>
    <w:rsid w:val="00E46895"/>
    <w:rsid w:val="00E46E98"/>
    <w:rsid w:val="00E55D4B"/>
    <w:rsid w:val="00E644D6"/>
    <w:rsid w:val="00E64AFB"/>
    <w:rsid w:val="00E65D52"/>
    <w:rsid w:val="00E71547"/>
    <w:rsid w:val="00E71B38"/>
    <w:rsid w:val="00E72539"/>
    <w:rsid w:val="00E742CF"/>
    <w:rsid w:val="00E7488D"/>
    <w:rsid w:val="00E769D2"/>
    <w:rsid w:val="00E76DF6"/>
    <w:rsid w:val="00E77746"/>
    <w:rsid w:val="00E808F3"/>
    <w:rsid w:val="00E813E2"/>
    <w:rsid w:val="00E816A9"/>
    <w:rsid w:val="00E82FF9"/>
    <w:rsid w:val="00E848B9"/>
    <w:rsid w:val="00E84D7D"/>
    <w:rsid w:val="00E8550B"/>
    <w:rsid w:val="00E86D16"/>
    <w:rsid w:val="00E8740C"/>
    <w:rsid w:val="00E9120F"/>
    <w:rsid w:val="00E95D90"/>
    <w:rsid w:val="00E96E84"/>
    <w:rsid w:val="00EA1980"/>
    <w:rsid w:val="00EA1CF1"/>
    <w:rsid w:val="00EA1E84"/>
    <w:rsid w:val="00EA22EF"/>
    <w:rsid w:val="00EA2306"/>
    <w:rsid w:val="00EA3FC0"/>
    <w:rsid w:val="00EA45DF"/>
    <w:rsid w:val="00EA63FC"/>
    <w:rsid w:val="00EA6D39"/>
    <w:rsid w:val="00EB0837"/>
    <w:rsid w:val="00EB57EA"/>
    <w:rsid w:val="00EC0BA2"/>
    <w:rsid w:val="00EC26CD"/>
    <w:rsid w:val="00EC5085"/>
    <w:rsid w:val="00EC62F6"/>
    <w:rsid w:val="00ED142C"/>
    <w:rsid w:val="00ED151F"/>
    <w:rsid w:val="00ED1CE1"/>
    <w:rsid w:val="00ED504D"/>
    <w:rsid w:val="00ED532F"/>
    <w:rsid w:val="00ED738F"/>
    <w:rsid w:val="00EE08E1"/>
    <w:rsid w:val="00EE1A54"/>
    <w:rsid w:val="00EE3C38"/>
    <w:rsid w:val="00EE431D"/>
    <w:rsid w:val="00EE669B"/>
    <w:rsid w:val="00EF0BFA"/>
    <w:rsid w:val="00EF2AAA"/>
    <w:rsid w:val="00EF5FC3"/>
    <w:rsid w:val="00F0416E"/>
    <w:rsid w:val="00F061DF"/>
    <w:rsid w:val="00F069D2"/>
    <w:rsid w:val="00F06FBB"/>
    <w:rsid w:val="00F14EC7"/>
    <w:rsid w:val="00F1527A"/>
    <w:rsid w:val="00F162BB"/>
    <w:rsid w:val="00F17532"/>
    <w:rsid w:val="00F17AF2"/>
    <w:rsid w:val="00F210C1"/>
    <w:rsid w:val="00F231DD"/>
    <w:rsid w:val="00F234F1"/>
    <w:rsid w:val="00F241F4"/>
    <w:rsid w:val="00F2670D"/>
    <w:rsid w:val="00F31C2F"/>
    <w:rsid w:val="00F34273"/>
    <w:rsid w:val="00F348CB"/>
    <w:rsid w:val="00F34CC1"/>
    <w:rsid w:val="00F35ACC"/>
    <w:rsid w:val="00F47430"/>
    <w:rsid w:val="00F47BBA"/>
    <w:rsid w:val="00F5029A"/>
    <w:rsid w:val="00F52364"/>
    <w:rsid w:val="00F527C8"/>
    <w:rsid w:val="00F53270"/>
    <w:rsid w:val="00F53498"/>
    <w:rsid w:val="00F55917"/>
    <w:rsid w:val="00F56DE5"/>
    <w:rsid w:val="00F57C9F"/>
    <w:rsid w:val="00F61053"/>
    <w:rsid w:val="00F63F79"/>
    <w:rsid w:val="00F64FBB"/>
    <w:rsid w:val="00F7257D"/>
    <w:rsid w:val="00F73EEB"/>
    <w:rsid w:val="00F75BBC"/>
    <w:rsid w:val="00F81570"/>
    <w:rsid w:val="00F81A6F"/>
    <w:rsid w:val="00F83C11"/>
    <w:rsid w:val="00F8422B"/>
    <w:rsid w:val="00F90917"/>
    <w:rsid w:val="00F91095"/>
    <w:rsid w:val="00F9280C"/>
    <w:rsid w:val="00F970F6"/>
    <w:rsid w:val="00FA1310"/>
    <w:rsid w:val="00FA2931"/>
    <w:rsid w:val="00FA39C2"/>
    <w:rsid w:val="00FA51B7"/>
    <w:rsid w:val="00FB1035"/>
    <w:rsid w:val="00FB113C"/>
    <w:rsid w:val="00FB58DA"/>
    <w:rsid w:val="00FB6789"/>
    <w:rsid w:val="00FB7198"/>
    <w:rsid w:val="00FC307A"/>
    <w:rsid w:val="00FD0B9C"/>
    <w:rsid w:val="00FD0E0C"/>
    <w:rsid w:val="00FD36C5"/>
    <w:rsid w:val="00FD3DED"/>
    <w:rsid w:val="00FD4489"/>
    <w:rsid w:val="00FD4ACB"/>
    <w:rsid w:val="00FD7206"/>
    <w:rsid w:val="00FD7F5F"/>
    <w:rsid w:val="00FE0D5B"/>
    <w:rsid w:val="00FE2F80"/>
    <w:rsid w:val="00FE7D7F"/>
    <w:rsid w:val="00FF29FC"/>
    <w:rsid w:val="00FF3E42"/>
    <w:rsid w:val="00FF49CA"/>
    <w:rsid w:val="00FF56B3"/>
    <w:rsid w:val="00FF7B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A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0E361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326B5"/>
    <w:pPr>
      <w:spacing w:after="0" w:line="240" w:lineRule="auto"/>
    </w:pPr>
    <w:rPr>
      <w:sz w:val="20"/>
      <w:szCs w:val="20"/>
    </w:rPr>
  </w:style>
  <w:style w:type="character" w:customStyle="1" w:styleId="FootnoteTextChar">
    <w:name w:val="Footnote Text Char"/>
    <w:basedOn w:val="DefaultParagraphFont"/>
    <w:link w:val="FootnoteText"/>
    <w:uiPriority w:val="99"/>
    <w:rsid w:val="001326B5"/>
    <w:rPr>
      <w:sz w:val="20"/>
      <w:szCs w:val="20"/>
    </w:rPr>
  </w:style>
  <w:style w:type="character" w:styleId="FootnoteReference">
    <w:name w:val="footnote reference"/>
    <w:basedOn w:val="DefaultParagraphFont"/>
    <w:uiPriority w:val="99"/>
    <w:semiHidden/>
    <w:unhideWhenUsed/>
    <w:rsid w:val="001326B5"/>
    <w:rPr>
      <w:vertAlign w:val="superscript"/>
    </w:rPr>
  </w:style>
  <w:style w:type="character" w:styleId="Hyperlink">
    <w:name w:val="Hyperlink"/>
    <w:basedOn w:val="DefaultParagraphFont"/>
    <w:uiPriority w:val="99"/>
    <w:unhideWhenUsed/>
    <w:rsid w:val="00BC059C"/>
    <w:rPr>
      <w:color w:val="0000FF" w:themeColor="hyperlink"/>
      <w:u w:val="single"/>
    </w:rPr>
  </w:style>
  <w:style w:type="paragraph" w:styleId="ListParagraph">
    <w:name w:val="List Paragraph"/>
    <w:basedOn w:val="Normal"/>
    <w:uiPriority w:val="34"/>
    <w:qFormat/>
    <w:rsid w:val="00942E9F"/>
    <w:pPr>
      <w:ind w:left="720"/>
      <w:contextualSpacing/>
    </w:pPr>
  </w:style>
  <w:style w:type="character" w:styleId="PlaceholderText">
    <w:name w:val="Placeholder Text"/>
    <w:basedOn w:val="DefaultParagraphFont"/>
    <w:uiPriority w:val="99"/>
    <w:semiHidden/>
    <w:rsid w:val="00E71547"/>
    <w:rPr>
      <w:color w:val="808080"/>
    </w:rPr>
  </w:style>
  <w:style w:type="paragraph" w:styleId="BalloonText">
    <w:name w:val="Balloon Text"/>
    <w:basedOn w:val="Normal"/>
    <w:link w:val="BalloonTextChar"/>
    <w:uiPriority w:val="99"/>
    <w:semiHidden/>
    <w:unhideWhenUsed/>
    <w:rsid w:val="00E715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1547"/>
    <w:rPr>
      <w:rFonts w:ascii="Tahoma" w:hAnsi="Tahoma" w:cs="Tahoma"/>
      <w:sz w:val="16"/>
      <w:szCs w:val="16"/>
    </w:rPr>
  </w:style>
  <w:style w:type="table" w:styleId="TableGrid">
    <w:name w:val="Table Grid"/>
    <w:basedOn w:val="TableNormal"/>
    <w:uiPriority w:val="59"/>
    <w:rsid w:val="006B547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377E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7E56"/>
  </w:style>
  <w:style w:type="paragraph" w:styleId="Footer">
    <w:name w:val="footer"/>
    <w:basedOn w:val="Normal"/>
    <w:link w:val="FooterChar"/>
    <w:uiPriority w:val="99"/>
    <w:unhideWhenUsed/>
    <w:rsid w:val="00377E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7E56"/>
  </w:style>
  <w:style w:type="character" w:styleId="CommentReference">
    <w:name w:val="annotation reference"/>
    <w:basedOn w:val="DefaultParagraphFont"/>
    <w:uiPriority w:val="99"/>
    <w:semiHidden/>
    <w:unhideWhenUsed/>
    <w:rsid w:val="00462259"/>
    <w:rPr>
      <w:sz w:val="16"/>
      <w:szCs w:val="16"/>
    </w:rPr>
  </w:style>
  <w:style w:type="paragraph" w:styleId="CommentText">
    <w:name w:val="annotation text"/>
    <w:basedOn w:val="Normal"/>
    <w:link w:val="CommentTextChar"/>
    <w:uiPriority w:val="99"/>
    <w:semiHidden/>
    <w:unhideWhenUsed/>
    <w:rsid w:val="00462259"/>
    <w:pPr>
      <w:spacing w:line="240" w:lineRule="auto"/>
    </w:pPr>
    <w:rPr>
      <w:sz w:val="20"/>
      <w:szCs w:val="20"/>
    </w:rPr>
  </w:style>
  <w:style w:type="character" w:customStyle="1" w:styleId="CommentTextChar">
    <w:name w:val="Comment Text Char"/>
    <w:basedOn w:val="DefaultParagraphFont"/>
    <w:link w:val="CommentText"/>
    <w:uiPriority w:val="99"/>
    <w:semiHidden/>
    <w:rsid w:val="00462259"/>
    <w:rPr>
      <w:sz w:val="20"/>
      <w:szCs w:val="20"/>
    </w:rPr>
  </w:style>
  <w:style w:type="paragraph" w:styleId="CommentSubject">
    <w:name w:val="annotation subject"/>
    <w:basedOn w:val="CommentText"/>
    <w:next w:val="CommentText"/>
    <w:link w:val="CommentSubjectChar"/>
    <w:uiPriority w:val="99"/>
    <w:semiHidden/>
    <w:unhideWhenUsed/>
    <w:rsid w:val="00462259"/>
    <w:rPr>
      <w:b/>
      <w:bCs/>
    </w:rPr>
  </w:style>
  <w:style w:type="character" w:customStyle="1" w:styleId="CommentSubjectChar">
    <w:name w:val="Comment Subject Char"/>
    <w:basedOn w:val="CommentTextChar"/>
    <w:link w:val="CommentSubject"/>
    <w:uiPriority w:val="99"/>
    <w:semiHidden/>
    <w:rsid w:val="00462259"/>
    <w:rPr>
      <w:b/>
      <w:bCs/>
      <w:sz w:val="20"/>
      <w:szCs w:val="20"/>
    </w:rPr>
  </w:style>
  <w:style w:type="character" w:customStyle="1" w:styleId="Heading2Char">
    <w:name w:val="Heading 2 Char"/>
    <w:basedOn w:val="DefaultParagraphFont"/>
    <w:link w:val="Heading2"/>
    <w:uiPriority w:val="9"/>
    <w:rsid w:val="000E361E"/>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0E361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326B5"/>
    <w:pPr>
      <w:spacing w:after="0" w:line="240" w:lineRule="auto"/>
    </w:pPr>
    <w:rPr>
      <w:sz w:val="20"/>
      <w:szCs w:val="20"/>
    </w:rPr>
  </w:style>
  <w:style w:type="character" w:customStyle="1" w:styleId="FootnoteTextChar">
    <w:name w:val="Footnote Text Char"/>
    <w:basedOn w:val="DefaultParagraphFont"/>
    <w:link w:val="FootnoteText"/>
    <w:uiPriority w:val="99"/>
    <w:rsid w:val="001326B5"/>
    <w:rPr>
      <w:sz w:val="20"/>
      <w:szCs w:val="20"/>
    </w:rPr>
  </w:style>
  <w:style w:type="character" w:styleId="FootnoteReference">
    <w:name w:val="footnote reference"/>
    <w:basedOn w:val="DefaultParagraphFont"/>
    <w:uiPriority w:val="99"/>
    <w:semiHidden/>
    <w:unhideWhenUsed/>
    <w:rsid w:val="001326B5"/>
    <w:rPr>
      <w:vertAlign w:val="superscript"/>
    </w:rPr>
  </w:style>
  <w:style w:type="character" w:styleId="Hyperlink">
    <w:name w:val="Hyperlink"/>
    <w:basedOn w:val="DefaultParagraphFont"/>
    <w:uiPriority w:val="99"/>
    <w:unhideWhenUsed/>
    <w:rsid w:val="00BC059C"/>
    <w:rPr>
      <w:color w:val="0000FF" w:themeColor="hyperlink"/>
      <w:u w:val="single"/>
    </w:rPr>
  </w:style>
  <w:style w:type="paragraph" w:styleId="ListParagraph">
    <w:name w:val="List Paragraph"/>
    <w:basedOn w:val="Normal"/>
    <w:uiPriority w:val="34"/>
    <w:qFormat/>
    <w:rsid w:val="00942E9F"/>
    <w:pPr>
      <w:ind w:left="720"/>
      <w:contextualSpacing/>
    </w:pPr>
  </w:style>
  <w:style w:type="character" w:styleId="PlaceholderText">
    <w:name w:val="Placeholder Text"/>
    <w:basedOn w:val="DefaultParagraphFont"/>
    <w:uiPriority w:val="99"/>
    <w:semiHidden/>
    <w:rsid w:val="00E71547"/>
    <w:rPr>
      <w:color w:val="808080"/>
    </w:rPr>
  </w:style>
  <w:style w:type="paragraph" w:styleId="BalloonText">
    <w:name w:val="Balloon Text"/>
    <w:basedOn w:val="Normal"/>
    <w:link w:val="BalloonTextChar"/>
    <w:uiPriority w:val="99"/>
    <w:semiHidden/>
    <w:unhideWhenUsed/>
    <w:rsid w:val="00E715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1547"/>
    <w:rPr>
      <w:rFonts w:ascii="Tahoma" w:hAnsi="Tahoma" w:cs="Tahoma"/>
      <w:sz w:val="16"/>
      <w:szCs w:val="16"/>
    </w:rPr>
  </w:style>
  <w:style w:type="table" w:styleId="TableGrid">
    <w:name w:val="Table Grid"/>
    <w:basedOn w:val="TableNormal"/>
    <w:uiPriority w:val="59"/>
    <w:rsid w:val="006B547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377E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7E56"/>
  </w:style>
  <w:style w:type="paragraph" w:styleId="Footer">
    <w:name w:val="footer"/>
    <w:basedOn w:val="Normal"/>
    <w:link w:val="FooterChar"/>
    <w:uiPriority w:val="99"/>
    <w:unhideWhenUsed/>
    <w:rsid w:val="00377E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7E56"/>
  </w:style>
  <w:style w:type="character" w:styleId="CommentReference">
    <w:name w:val="annotation reference"/>
    <w:basedOn w:val="DefaultParagraphFont"/>
    <w:uiPriority w:val="99"/>
    <w:semiHidden/>
    <w:unhideWhenUsed/>
    <w:rsid w:val="00462259"/>
    <w:rPr>
      <w:sz w:val="16"/>
      <w:szCs w:val="16"/>
    </w:rPr>
  </w:style>
  <w:style w:type="paragraph" w:styleId="CommentText">
    <w:name w:val="annotation text"/>
    <w:basedOn w:val="Normal"/>
    <w:link w:val="CommentTextChar"/>
    <w:uiPriority w:val="99"/>
    <w:semiHidden/>
    <w:unhideWhenUsed/>
    <w:rsid w:val="00462259"/>
    <w:pPr>
      <w:spacing w:line="240" w:lineRule="auto"/>
    </w:pPr>
    <w:rPr>
      <w:sz w:val="20"/>
      <w:szCs w:val="20"/>
    </w:rPr>
  </w:style>
  <w:style w:type="character" w:customStyle="1" w:styleId="CommentTextChar">
    <w:name w:val="Comment Text Char"/>
    <w:basedOn w:val="DefaultParagraphFont"/>
    <w:link w:val="CommentText"/>
    <w:uiPriority w:val="99"/>
    <w:semiHidden/>
    <w:rsid w:val="00462259"/>
    <w:rPr>
      <w:sz w:val="20"/>
      <w:szCs w:val="20"/>
    </w:rPr>
  </w:style>
  <w:style w:type="paragraph" w:styleId="CommentSubject">
    <w:name w:val="annotation subject"/>
    <w:basedOn w:val="CommentText"/>
    <w:next w:val="CommentText"/>
    <w:link w:val="CommentSubjectChar"/>
    <w:uiPriority w:val="99"/>
    <w:semiHidden/>
    <w:unhideWhenUsed/>
    <w:rsid w:val="00462259"/>
    <w:rPr>
      <w:b/>
      <w:bCs/>
    </w:rPr>
  </w:style>
  <w:style w:type="character" w:customStyle="1" w:styleId="CommentSubjectChar">
    <w:name w:val="Comment Subject Char"/>
    <w:basedOn w:val="CommentTextChar"/>
    <w:link w:val="CommentSubject"/>
    <w:uiPriority w:val="99"/>
    <w:semiHidden/>
    <w:rsid w:val="00462259"/>
    <w:rPr>
      <w:b/>
      <w:bCs/>
      <w:sz w:val="20"/>
      <w:szCs w:val="20"/>
    </w:rPr>
  </w:style>
  <w:style w:type="character" w:customStyle="1" w:styleId="Heading2Char">
    <w:name w:val="Heading 2 Char"/>
    <w:basedOn w:val="DefaultParagraphFont"/>
    <w:link w:val="Heading2"/>
    <w:uiPriority w:val="9"/>
    <w:rsid w:val="000E361E"/>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711637">
      <w:bodyDiv w:val="1"/>
      <w:marLeft w:val="0"/>
      <w:marRight w:val="0"/>
      <w:marTop w:val="0"/>
      <w:marBottom w:val="0"/>
      <w:divBdr>
        <w:top w:val="none" w:sz="0" w:space="0" w:color="auto"/>
        <w:left w:val="none" w:sz="0" w:space="0" w:color="auto"/>
        <w:bottom w:val="none" w:sz="0" w:space="0" w:color="auto"/>
        <w:right w:val="none" w:sz="0" w:space="0" w:color="auto"/>
      </w:divBdr>
    </w:div>
    <w:div w:id="379092237">
      <w:bodyDiv w:val="1"/>
      <w:marLeft w:val="0"/>
      <w:marRight w:val="0"/>
      <w:marTop w:val="0"/>
      <w:marBottom w:val="0"/>
      <w:divBdr>
        <w:top w:val="none" w:sz="0" w:space="0" w:color="auto"/>
        <w:left w:val="none" w:sz="0" w:space="0" w:color="auto"/>
        <w:bottom w:val="none" w:sz="0" w:space="0" w:color="auto"/>
        <w:right w:val="none" w:sz="0" w:space="0" w:color="auto"/>
      </w:divBdr>
    </w:div>
    <w:div w:id="470364864">
      <w:bodyDiv w:val="1"/>
      <w:marLeft w:val="0"/>
      <w:marRight w:val="0"/>
      <w:marTop w:val="0"/>
      <w:marBottom w:val="0"/>
      <w:divBdr>
        <w:top w:val="none" w:sz="0" w:space="0" w:color="auto"/>
        <w:left w:val="none" w:sz="0" w:space="0" w:color="auto"/>
        <w:bottom w:val="none" w:sz="0" w:space="0" w:color="auto"/>
        <w:right w:val="none" w:sz="0" w:space="0" w:color="auto"/>
      </w:divBdr>
    </w:div>
    <w:div w:id="1415669545">
      <w:bodyDiv w:val="1"/>
      <w:marLeft w:val="0"/>
      <w:marRight w:val="0"/>
      <w:marTop w:val="0"/>
      <w:marBottom w:val="0"/>
      <w:divBdr>
        <w:top w:val="none" w:sz="0" w:space="0" w:color="auto"/>
        <w:left w:val="none" w:sz="0" w:space="0" w:color="auto"/>
        <w:bottom w:val="none" w:sz="0" w:space="0" w:color="auto"/>
        <w:right w:val="none" w:sz="0" w:space="0" w:color="auto"/>
      </w:divBdr>
      <w:divsChild>
        <w:div w:id="1774740372">
          <w:marLeft w:val="0"/>
          <w:marRight w:val="0"/>
          <w:marTop w:val="0"/>
          <w:marBottom w:val="0"/>
          <w:divBdr>
            <w:top w:val="none" w:sz="0" w:space="0" w:color="auto"/>
            <w:left w:val="none" w:sz="0" w:space="0" w:color="auto"/>
            <w:bottom w:val="none" w:sz="0" w:space="0" w:color="auto"/>
            <w:right w:val="none" w:sz="0" w:space="0" w:color="auto"/>
          </w:divBdr>
          <w:divsChild>
            <w:div w:id="1563636372">
              <w:marLeft w:val="0"/>
              <w:marRight w:val="0"/>
              <w:marTop w:val="0"/>
              <w:marBottom w:val="0"/>
              <w:divBdr>
                <w:top w:val="none" w:sz="0" w:space="0" w:color="auto"/>
                <w:left w:val="none" w:sz="0" w:space="0" w:color="auto"/>
                <w:bottom w:val="none" w:sz="0" w:space="0" w:color="auto"/>
                <w:right w:val="none" w:sz="0" w:space="0" w:color="auto"/>
              </w:divBdr>
              <w:divsChild>
                <w:div w:id="653028752">
                  <w:marLeft w:val="330"/>
                  <w:marRight w:val="330"/>
                  <w:marTop w:val="0"/>
                  <w:marBottom w:val="210"/>
                  <w:divBdr>
                    <w:top w:val="none" w:sz="0" w:space="0" w:color="auto"/>
                    <w:left w:val="none" w:sz="0" w:space="0" w:color="auto"/>
                    <w:bottom w:val="none" w:sz="0" w:space="0" w:color="auto"/>
                    <w:right w:val="none" w:sz="0" w:space="0" w:color="auto"/>
                  </w:divBdr>
                  <w:divsChild>
                    <w:div w:id="666131567">
                      <w:marLeft w:val="0"/>
                      <w:marRight w:val="0"/>
                      <w:marTop w:val="0"/>
                      <w:marBottom w:val="0"/>
                      <w:divBdr>
                        <w:top w:val="none" w:sz="0" w:space="0" w:color="auto"/>
                        <w:left w:val="none" w:sz="0" w:space="0" w:color="auto"/>
                        <w:bottom w:val="none" w:sz="0" w:space="0" w:color="auto"/>
                        <w:right w:val="none" w:sz="0" w:space="0" w:color="auto"/>
                      </w:divBdr>
                      <w:divsChild>
                        <w:div w:id="54992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hyperlink" Target="https://ideas.repec.org/a/eee/jpolmo/v36y2014i3p524-538.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raghavdasgaiha@gmail.com" TargetMode="External"/><Relationship Id="rId17" Type="http://schemas.openxmlformats.org/officeDocument/2006/relationships/hyperlink" Target="https://www.google.com/search?q=Encyclop%C3%A6dia+Britannica,+Inc.&amp;stick=H4sIAAAAAAAAAONgVuLUz9U3MMkwLkx7xGjCLfDyxz1hKe1Ja05eY1Tl4grOyC93zSvJLKkUEudig7J4pbi5ELp4FrHKueYlVybn5BccXpaSmajgVJRZkpiXl5mcqKPgmZesBwBAOYcyZQAAAA" TargetMode="Externa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s://econpapers.repec.org/article/eeejeb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atsushi.Imai@manchester.ac.uk"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vkulkarni@astate.edu" TargetMode="External"/><Relationship Id="rId19" Type="http://schemas.openxmlformats.org/officeDocument/2006/relationships/hyperlink" Target="https://www.jstor.org/stable/i23596400" TargetMode="External"/><Relationship Id="rId4" Type="http://schemas.microsoft.com/office/2007/relationships/stylesWithEffects" Target="stylesWithEffects.xml"/><Relationship Id="rId9" Type="http://schemas.openxmlformats.org/officeDocument/2006/relationships/hyperlink" Target="mailto:vanik@sas.upenn.edu" TargetMode="External"/><Relationship Id="rId14" Type="http://schemas.openxmlformats.org/officeDocument/2006/relationships/header" Target="header1.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ihds.umd.edu/data" TargetMode="External"/><Relationship Id="rId1" Type="http://schemas.openxmlformats.org/officeDocument/2006/relationships/hyperlink" Target="mailto:raghavdasgaiha@gmail.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opera\Downloads\actual%20SWB%20cutoff%2080%20by%20age%20group%20head%20of%20househol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pera\Downloads\Predicted%20SWB%20cutoff%2080%20by%20age%20group%20head%20of%20househol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IN" sz="2400"/>
            </a:pPr>
            <a:r>
              <a:rPr lang="en-IN" sz="1100" b="1" i="0" u="none" strike="noStrike" baseline="0">
                <a:effectLst/>
                <a:latin typeface="Times New Roman" panose="02020603050405020304" pitchFamily="18" charset="0"/>
                <a:cs typeface="Times New Roman" panose="02020603050405020304" pitchFamily="18" charset="0"/>
              </a:rPr>
              <a:t>Figure 1 The relation between </a:t>
            </a:r>
            <a:r>
              <a:rPr lang="en-IN" sz="1100" b="1" i="0" u="none" strike="noStrike" baseline="0">
                <a:effectLst/>
                <a:latin typeface="Times New Roman" panose="02020603050405020304" pitchFamily="18" charset="0"/>
                <a:cs typeface="Times New Roman" panose="02020603050405020304" pitchFamily="18" charset="0"/>
                <a:sym typeface="Symbol" panose="05050102010706020507" pitchFamily="18" charset="2"/>
              </a:rPr>
              <a:t></a:t>
            </a:r>
            <a:r>
              <a:rPr lang="en-IN" sz="1100" b="1" i="0" u="none" strike="noStrike" baseline="0">
                <a:effectLst/>
                <a:latin typeface="Times New Roman" panose="02020603050405020304" pitchFamily="18" charset="0"/>
                <a:cs typeface="Times New Roman" panose="02020603050405020304" pitchFamily="18" charset="0"/>
              </a:rPr>
              <a:t>SWB and Age in India</a:t>
            </a:r>
            <a:endParaRPr lang="en-US" sz="1100">
              <a:latin typeface="Times New Roman" panose="02020603050405020304" pitchFamily="18" charset="0"/>
              <a:cs typeface="Times New Roman" panose="02020603050405020304" pitchFamily="18" charset="0"/>
            </a:endParaRPr>
          </a:p>
        </c:rich>
      </c:tx>
      <c:layout>
        <c:manualLayout>
          <c:xMode val="edge"/>
          <c:yMode val="edge"/>
          <c:x val="0.15586005051255394"/>
          <c:y val="7.0559070807865612E-4"/>
        </c:manualLayout>
      </c:layout>
      <c:overlay val="0"/>
    </c:title>
    <c:autoTitleDeleted val="0"/>
    <c:plotArea>
      <c:layout>
        <c:manualLayout>
          <c:layoutTarget val="inner"/>
          <c:xMode val="edge"/>
          <c:yMode val="edge"/>
          <c:x val="0.22102339315143762"/>
          <c:y val="0.18356337638497924"/>
          <c:w val="0.72124201455950165"/>
          <c:h val="0.53359423154940855"/>
        </c:manualLayout>
      </c:layout>
      <c:scatterChart>
        <c:scatterStyle val="lineMarker"/>
        <c:varyColors val="0"/>
        <c:ser>
          <c:idx val="0"/>
          <c:order val="0"/>
          <c:tx>
            <c:strRef>
              <c:f>Sheet1!$B$1</c:f>
              <c:strCache>
                <c:ptCount val="1"/>
                <c:pt idx="0">
                  <c:v>SWB</c:v>
                </c:pt>
              </c:strCache>
            </c:strRef>
          </c:tx>
          <c:xVal>
            <c:numRef>
              <c:f>Sheet1!$A$2:$A$18</c:f>
              <c:numCache>
                <c:formatCode>General</c:formatCode>
                <c:ptCount val="17"/>
                <c:pt idx="0">
                  <c:v>15</c:v>
                </c:pt>
                <c:pt idx="1">
                  <c:v>20</c:v>
                </c:pt>
                <c:pt idx="2">
                  <c:v>25</c:v>
                </c:pt>
                <c:pt idx="3">
                  <c:v>30</c:v>
                </c:pt>
                <c:pt idx="4">
                  <c:v>35</c:v>
                </c:pt>
                <c:pt idx="5">
                  <c:v>40</c:v>
                </c:pt>
                <c:pt idx="6">
                  <c:v>45</c:v>
                </c:pt>
                <c:pt idx="7">
                  <c:v>50</c:v>
                </c:pt>
                <c:pt idx="8">
                  <c:v>55</c:v>
                </c:pt>
                <c:pt idx="9">
                  <c:v>60</c:v>
                </c:pt>
                <c:pt idx="10">
                  <c:v>65</c:v>
                </c:pt>
                <c:pt idx="11">
                  <c:v>70</c:v>
                </c:pt>
                <c:pt idx="12">
                  <c:v>75</c:v>
                </c:pt>
                <c:pt idx="13">
                  <c:v>80</c:v>
                </c:pt>
                <c:pt idx="14">
                  <c:v>85</c:v>
                </c:pt>
                <c:pt idx="15">
                  <c:v>90</c:v>
                </c:pt>
                <c:pt idx="16">
                  <c:v>95</c:v>
                </c:pt>
              </c:numCache>
            </c:numRef>
          </c:xVal>
          <c:yVal>
            <c:numRef>
              <c:f>Sheet1!$B$2:$B$18</c:f>
              <c:numCache>
                <c:formatCode>General</c:formatCode>
                <c:ptCount val="17"/>
                <c:pt idx="0">
                  <c:v>1.3618189999999999</c:v>
                </c:pt>
                <c:pt idx="1">
                  <c:v>1.2013029999999998</c:v>
                </c:pt>
                <c:pt idx="2">
                  <c:v>1.260929999999999</c:v>
                </c:pt>
                <c:pt idx="3">
                  <c:v>1.3104070000000001</c:v>
                </c:pt>
                <c:pt idx="4">
                  <c:v>1.3028470000000001</c:v>
                </c:pt>
                <c:pt idx="5">
                  <c:v>1.2948279999999999</c:v>
                </c:pt>
                <c:pt idx="6">
                  <c:v>1.3127279999999999</c:v>
                </c:pt>
                <c:pt idx="7">
                  <c:v>1.3259899999999998</c:v>
                </c:pt>
                <c:pt idx="8">
                  <c:v>1.2693759999999998</c:v>
                </c:pt>
                <c:pt idx="9">
                  <c:v>1.207771999999999</c:v>
                </c:pt>
                <c:pt idx="10">
                  <c:v>1.2301420000000001</c:v>
                </c:pt>
                <c:pt idx="11">
                  <c:v>1.2360439999999999</c:v>
                </c:pt>
                <c:pt idx="12">
                  <c:v>1.246416</c:v>
                </c:pt>
                <c:pt idx="13">
                  <c:v>1.2625120000000001</c:v>
                </c:pt>
                <c:pt idx="14">
                  <c:v>1.0340639999999999</c:v>
                </c:pt>
                <c:pt idx="15">
                  <c:v>1.1537850000000001</c:v>
                </c:pt>
                <c:pt idx="16">
                  <c:v>1.1374739999999999</c:v>
                </c:pt>
              </c:numCache>
            </c:numRef>
          </c:yVal>
          <c:smooth val="0"/>
          <c:extLst xmlns:c16r2="http://schemas.microsoft.com/office/drawing/2015/06/chart">
            <c:ext xmlns:c16="http://schemas.microsoft.com/office/drawing/2014/chart" uri="{C3380CC4-5D6E-409C-BE32-E72D297353CC}">
              <c16:uniqueId val="{00000000-5282-4D7D-BF7B-4828C05F540B}"/>
            </c:ext>
          </c:extLst>
        </c:ser>
        <c:dLbls>
          <c:showLegendKey val="0"/>
          <c:showVal val="0"/>
          <c:showCatName val="0"/>
          <c:showSerName val="0"/>
          <c:showPercent val="0"/>
          <c:showBubbleSize val="0"/>
        </c:dLbls>
        <c:axId val="163939840"/>
        <c:axId val="163941760"/>
      </c:scatterChart>
      <c:valAx>
        <c:axId val="163939840"/>
        <c:scaling>
          <c:orientation val="minMax"/>
          <c:max val="80"/>
          <c:min val="20"/>
        </c:scaling>
        <c:delete val="0"/>
        <c:axPos val="b"/>
        <c:majorGridlines/>
        <c:title>
          <c:tx>
            <c:rich>
              <a:bodyPr/>
              <a:lstStyle/>
              <a:p>
                <a:pPr>
                  <a:defRPr lang="en-IN" sz="1800"/>
                </a:pPr>
                <a:r>
                  <a:rPr lang="en-US" sz="1200">
                    <a:latin typeface="Times New Roman" panose="02020603050405020304" pitchFamily="18" charset="0"/>
                    <a:cs typeface="Times New Roman" panose="02020603050405020304" pitchFamily="18" charset="0"/>
                  </a:rPr>
                  <a:t>Age</a:t>
                </a:r>
              </a:p>
            </c:rich>
          </c:tx>
          <c:overlay val="0"/>
        </c:title>
        <c:numFmt formatCode="General" sourceLinked="1"/>
        <c:majorTickMark val="out"/>
        <c:minorTickMark val="none"/>
        <c:tickLblPos val="nextTo"/>
        <c:txPr>
          <a:bodyPr/>
          <a:lstStyle/>
          <a:p>
            <a:pPr>
              <a:defRPr lang="en-IN"/>
            </a:pPr>
            <a:endParaRPr lang="en-US"/>
          </a:p>
        </c:txPr>
        <c:crossAx val="163941760"/>
        <c:crosses val="autoZero"/>
        <c:crossBetween val="midCat"/>
        <c:majorUnit val="5"/>
      </c:valAx>
      <c:valAx>
        <c:axId val="163941760"/>
        <c:scaling>
          <c:orientation val="minMax"/>
          <c:max val="1.35"/>
          <c:min val="1"/>
        </c:scaling>
        <c:delete val="0"/>
        <c:axPos val="l"/>
        <c:majorGridlines/>
        <c:title>
          <c:tx>
            <c:rich>
              <a:bodyPr rot="-5400000" vert="horz"/>
              <a:lstStyle/>
              <a:p>
                <a:pPr>
                  <a:defRPr lang="en-IN" sz="1800"/>
                </a:pPr>
                <a:r>
                  <a:rPr lang="en-US" sz="1200">
                    <a:latin typeface="Times New Roman" panose="02020603050405020304" pitchFamily="18" charset="0"/>
                    <a:cs typeface="Times New Roman" panose="02020603050405020304" pitchFamily="18" charset="0"/>
                    <a:sym typeface="Symbol"/>
                  </a:rPr>
                  <a:t></a:t>
                </a:r>
                <a:r>
                  <a:rPr lang="en-US" sz="1200">
                    <a:latin typeface="Times New Roman" panose="02020603050405020304" pitchFamily="18" charset="0"/>
                    <a:cs typeface="Times New Roman" panose="02020603050405020304" pitchFamily="18" charset="0"/>
                  </a:rPr>
                  <a:t>SWB</a:t>
                </a:r>
              </a:p>
            </c:rich>
          </c:tx>
          <c:layout>
            <c:manualLayout>
              <c:xMode val="edge"/>
              <c:yMode val="edge"/>
              <c:x val="2.3508668821627984E-2"/>
              <c:y val="0.37302518166824283"/>
            </c:manualLayout>
          </c:layout>
          <c:overlay val="0"/>
        </c:title>
        <c:numFmt formatCode="General" sourceLinked="1"/>
        <c:majorTickMark val="out"/>
        <c:minorTickMark val="none"/>
        <c:tickLblPos val="nextTo"/>
        <c:txPr>
          <a:bodyPr/>
          <a:lstStyle/>
          <a:p>
            <a:pPr>
              <a:defRPr lang="en-IN"/>
            </a:pPr>
            <a:endParaRPr lang="en-US"/>
          </a:p>
        </c:txPr>
        <c:crossAx val="163939840"/>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IN" sz="2400"/>
            </a:pPr>
            <a:r>
              <a:rPr lang="en-US" sz="1200">
                <a:latin typeface="Times New Roman" panose="02020603050405020304" pitchFamily="18" charset="0"/>
                <a:cs typeface="Times New Roman" panose="02020603050405020304" pitchFamily="18" charset="0"/>
              </a:rPr>
              <a:t>Figure 2. The relationship between ∆SWB (Predicted) </a:t>
            </a:r>
            <a:r>
              <a:rPr lang="en-US" sz="1200" baseline="0">
                <a:latin typeface="Times New Roman" panose="02020603050405020304" pitchFamily="18" charset="0"/>
                <a:cs typeface="Times New Roman" panose="02020603050405020304" pitchFamily="18" charset="0"/>
              </a:rPr>
              <a:t>and age</a:t>
            </a:r>
            <a:endParaRPr lang="en-US" sz="1200">
              <a:latin typeface="Times New Roman" panose="02020603050405020304" pitchFamily="18" charset="0"/>
              <a:cs typeface="Times New Roman" panose="02020603050405020304" pitchFamily="18" charset="0"/>
            </a:endParaRPr>
          </a:p>
        </c:rich>
      </c:tx>
      <c:layout>
        <c:manualLayout>
          <c:xMode val="edge"/>
          <c:yMode val="edge"/>
          <c:x val="0.11179846148746142"/>
          <c:y val="1.3572299055091414E-2"/>
        </c:manualLayout>
      </c:layout>
      <c:overlay val="0"/>
    </c:title>
    <c:autoTitleDeleted val="0"/>
    <c:plotArea>
      <c:layout/>
      <c:scatterChart>
        <c:scatterStyle val="lineMarker"/>
        <c:varyColors val="0"/>
        <c:ser>
          <c:idx val="0"/>
          <c:order val="0"/>
          <c:tx>
            <c:strRef>
              <c:f>Sheet1!$B$1</c:f>
              <c:strCache>
                <c:ptCount val="1"/>
                <c:pt idx="0">
                  <c:v>SWB</c:v>
                </c:pt>
              </c:strCache>
            </c:strRef>
          </c:tx>
          <c:xVal>
            <c:numRef>
              <c:f>Sheet1!$A$2:$A$18</c:f>
              <c:numCache>
                <c:formatCode>General</c:formatCode>
                <c:ptCount val="17"/>
                <c:pt idx="0">
                  <c:v>15</c:v>
                </c:pt>
                <c:pt idx="1">
                  <c:v>20</c:v>
                </c:pt>
                <c:pt idx="2">
                  <c:v>25</c:v>
                </c:pt>
                <c:pt idx="3">
                  <c:v>30</c:v>
                </c:pt>
                <c:pt idx="4">
                  <c:v>35</c:v>
                </c:pt>
                <c:pt idx="5">
                  <c:v>40</c:v>
                </c:pt>
                <c:pt idx="6">
                  <c:v>45</c:v>
                </c:pt>
                <c:pt idx="7">
                  <c:v>50</c:v>
                </c:pt>
                <c:pt idx="8">
                  <c:v>55</c:v>
                </c:pt>
                <c:pt idx="9">
                  <c:v>60</c:v>
                </c:pt>
                <c:pt idx="10">
                  <c:v>65</c:v>
                </c:pt>
                <c:pt idx="11">
                  <c:v>70</c:v>
                </c:pt>
                <c:pt idx="12">
                  <c:v>75</c:v>
                </c:pt>
                <c:pt idx="13">
                  <c:v>80</c:v>
                </c:pt>
                <c:pt idx="14">
                  <c:v>85</c:v>
                </c:pt>
                <c:pt idx="15">
                  <c:v>90</c:v>
                </c:pt>
                <c:pt idx="16">
                  <c:v>95</c:v>
                </c:pt>
              </c:numCache>
            </c:numRef>
          </c:xVal>
          <c:yVal>
            <c:numRef>
              <c:f>Sheet1!$B$2:$B$18</c:f>
              <c:numCache>
                <c:formatCode>General</c:formatCode>
                <c:ptCount val="17"/>
                <c:pt idx="0">
                  <c:v>1.0621959999999999</c:v>
                </c:pt>
                <c:pt idx="1">
                  <c:v>1.231261999999999</c:v>
                </c:pt>
                <c:pt idx="2">
                  <c:v>1.2707689999999998</c:v>
                </c:pt>
                <c:pt idx="3">
                  <c:v>1.295342</c:v>
                </c:pt>
                <c:pt idx="4">
                  <c:v>1.297118</c:v>
                </c:pt>
                <c:pt idx="5">
                  <c:v>1.313153</c:v>
                </c:pt>
                <c:pt idx="6">
                  <c:v>1.330635</c:v>
                </c:pt>
                <c:pt idx="7">
                  <c:v>1.3138069999999988</c:v>
                </c:pt>
                <c:pt idx="8">
                  <c:v>1.2658619999999989</c:v>
                </c:pt>
                <c:pt idx="9">
                  <c:v>1.2493539999999999</c:v>
                </c:pt>
                <c:pt idx="10">
                  <c:v>1.265245</c:v>
                </c:pt>
                <c:pt idx="11">
                  <c:v>1.244343</c:v>
                </c:pt>
                <c:pt idx="12">
                  <c:v>1.2315599999999998</c:v>
                </c:pt>
                <c:pt idx="13">
                  <c:v>1.1795249999999988</c:v>
                </c:pt>
                <c:pt idx="14">
                  <c:v>1.227196999999999</c:v>
                </c:pt>
                <c:pt idx="15">
                  <c:v>1.1325860000000001</c:v>
                </c:pt>
                <c:pt idx="16">
                  <c:v>0.89752189999999998</c:v>
                </c:pt>
              </c:numCache>
            </c:numRef>
          </c:yVal>
          <c:smooth val="0"/>
          <c:extLst xmlns:c16r2="http://schemas.microsoft.com/office/drawing/2015/06/chart">
            <c:ext xmlns:c16="http://schemas.microsoft.com/office/drawing/2014/chart" uri="{C3380CC4-5D6E-409C-BE32-E72D297353CC}">
              <c16:uniqueId val="{00000000-3AE3-48F6-A4BB-99537C1D8B55}"/>
            </c:ext>
          </c:extLst>
        </c:ser>
        <c:dLbls>
          <c:showLegendKey val="0"/>
          <c:showVal val="0"/>
          <c:showCatName val="0"/>
          <c:showSerName val="0"/>
          <c:showPercent val="0"/>
          <c:showBubbleSize val="0"/>
        </c:dLbls>
        <c:axId val="163950592"/>
        <c:axId val="163952512"/>
      </c:scatterChart>
      <c:valAx>
        <c:axId val="163950592"/>
        <c:scaling>
          <c:orientation val="minMax"/>
          <c:max val="80"/>
          <c:min val="20"/>
        </c:scaling>
        <c:delete val="0"/>
        <c:axPos val="b"/>
        <c:majorGridlines/>
        <c:title>
          <c:tx>
            <c:rich>
              <a:bodyPr/>
              <a:lstStyle/>
              <a:p>
                <a:pPr>
                  <a:defRPr lang="en-IN" sz="1800"/>
                </a:pPr>
                <a:r>
                  <a:rPr lang="en-US" sz="1100"/>
                  <a:t>AGE</a:t>
                </a:r>
              </a:p>
            </c:rich>
          </c:tx>
          <c:overlay val="0"/>
        </c:title>
        <c:numFmt formatCode="General" sourceLinked="1"/>
        <c:majorTickMark val="out"/>
        <c:minorTickMark val="none"/>
        <c:tickLblPos val="nextTo"/>
        <c:txPr>
          <a:bodyPr/>
          <a:lstStyle/>
          <a:p>
            <a:pPr>
              <a:defRPr lang="en-IN"/>
            </a:pPr>
            <a:endParaRPr lang="en-US"/>
          </a:p>
        </c:txPr>
        <c:crossAx val="163952512"/>
        <c:crosses val="autoZero"/>
        <c:crossBetween val="midCat"/>
        <c:majorUnit val="5"/>
      </c:valAx>
      <c:valAx>
        <c:axId val="163952512"/>
        <c:scaling>
          <c:orientation val="minMax"/>
          <c:max val="1.35"/>
          <c:min val="1"/>
        </c:scaling>
        <c:delete val="0"/>
        <c:axPos val="l"/>
        <c:majorGridlines/>
        <c:title>
          <c:tx>
            <c:rich>
              <a:bodyPr rot="-5400000" vert="horz"/>
              <a:lstStyle/>
              <a:p>
                <a:pPr>
                  <a:defRPr lang="en-IN" sz="1800"/>
                </a:pPr>
                <a:r>
                  <a:rPr lang="en-US" sz="1100"/>
                  <a:t>SWB (Predicted)</a:t>
                </a:r>
              </a:p>
            </c:rich>
          </c:tx>
          <c:overlay val="0"/>
        </c:title>
        <c:numFmt formatCode="General" sourceLinked="1"/>
        <c:majorTickMark val="out"/>
        <c:minorTickMark val="none"/>
        <c:tickLblPos val="nextTo"/>
        <c:txPr>
          <a:bodyPr/>
          <a:lstStyle/>
          <a:p>
            <a:pPr>
              <a:defRPr lang="en-IN"/>
            </a:pPr>
            <a:endParaRPr lang="en-US"/>
          </a:p>
        </c:txPr>
        <c:crossAx val="163950592"/>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7276B9-F299-4A52-817E-B2615FBDA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42</Pages>
  <Words>18138</Words>
  <Characters>103390</Characters>
  <Application>Microsoft Office Word</Application>
  <DocSecurity>0</DocSecurity>
  <Lines>861</Lines>
  <Paragraphs>242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121286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Raghav</dc:creator>
  <cp:lastModifiedBy>Raghav</cp:lastModifiedBy>
  <cp:revision>2</cp:revision>
  <cp:lastPrinted>2021-05-07T19:52:00Z</cp:lastPrinted>
  <dcterms:created xsi:type="dcterms:W3CDTF">2021-05-12T14:53:00Z</dcterms:created>
  <dcterms:modified xsi:type="dcterms:W3CDTF">2021-05-12T14:53:00Z</dcterms:modified>
</cp:coreProperties>
</file>