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2D3A" w:rsidRDefault="00272D3A" w:rsidP="00272D3A">
      <w:pPr>
        <w:spacing w:line="240" w:lineRule="auto"/>
        <w:rPr>
          <w:rFonts w:eastAsiaTheme="minorEastAsia"/>
          <w:szCs w:val="24"/>
        </w:rPr>
      </w:pPr>
      <w:bookmarkStart w:id="0" w:name="_GoBack"/>
      <w:bookmarkEnd w:id="0"/>
    </w:p>
    <w:p w:rsidR="00272D3A" w:rsidRDefault="00A22DD8" w:rsidP="00272D3A">
      <w:pPr>
        <w:spacing w:line="240" w:lineRule="auto"/>
        <w:rPr>
          <w:rFonts w:eastAsiaTheme="minorEastAsia"/>
          <w:b/>
          <w:szCs w:val="24"/>
        </w:rPr>
      </w:pPr>
      <w:r>
        <w:rPr>
          <w:rFonts w:eastAsiaTheme="minorEastAsia"/>
          <w:szCs w:val="24"/>
        </w:rPr>
        <w:t xml:space="preserve"> </w:t>
      </w:r>
      <w:r w:rsidR="00272D3A">
        <w:rPr>
          <w:rFonts w:eastAsiaTheme="minorEastAsia"/>
          <w:b/>
          <w:szCs w:val="24"/>
        </w:rPr>
        <w:t xml:space="preserve">AMBIENT POSITIONAL INSTABILITY AMONG </w:t>
      </w:r>
      <w:r w:rsidR="0034424D">
        <w:rPr>
          <w:rFonts w:eastAsiaTheme="minorEastAsia"/>
          <w:b/>
          <w:szCs w:val="24"/>
        </w:rPr>
        <w:t>OHIO MATH AND SCIENCE TEACHERS</w:t>
      </w:r>
      <w:r w:rsidR="00272D3A">
        <w:rPr>
          <w:rFonts w:eastAsiaTheme="minorEastAsia"/>
          <w:b/>
          <w:szCs w:val="24"/>
        </w:rPr>
        <w:t xml:space="preserve">: </w:t>
      </w:r>
      <w:r w:rsidR="0034424D">
        <w:rPr>
          <w:rFonts w:eastAsiaTheme="minorEastAsia"/>
          <w:b/>
          <w:szCs w:val="24"/>
        </w:rPr>
        <w:t>2008 TO 2014</w:t>
      </w: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r>
        <w:rPr>
          <w:rFonts w:eastAsiaTheme="minorEastAsia"/>
          <w:szCs w:val="24"/>
        </w:rPr>
        <w:tab/>
      </w:r>
      <w:r w:rsidR="00A65C39">
        <w:rPr>
          <w:rFonts w:eastAsiaTheme="minorEastAsia"/>
          <w:szCs w:val="24"/>
        </w:rPr>
        <w:t xml:space="preserve">  </w:t>
      </w:r>
      <w:r w:rsidR="0034424D">
        <w:rPr>
          <w:rFonts w:eastAsiaTheme="minorEastAsia"/>
          <w:szCs w:val="24"/>
        </w:rPr>
        <w:t>John Baker</w:t>
      </w:r>
      <w:r>
        <w:rPr>
          <w:rFonts w:eastAsiaTheme="minorEastAsia"/>
          <w:szCs w:val="24"/>
        </w:rPr>
        <w:t xml:space="preserve"> and Robert Boruch</w:t>
      </w: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A65C39" w:rsidP="00272D3A">
      <w:pPr>
        <w:spacing w:line="240" w:lineRule="auto"/>
        <w:rPr>
          <w:rFonts w:eastAsiaTheme="minorEastAsia"/>
          <w:szCs w:val="24"/>
        </w:rPr>
      </w:pPr>
      <w:r>
        <w:rPr>
          <w:rFonts w:eastAsiaTheme="minorEastAsia"/>
          <w:szCs w:val="24"/>
        </w:rPr>
        <w:t xml:space="preserve">  </w:t>
      </w:r>
      <w:r w:rsidR="00272D3A">
        <w:rPr>
          <w:rFonts w:eastAsiaTheme="minorEastAsia"/>
          <w:szCs w:val="24"/>
        </w:rPr>
        <w:tab/>
      </w:r>
      <w:r w:rsidR="00142C6C">
        <w:rPr>
          <w:rFonts w:eastAsiaTheme="minorEastAsia"/>
          <w:szCs w:val="24"/>
        </w:rPr>
        <w:t xml:space="preserve"> </w:t>
      </w:r>
      <w:r w:rsidR="00272D3A">
        <w:rPr>
          <w:rFonts w:eastAsiaTheme="minorEastAsia"/>
          <w:szCs w:val="24"/>
        </w:rPr>
        <w:t>Working Paper/Briefing: API –</w:t>
      </w:r>
      <w:r w:rsidR="00AA1894">
        <w:rPr>
          <w:rFonts w:eastAsiaTheme="minorEastAsia"/>
          <w:szCs w:val="24"/>
        </w:rPr>
        <w:t>Ohio-04/30</w:t>
      </w:r>
      <w:r w:rsidR="00272D3A">
        <w:rPr>
          <w:rFonts w:eastAsiaTheme="minorEastAsia"/>
          <w:szCs w:val="24"/>
        </w:rPr>
        <w:t>/15</w:t>
      </w:r>
    </w:p>
    <w:p w:rsidR="00272D3A" w:rsidRDefault="00272D3A" w:rsidP="00272D3A">
      <w:pPr>
        <w:spacing w:line="240" w:lineRule="auto"/>
        <w:rPr>
          <w:rFonts w:eastAsiaTheme="minorEastAsia"/>
          <w:szCs w:val="24"/>
        </w:rPr>
      </w:pPr>
    </w:p>
    <w:p w:rsidR="00272D3A" w:rsidRDefault="00A65C39" w:rsidP="00272D3A">
      <w:pPr>
        <w:spacing w:line="240" w:lineRule="auto"/>
        <w:rPr>
          <w:rFonts w:eastAsiaTheme="minorEastAsia"/>
          <w:szCs w:val="24"/>
        </w:rPr>
      </w:pPr>
      <w:r>
        <w:rPr>
          <w:rFonts w:eastAsiaTheme="minorEastAsia"/>
          <w:szCs w:val="24"/>
        </w:rPr>
        <w:t xml:space="preserve"> </w:t>
      </w:r>
      <w:r w:rsidR="00A22DD8">
        <w:rPr>
          <w:rFonts w:eastAsiaTheme="minorEastAsia"/>
          <w:szCs w:val="24"/>
        </w:rPr>
        <w:t xml:space="preserve"> </w:t>
      </w:r>
      <w:r w:rsidR="00272D3A">
        <w:rPr>
          <w:rFonts w:eastAsiaTheme="minorEastAsia"/>
          <w:szCs w:val="24"/>
        </w:rPr>
        <w:tab/>
      </w:r>
      <w:r w:rsidR="00272D3A">
        <w:rPr>
          <w:rFonts w:eastAsiaTheme="minorEastAsia"/>
          <w:szCs w:val="24"/>
        </w:rPr>
        <w:tab/>
      </w:r>
      <w:r w:rsidR="00C278E6">
        <w:rPr>
          <w:rFonts w:eastAsiaTheme="minorEastAsia"/>
          <w:szCs w:val="24"/>
        </w:rPr>
        <w:tab/>
      </w:r>
      <w:r w:rsidR="0034424D">
        <w:rPr>
          <w:rFonts w:eastAsiaTheme="minorEastAsia"/>
          <w:szCs w:val="24"/>
        </w:rPr>
        <w:t>21</w:t>
      </w:r>
      <w:r w:rsidR="0034424D" w:rsidRPr="0034424D">
        <w:rPr>
          <w:rFonts w:eastAsiaTheme="minorEastAsia"/>
          <w:szCs w:val="24"/>
          <w:vertAlign w:val="superscript"/>
        </w:rPr>
        <w:t>st</w:t>
      </w:r>
      <w:r w:rsidR="0034424D">
        <w:rPr>
          <w:rFonts w:eastAsiaTheme="minorEastAsia"/>
          <w:szCs w:val="24"/>
        </w:rPr>
        <w:t xml:space="preserve"> Century Partnership for STEM Education</w:t>
      </w:r>
      <w:r w:rsidR="00C278E6">
        <w:rPr>
          <w:rFonts w:eastAsiaTheme="minorEastAsia"/>
          <w:szCs w:val="24"/>
        </w:rPr>
        <w:t xml:space="preserve"> (21PSTEM)</w:t>
      </w:r>
    </w:p>
    <w:p w:rsidR="0034424D" w:rsidRDefault="0034424D" w:rsidP="00272D3A">
      <w:pPr>
        <w:spacing w:line="240" w:lineRule="auto"/>
        <w:rPr>
          <w:rFonts w:eastAsiaTheme="minorEastAsia"/>
          <w:szCs w:val="24"/>
        </w:rPr>
      </w:pPr>
    </w:p>
    <w:p w:rsidR="00272D3A" w:rsidRDefault="00272D3A" w:rsidP="00C278E6">
      <w:pPr>
        <w:spacing w:line="240" w:lineRule="auto"/>
        <w:ind w:left="1440" w:firstLine="720"/>
        <w:rPr>
          <w:rFonts w:eastAsiaTheme="minorEastAsia"/>
          <w:szCs w:val="24"/>
        </w:rPr>
      </w:pPr>
      <w:r>
        <w:rPr>
          <w:rFonts w:eastAsiaTheme="minorEastAsia"/>
          <w:szCs w:val="24"/>
        </w:rPr>
        <w:t>Graduate School of Education</w:t>
      </w:r>
    </w:p>
    <w:p w:rsidR="00272D3A" w:rsidRDefault="00272D3A" w:rsidP="00C278E6">
      <w:pPr>
        <w:spacing w:line="240" w:lineRule="auto"/>
        <w:ind w:left="1440" w:firstLine="720"/>
        <w:rPr>
          <w:rFonts w:eastAsiaTheme="minorEastAsia"/>
          <w:szCs w:val="24"/>
        </w:rPr>
      </w:pPr>
      <w:r>
        <w:rPr>
          <w:rFonts w:eastAsiaTheme="minorEastAsia"/>
          <w:szCs w:val="24"/>
        </w:rPr>
        <w:t>University of Pennsylvania</w:t>
      </w:r>
    </w:p>
    <w:p w:rsidR="00272D3A" w:rsidRDefault="00272D3A" w:rsidP="00272D3A">
      <w:pPr>
        <w:spacing w:line="240" w:lineRule="auto"/>
        <w:ind w:left="1440" w:firstLine="720"/>
        <w:rPr>
          <w:rFonts w:eastAsiaTheme="minorEastAsia"/>
          <w:szCs w:val="24"/>
        </w:rPr>
      </w:pPr>
    </w:p>
    <w:p w:rsidR="00272D3A" w:rsidRDefault="00272D3A" w:rsidP="00272D3A">
      <w:pPr>
        <w:spacing w:line="240" w:lineRule="auto"/>
        <w:ind w:left="1440" w:firstLine="720"/>
        <w:rPr>
          <w:rFonts w:eastAsiaTheme="minorEastAsia"/>
          <w:szCs w:val="24"/>
        </w:rPr>
      </w:pPr>
    </w:p>
    <w:p w:rsidR="00272D3A" w:rsidRDefault="00272D3A" w:rsidP="00272D3A">
      <w:pPr>
        <w:spacing w:line="240" w:lineRule="auto"/>
        <w:ind w:left="1440" w:firstLine="720"/>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r>
        <w:rPr>
          <w:rFonts w:eastAsiaTheme="minorEastAsia"/>
          <w:szCs w:val="24"/>
        </w:rPr>
        <w:t>The authors would like to acknowledge the support of Grant DRL-</w:t>
      </w:r>
      <w:r w:rsidR="00893A94">
        <w:rPr>
          <w:rFonts w:eastAsiaTheme="minorEastAsia"/>
          <w:szCs w:val="24"/>
        </w:rPr>
        <w:t>1337200/</w:t>
      </w:r>
      <w:r>
        <w:rPr>
          <w:rFonts w:eastAsiaTheme="minorEastAsia"/>
          <w:szCs w:val="24"/>
        </w:rPr>
        <w:t>1337237 from the National Science Foundation.</w:t>
      </w:r>
      <w:r w:rsidR="00142C6C">
        <w:rPr>
          <w:rFonts w:eastAsiaTheme="minorEastAsia"/>
          <w:szCs w:val="24"/>
        </w:rPr>
        <w:t xml:space="preserve"> </w:t>
      </w:r>
      <w:r>
        <w:rPr>
          <w:rFonts w:eastAsiaTheme="minorEastAsia"/>
          <w:szCs w:val="24"/>
        </w:rPr>
        <w:t>The views expressed here are those of the authors and not necessarily those of the Foundation.</w:t>
      </w: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b/>
          <w:szCs w:val="24"/>
        </w:rPr>
      </w:pPr>
      <w:r>
        <w:rPr>
          <w:rFonts w:eastAsiaTheme="minorEastAsia"/>
          <w:b/>
          <w:szCs w:val="24"/>
        </w:rPr>
        <w:t xml:space="preserve">Ambient Positional Instability among </w:t>
      </w:r>
      <w:r w:rsidR="0034424D">
        <w:rPr>
          <w:rFonts w:eastAsiaTheme="minorEastAsia"/>
          <w:b/>
          <w:szCs w:val="24"/>
        </w:rPr>
        <w:t xml:space="preserve">Ohio Math and Science Teachers: </w:t>
      </w:r>
      <w:r>
        <w:rPr>
          <w:rFonts w:eastAsiaTheme="minorEastAsia"/>
          <w:b/>
          <w:szCs w:val="24"/>
        </w:rPr>
        <w:t>200</w:t>
      </w:r>
      <w:r w:rsidR="0034424D">
        <w:rPr>
          <w:rFonts w:eastAsiaTheme="minorEastAsia"/>
          <w:b/>
          <w:szCs w:val="24"/>
        </w:rPr>
        <w:t>8-2014</w:t>
      </w:r>
    </w:p>
    <w:p w:rsidR="00272D3A" w:rsidRDefault="0034424D" w:rsidP="00272D3A">
      <w:pPr>
        <w:spacing w:line="240" w:lineRule="auto"/>
        <w:rPr>
          <w:rFonts w:eastAsiaTheme="minorEastAsia"/>
          <w:szCs w:val="24"/>
        </w:rPr>
      </w:pPr>
      <w:r>
        <w:rPr>
          <w:rFonts w:eastAsiaTheme="minorEastAsia"/>
          <w:szCs w:val="24"/>
        </w:rPr>
        <w:t>John Baker</w:t>
      </w:r>
      <w:r w:rsidR="00272D3A">
        <w:rPr>
          <w:rFonts w:eastAsiaTheme="minorEastAsia"/>
          <w:szCs w:val="24"/>
        </w:rPr>
        <w:t xml:space="preserve"> and Robert Boruch</w:t>
      </w:r>
    </w:p>
    <w:p w:rsidR="00272D3A" w:rsidRDefault="00272D3A" w:rsidP="00272D3A">
      <w:pPr>
        <w:spacing w:line="240" w:lineRule="auto"/>
        <w:rPr>
          <w:rFonts w:eastAsiaTheme="minorEastAsia"/>
          <w:szCs w:val="24"/>
        </w:rPr>
      </w:pPr>
      <w:r>
        <w:rPr>
          <w:rFonts w:eastAsiaTheme="minorEastAsia"/>
          <w:szCs w:val="24"/>
        </w:rPr>
        <w:t>Working Paper/Briefing: API-</w:t>
      </w:r>
      <w:r w:rsidR="0034424D">
        <w:rPr>
          <w:rFonts w:eastAsiaTheme="minorEastAsia"/>
          <w:szCs w:val="24"/>
        </w:rPr>
        <w:t>Ohio</w:t>
      </w:r>
    </w:p>
    <w:p w:rsidR="00272D3A" w:rsidRDefault="00AA1894" w:rsidP="00272D3A">
      <w:pPr>
        <w:spacing w:line="240" w:lineRule="auto"/>
        <w:rPr>
          <w:rFonts w:eastAsiaTheme="minorEastAsia"/>
          <w:szCs w:val="24"/>
        </w:rPr>
      </w:pPr>
      <w:r>
        <w:rPr>
          <w:rFonts w:eastAsiaTheme="minorEastAsia"/>
          <w:szCs w:val="24"/>
        </w:rPr>
        <w:lastRenderedPageBreak/>
        <w:t>April 30</w:t>
      </w:r>
      <w:r w:rsidR="00661B45">
        <w:rPr>
          <w:rFonts w:eastAsiaTheme="minorEastAsia"/>
          <w:szCs w:val="24"/>
        </w:rPr>
        <w:t>, 2015</w:t>
      </w:r>
    </w:p>
    <w:p w:rsidR="00272D3A" w:rsidRDefault="00272D3A" w:rsidP="00272D3A">
      <w:pPr>
        <w:spacing w:line="240" w:lineRule="auto"/>
        <w:rPr>
          <w:rFonts w:eastAsiaTheme="minorEastAsia"/>
          <w:szCs w:val="24"/>
        </w:rPr>
      </w:pPr>
    </w:p>
    <w:p w:rsidR="00272D3A" w:rsidRDefault="00272D3A" w:rsidP="00272D3A">
      <w:pPr>
        <w:spacing w:line="240" w:lineRule="auto"/>
        <w:rPr>
          <w:rFonts w:eastAsiaTheme="minorEastAsia"/>
          <w:szCs w:val="24"/>
        </w:rPr>
      </w:pPr>
      <w:r>
        <w:rPr>
          <w:rFonts w:eastAsiaTheme="minorEastAsia"/>
          <w:szCs w:val="24"/>
        </w:rPr>
        <w:tab/>
      </w:r>
      <w:r>
        <w:rPr>
          <w:rFonts w:eastAsiaTheme="minorEastAsia"/>
          <w:szCs w:val="24"/>
        </w:rPr>
        <w:tab/>
      </w:r>
      <w:r>
        <w:rPr>
          <w:rFonts w:eastAsiaTheme="minorEastAsia"/>
          <w:szCs w:val="24"/>
        </w:rPr>
        <w:tab/>
      </w:r>
      <w:r w:rsidR="00A22DD8">
        <w:rPr>
          <w:rFonts w:eastAsiaTheme="minorEastAsia"/>
          <w:szCs w:val="24"/>
        </w:rPr>
        <w:t xml:space="preserve"> </w:t>
      </w:r>
    </w:p>
    <w:p w:rsidR="00272D3A" w:rsidRDefault="00272D3A" w:rsidP="00A65C39">
      <w:pPr>
        <w:spacing w:line="240" w:lineRule="auto"/>
        <w:jc w:val="center"/>
        <w:rPr>
          <w:rFonts w:eastAsiaTheme="minorEastAsia"/>
          <w:b/>
          <w:szCs w:val="24"/>
        </w:rPr>
      </w:pPr>
      <w:r>
        <w:rPr>
          <w:rFonts w:eastAsiaTheme="minorEastAsia"/>
          <w:b/>
          <w:szCs w:val="24"/>
        </w:rPr>
        <w:t>ABSTRACT</w:t>
      </w:r>
    </w:p>
    <w:p w:rsidR="00272D3A" w:rsidRDefault="00272D3A" w:rsidP="00272D3A">
      <w:pPr>
        <w:spacing w:line="240" w:lineRule="auto"/>
        <w:rPr>
          <w:rFonts w:eastAsiaTheme="minorEastAsia"/>
          <w:szCs w:val="24"/>
        </w:rPr>
      </w:pPr>
    </w:p>
    <w:p w:rsidR="0034424D" w:rsidRDefault="0034424D" w:rsidP="00272D3A">
      <w:pPr>
        <w:spacing w:line="480" w:lineRule="auto"/>
        <w:rPr>
          <w:rFonts w:eastAsiaTheme="minorEastAsia"/>
          <w:szCs w:val="24"/>
        </w:rPr>
      </w:pPr>
    </w:p>
    <w:p w:rsidR="0034424D" w:rsidRDefault="0034424D" w:rsidP="00272D3A">
      <w:pPr>
        <w:spacing w:line="480" w:lineRule="auto"/>
        <w:rPr>
          <w:rFonts w:eastAsiaTheme="minorEastAsia"/>
          <w:szCs w:val="24"/>
        </w:rPr>
      </w:pPr>
    </w:p>
    <w:p w:rsidR="0034424D" w:rsidRDefault="0034424D" w:rsidP="00272D3A">
      <w:pPr>
        <w:spacing w:line="480" w:lineRule="auto"/>
      </w:pPr>
      <w:r>
        <w:t xml:space="preserve">This briefing is on teacher retention and Ambient Positional Instability (API) rates from 2008-09 to 2013-14 for </w:t>
      </w:r>
      <w:r w:rsidRPr="00DE0B17">
        <w:t>math and science</w:t>
      </w:r>
      <w:r>
        <w:t xml:space="preserve"> teachers in the state of Ohio.</w:t>
      </w:r>
      <w:r w:rsidR="00142C6C">
        <w:t xml:space="preserve"> </w:t>
      </w:r>
      <w:r w:rsidR="00DE0B17">
        <w:t xml:space="preserve">API is investigated in two ways; first, the </w:t>
      </w:r>
      <w:r w:rsidR="00A65C39">
        <w:t>retention</w:t>
      </w:r>
      <w:r w:rsidR="00DE0B17">
        <w:t xml:space="preserve"> of </w:t>
      </w:r>
      <w:r w:rsidR="00A65C39">
        <w:t xml:space="preserve">all </w:t>
      </w:r>
      <w:r w:rsidR="00DE0B17">
        <w:t>math and science teachers teaching in the 2008-09 school year are followed over five years and</w:t>
      </w:r>
      <w:r w:rsidR="00142C6C">
        <w:t>,</w:t>
      </w:r>
      <w:r w:rsidR="00DE0B17">
        <w:t xml:space="preserve"> second, </w:t>
      </w:r>
      <w:r w:rsidR="00893A94">
        <w:t xml:space="preserve">year-to-year retention is tracked </w:t>
      </w:r>
      <w:r w:rsidR="00142C6C">
        <w:t xml:space="preserve">over the same time period. Data analyses are presented with key findings identified. </w:t>
      </w:r>
      <w:r w:rsidR="00661B45">
        <w:t xml:space="preserve">Findings include: </w:t>
      </w:r>
      <w:r w:rsidR="00893A94">
        <w:t>only one in two teachers, on average, will be teaching the same subject(s) at the same school after five years</w:t>
      </w:r>
      <w:r w:rsidR="00661B45">
        <w:t>; t</w:t>
      </w:r>
      <w:r w:rsidR="00142C6C">
        <w:t>eachers in non-charter public</w:t>
      </w:r>
      <w:r w:rsidR="00661B45">
        <w:t xml:space="preserve"> high</w:t>
      </w:r>
      <w:r w:rsidR="00142C6C">
        <w:t xml:space="preserve"> schools in the five largest cities in Ohio have roughly 50% higher API than those teaching in non-charter hi</w:t>
      </w:r>
      <w:r w:rsidR="00661B45">
        <w:t>gh schools outside those cities; and c</w:t>
      </w:r>
      <w:r w:rsidR="00142C6C">
        <w:t xml:space="preserve">harter schools have the highest level of API of any of the populations of </w:t>
      </w:r>
      <w:r w:rsidR="00661B45">
        <w:t xml:space="preserve">high </w:t>
      </w:r>
      <w:r w:rsidR="00A65C39">
        <w:t>school teachers</w:t>
      </w:r>
      <w:r w:rsidR="00142C6C">
        <w:t xml:space="preserve"> investigated. Implications for schools and research projects targeting </w:t>
      </w:r>
      <w:r w:rsidR="00661B45">
        <w:t>high</w:t>
      </w:r>
      <w:r w:rsidR="00142C6C">
        <w:t xml:space="preserve"> schools in Ohio are discussed.</w:t>
      </w:r>
    </w:p>
    <w:p w:rsidR="0034424D" w:rsidRDefault="0034424D" w:rsidP="00272D3A">
      <w:pPr>
        <w:spacing w:line="480" w:lineRule="auto"/>
      </w:pPr>
    </w:p>
    <w:p w:rsidR="00272D3A" w:rsidRDefault="00272D3A" w:rsidP="00272D3A">
      <w:pPr>
        <w:spacing w:line="480" w:lineRule="auto"/>
        <w:rPr>
          <w:rFonts w:eastAsiaTheme="minorEastAsia"/>
          <w:szCs w:val="24"/>
        </w:rPr>
      </w:pPr>
    </w:p>
    <w:p w:rsidR="00272D3A" w:rsidRDefault="00272D3A" w:rsidP="00272D3A">
      <w:pPr>
        <w:spacing w:line="480" w:lineRule="auto"/>
        <w:ind w:firstLine="720"/>
        <w:rPr>
          <w:rFonts w:eastAsiaTheme="minorEastAsia"/>
          <w:szCs w:val="24"/>
        </w:rPr>
      </w:pPr>
    </w:p>
    <w:p w:rsidR="00272D3A" w:rsidRDefault="0034424D" w:rsidP="00272D3A">
      <w:pPr>
        <w:spacing w:line="480" w:lineRule="auto"/>
        <w:rPr>
          <w:rFonts w:eastAsiaTheme="minorEastAsia"/>
          <w:szCs w:val="24"/>
        </w:rPr>
      </w:pPr>
      <w:r>
        <w:rPr>
          <w:rFonts w:eastAsiaTheme="minorEastAsia"/>
          <w:szCs w:val="24"/>
        </w:rPr>
        <w:t>John Baker</w:t>
      </w:r>
      <w:r w:rsidR="00272D3A">
        <w:rPr>
          <w:rFonts w:eastAsiaTheme="minorEastAsia"/>
          <w:szCs w:val="24"/>
        </w:rPr>
        <w:t xml:space="preserve">, </w:t>
      </w:r>
      <w:r>
        <w:rPr>
          <w:rFonts w:eastAsiaTheme="minorEastAsia"/>
          <w:szCs w:val="24"/>
        </w:rPr>
        <w:t>21</w:t>
      </w:r>
      <w:r w:rsidRPr="0034424D">
        <w:rPr>
          <w:rFonts w:eastAsiaTheme="minorEastAsia"/>
          <w:szCs w:val="24"/>
          <w:vertAlign w:val="superscript"/>
        </w:rPr>
        <w:t>st</w:t>
      </w:r>
      <w:r>
        <w:rPr>
          <w:rFonts w:eastAsiaTheme="minorEastAsia"/>
          <w:szCs w:val="24"/>
        </w:rPr>
        <w:t xml:space="preserve"> Century Partnership for STEM Education/jbaker@21pstem.org</w:t>
      </w:r>
    </w:p>
    <w:p w:rsidR="00272D3A" w:rsidRDefault="00272D3A" w:rsidP="00272D3A">
      <w:pPr>
        <w:spacing w:line="480" w:lineRule="auto"/>
        <w:rPr>
          <w:rFonts w:eastAsiaTheme="minorEastAsia"/>
          <w:szCs w:val="24"/>
        </w:rPr>
      </w:pPr>
      <w:r>
        <w:rPr>
          <w:rFonts w:eastAsiaTheme="minorEastAsia"/>
          <w:szCs w:val="24"/>
        </w:rPr>
        <w:t xml:space="preserve">Robert Boruch, University of </w:t>
      </w:r>
      <w:r w:rsidRPr="0034424D">
        <w:rPr>
          <w:rFonts w:eastAsiaTheme="minorEastAsia"/>
          <w:szCs w:val="24"/>
        </w:rPr>
        <w:t>Pennsylvania/robertb@gse.upenn.edu</w:t>
      </w:r>
    </w:p>
    <w:p w:rsidR="00272D3A" w:rsidRDefault="00272D3A"/>
    <w:p w:rsidR="0034424D" w:rsidRDefault="0034424D">
      <w:r>
        <w:br w:type="page"/>
      </w:r>
    </w:p>
    <w:p w:rsidR="005F7ECF" w:rsidRDefault="005F7ECF" w:rsidP="00C03FCC">
      <w:pPr>
        <w:jc w:val="center"/>
      </w:pPr>
      <w:r>
        <w:lastRenderedPageBreak/>
        <w:t>Ohio</w:t>
      </w:r>
      <w:r w:rsidR="00E42BC2">
        <w:t>’s</w:t>
      </w:r>
      <w:r>
        <w:t xml:space="preserve"> </w:t>
      </w:r>
      <w:r w:rsidR="00E42BC2">
        <w:t xml:space="preserve">Teacher </w:t>
      </w:r>
      <w:r>
        <w:t>Retention</w:t>
      </w:r>
      <w:r w:rsidR="00E42BC2">
        <w:t xml:space="preserve"> and Ambient </w:t>
      </w:r>
      <w:r w:rsidR="00D12B24">
        <w:t>Positional</w:t>
      </w:r>
      <w:r w:rsidR="00E42BC2">
        <w:t xml:space="preserve"> </w:t>
      </w:r>
      <w:r w:rsidR="00D12B24">
        <w:t>Instability</w:t>
      </w:r>
      <w:r w:rsidR="00E42BC2">
        <w:t xml:space="preserve"> </w:t>
      </w:r>
      <w:r>
        <w:t>Rates</w:t>
      </w:r>
    </w:p>
    <w:p w:rsidR="00F63175" w:rsidRDefault="00F63175" w:rsidP="00C03FCC">
      <w:pPr>
        <w:jc w:val="center"/>
      </w:pPr>
    </w:p>
    <w:p w:rsidR="009152B4" w:rsidRDefault="00F63175" w:rsidP="009152B4">
      <w:pPr>
        <w:jc w:val="center"/>
      </w:pPr>
      <w:r>
        <w:t>John Y</w:t>
      </w:r>
      <w:r w:rsidR="00E42BC2">
        <w:t>.</w:t>
      </w:r>
      <w:r>
        <w:t xml:space="preserve"> Baker</w:t>
      </w:r>
      <w:r w:rsidR="00C94926">
        <w:t xml:space="preserve"> and </w:t>
      </w:r>
      <w:r w:rsidR="00D12B24">
        <w:t>Bob Boruch</w:t>
      </w:r>
    </w:p>
    <w:p w:rsidR="00F63175" w:rsidRDefault="00661B45" w:rsidP="00C03FCC">
      <w:pPr>
        <w:jc w:val="center"/>
      </w:pPr>
      <w:r>
        <w:t xml:space="preserve">April </w:t>
      </w:r>
      <w:r w:rsidR="00AA1894">
        <w:t>30</w:t>
      </w:r>
      <w:r>
        <w:t>, 2015</w:t>
      </w:r>
    </w:p>
    <w:p w:rsidR="00B116EE" w:rsidRDefault="00B116EE" w:rsidP="00C03FCC">
      <w:pPr>
        <w:jc w:val="center"/>
      </w:pPr>
    </w:p>
    <w:p w:rsidR="00B116EE" w:rsidRPr="00D12B24" w:rsidRDefault="00B116EE" w:rsidP="00C03FCC">
      <w:pPr>
        <w:jc w:val="center"/>
        <w:rPr>
          <w:b/>
        </w:rPr>
      </w:pPr>
      <w:r w:rsidRPr="00D12B24">
        <w:rPr>
          <w:b/>
        </w:rPr>
        <w:t>Introduction</w:t>
      </w:r>
    </w:p>
    <w:p w:rsidR="005F7ECF" w:rsidRDefault="005F7ECF" w:rsidP="00C03FCC">
      <w:pPr>
        <w:jc w:val="center"/>
      </w:pPr>
    </w:p>
    <w:p w:rsidR="00661B45" w:rsidRDefault="005F7ECF" w:rsidP="00661B45">
      <w:r>
        <w:t>Th</w:t>
      </w:r>
      <w:r w:rsidR="00D12B24">
        <w:t>is briefing is on</w:t>
      </w:r>
      <w:r>
        <w:t xml:space="preserve"> </w:t>
      </w:r>
      <w:r w:rsidR="001137BC">
        <w:t xml:space="preserve">teacher </w:t>
      </w:r>
      <w:r>
        <w:t>retention</w:t>
      </w:r>
      <w:r w:rsidR="00B116EE">
        <w:t xml:space="preserve"> and Ambient Positional Instability (API) </w:t>
      </w:r>
      <w:r>
        <w:t>rates from</w:t>
      </w:r>
      <w:r w:rsidR="001137BC">
        <w:t xml:space="preserve"> 2008-</w:t>
      </w:r>
      <w:r w:rsidR="00661B45">
        <w:t>20</w:t>
      </w:r>
      <w:r w:rsidR="001137BC">
        <w:t>09 to 2013-</w:t>
      </w:r>
      <w:r w:rsidR="00661B45">
        <w:t>20</w:t>
      </w:r>
      <w:r w:rsidR="001137BC">
        <w:t>14 for</w:t>
      </w:r>
      <w:r>
        <w:t xml:space="preserve"> </w:t>
      </w:r>
      <w:r w:rsidR="00D12B24" w:rsidRPr="001137BC">
        <w:rPr>
          <w:b/>
        </w:rPr>
        <w:t>math</w:t>
      </w:r>
      <w:r w:rsidR="00D12B24">
        <w:t xml:space="preserve"> and </w:t>
      </w:r>
      <w:r w:rsidR="00D12B24" w:rsidRPr="001137BC">
        <w:rPr>
          <w:b/>
        </w:rPr>
        <w:t>science</w:t>
      </w:r>
      <w:r w:rsidR="00D12B24">
        <w:t xml:space="preserve"> </w:t>
      </w:r>
      <w:r w:rsidR="00C94926">
        <w:t xml:space="preserve">teachers in </w:t>
      </w:r>
      <w:r>
        <w:t xml:space="preserve">the </w:t>
      </w:r>
      <w:r w:rsidR="00975D26">
        <w:t>s</w:t>
      </w:r>
      <w:r>
        <w:t>tate of Ohio.</w:t>
      </w:r>
      <w:r w:rsidR="00142C6C">
        <w:t xml:space="preserve"> </w:t>
      </w:r>
      <w:r w:rsidR="00B116EE">
        <w:t>The work is part of a project on API sponsored by the National Science Foundation and undertaken by 21PSTEM and the University of Pennsylvania.</w:t>
      </w:r>
      <w:r w:rsidR="00142C6C">
        <w:t xml:space="preserve"> </w:t>
      </w:r>
      <w:r w:rsidR="00661B45">
        <w:t>Ambient Positional Instability, as a metric, goes beyond typical measures of teacher attrition to include both those teachers who leave a school and those who remain but do not retain the same position. This second group is often ignored in policy discussions. We argue that it should not. Given our experience in educational research, in particular our experience conducting a randomized cluster trial targeting middle school science teachers</w:t>
      </w:r>
      <w:r w:rsidR="00A65C39">
        <w:rPr>
          <w:rStyle w:val="EndnoteReference"/>
        </w:rPr>
        <w:endnoteReference w:id="1"/>
      </w:r>
      <w:r w:rsidR="00661B45">
        <w:t xml:space="preserve">, we have found that changes in teacher position can </w:t>
      </w:r>
      <w:r w:rsidR="00C278E6">
        <w:t>have</w:t>
      </w:r>
      <w:r w:rsidR="00661B45">
        <w:t xml:space="preserve"> </w:t>
      </w:r>
      <w:r w:rsidR="00C278E6">
        <w:t xml:space="preserve">a </w:t>
      </w:r>
      <w:r w:rsidR="00661B45">
        <w:t xml:space="preserve">catastrophic </w:t>
      </w:r>
      <w:r w:rsidR="00C278E6">
        <w:t>impact on</w:t>
      </w:r>
      <w:r w:rsidR="00661B45">
        <w:t xml:space="preserve"> a multi-year study. Positional instability also has the potential to undermine school district initiatives where specific grades or subjects are targeted and </w:t>
      </w:r>
      <w:r w:rsidR="00893A94">
        <w:t xml:space="preserve">then </w:t>
      </w:r>
      <w:r w:rsidR="00661B45">
        <w:t xml:space="preserve">trained teachers are </w:t>
      </w:r>
      <w:r w:rsidR="00893A94">
        <w:t xml:space="preserve">later </w:t>
      </w:r>
      <w:r w:rsidR="00661B45">
        <w:t>shifted. There are many other possible effects of API, not all of which are negative. A manuscript further discussing these issues is in development</w:t>
      </w:r>
      <w:r w:rsidR="00C278E6">
        <w:rPr>
          <w:rStyle w:val="EndnoteReference"/>
        </w:rPr>
        <w:endnoteReference w:id="2"/>
      </w:r>
      <w:r w:rsidR="00661B45">
        <w:t xml:space="preserve">. For this brief, it </w:t>
      </w:r>
      <w:r w:rsidR="001D7F55">
        <w:t>suffices</w:t>
      </w:r>
      <w:r w:rsidR="00661B45">
        <w:t xml:space="preserve"> to say that API is worth investigating.</w:t>
      </w:r>
    </w:p>
    <w:p w:rsidR="00893A94" w:rsidRDefault="00893A94" w:rsidP="00661B45"/>
    <w:p w:rsidR="00893A94" w:rsidRDefault="00893A94" w:rsidP="00893A94">
      <w:r>
        <w:t>The following material outlines our analyses and provides information about the data resources and on their integration and editing. The statistical data in the charts here is foundational. A section summarizing salient findings in words is presented followed by a brief conclusion.</w:t>
      </w:r>
    </w:p>
    <w:p w:rsidR="00893A94" w:rsidRDefault="00893A94" w:rsidP="00661B45"/>
    <w:p w:rsidR="00661B45" w:rsidRDefault="00661B45" w:rsidP="00661B45"/>
    <w:p w:rsidR="00661B45" w:rsidRPr="00D12B24" w:rsidRDefault="00661B45" w:rsidP="00661B45">
      <w:pPr>
        <w:jc w:val="center"/>
        <w:rPr>
          <w:b/>
        </w:rPr>
      </w:pPr>
      <w:r w:rsidRPr="00D12B24">
        <w:rPr>
          <w:b/>
        </w:rPr>
        <w:t>Data Resources, Integration, and Editing</w:t>
      </w:r>
    </w:p>
    <w:p w:rsidR="00661B45" w:rsidRDefault="00661B45" w:rsidP="00661B45"/>
    <w:p w:rsidR="00661B45" w:rsidRDefault="00661B45" w:rsidP="00661B45">
      <w:r>
        <w:t xml:space="preserve">The data was accessed at the following public website: </w:t>
      </w:r>
      <w:hyperlink r:id="rId9" w:history="1">
        <w:r w:rsidRPr="004B551E">
          <w:rPr>
            <w:rStyle w:val="Hyperlink"/>
          </w:rPr>
          <w:t>http://reportcard.education.ohio.gov/Pages/</w:t>
        </w:r>
        <w:r>
          <w:rPr>
            <w:rStyle w:val="Hyperlink"/>
          </w:rPr>
          <w:t xml:space="preserve"> </w:t>
        </w:r>
        <w:r w:rsidRPr="004B551E">
          <w:rPr>
            <w:rStyle w:val="Hyperlink"/>
          </w:rPr>
          <w:t>Power-User-Reports.aspx</w:t>
        </w:r>
      </w:hyperlink>
      <w:r>
        <w:t>. Six data files were downloaded containing all math and science teachers from the state of Ohio, one for each of the six school years from 2008-2009 to 2013-2014. The data files include five relevant fields: Unique Teacher ID (identification), District ID, School ID, School Type (</w:t>
      </w:r>
      <w:r w:rsidR="00A65C39">
        <w:t>e</w:t>
      </w:r>
      <w:r>
        <w:t xml:space="preserve">lementary, </w:t>
      </w:r>
      <w:r w:rsidR="00A65C39">
        <w:t>m</w:t>
      </w:r>
      <w:r>
        <w:t xml:space="preserve">iddle, </w:t>
      </w:r>
      <w:r w:rsidR="00A65C39">
        <w:t>junior</w:t>
      </w:r>
      <w:r>
        <w:t xml:space="preserve"> </w:t>
      </w:r>
      <w:r w:rsidR="00A65C39">
        <w:t>h</w:t>
      </w:r>
      <w:r>
        <w:t xml:space="preserve">igh, or </w:t>
      </w:r>
      <w:r w:rsidR="00A65C39">
        <w:t>h</w:t>
      </w:r>
      <w:r>
        <w:t>igh), and Course Subject Area (</w:t>
      </w:r>
      <w:r w:rsidR="00A65C39">
        <w:t>m</w:t>
      </w:r>
      <w:r>
        <w:t xml:space="preserve">athematics or </w:t>
      </w:r>
      <w:r w:rsidR="00A65C39">
        <w:t>s</w:t>
      </w:r>
      <w:r>
        <w:t xml:space="preserve">cience). </w:t>
      </w:r>
      <w:r w:rsidR="00A22DD8">
        <w:t xml:space="preserve">The specificity of the publicly available Ohio data is restricted to whether a teacher teaches math or science and does not get at specific course assignment. More detailed data has been requested. </w:t>
      </w:r>
    </w:p>
    <w:p w:rsidR="00661B45" w:rsidRDefault="00661B45" w:rsidP="00661B45"/>
    <w:p w:rsidR="00661B45" w:rsidRDefault="00661B45" w:rsidP="00661B45">
      <w:r>
        <w:t xml:space="preserve">Each record in the data files represents a teacher ID </w:t>
      </w:r>
      <w:r w:rsidR="00A65C39">
        <w:t>associated with</w:t>
      </w:r>
      <w:r>
        <w:t xml:space="preserve"> a single school </w:t>
      </w:r>
      <w:r w:rsidR="00A65C39">
        <w:t>and</w:t>
      </w:r>
      <w:r>
        <w:t xml:space="preserve"> a single</w:t>
      </w:r>
      <w:r w:rsidR="00A65C39">
        <w:t xml:space="preserve"> course subject</w:t>
      </w:r>
      <w:r>
        <w:t xml:space="preserve"> </w:t>
      </w:r>
      <w:r w:rsidR="00A65C39">
        <w:t>area.</w:t>
      </w:r>
      <w:r w:rsidR="00A22DD8">
        <w:t xml:space="preserve"> </w:t>
      </w:r>
      <w:r>
        <w:t xml:space="preserve">Therefore, </w:t>
      </w:r>
      <w:r w:rsidR="00A65C39">
        <w:t>a teacher ID</w:t>
      </w:r>
      <w:r>
        <w:t xml:space="preserve"> can exist more than once in </w:t>
      </w:r>
      <w:r w:rsidR="00A65C39">
        <w:t>a</w:t>
      </w:r>
      <w:r>
        <w:t xml:space="preserve"> file</w:t>
      </w:r>
      <w:r w:rsidR="00893A94">
        <w:t xml:space="preserve"> for teachers with multiple assignments</w:t>
      </w:r>
      <w:r>
        <w:t>.</w:t>
      </w:r>
      <w:r w:rsidR="00A22DD8">
        <w:t xml:space="preserve"> </w:t>
      </w:r>
      <w:r w:rsidR="00A65C39">
        <w:t>For example, a</w:t>
      </w:r>
      <w:r>
        <w:t xml:space="preserve"> teacher ID exists multiple tim</w:t>
      </w:r>
      <w:r w:rsidR="00A65C39">
        <w:t xml:space="preserve">es in a file if he or she </w:t>
      </w:r>
      <w:r>
        <w:t>teaches both mathematics and science in a given year. A teacher ID also exists multiple times if he or she teaches at multiple schools. In addition, some teachers in the files are not attached to any schools (e.g., math and science teachers attached to regional Education Service Centers that support local school districts).</w:t>
      </w:r>
    </w:p>
    <w:p w:rsidR="00661B45" w:rsidRDefault="00661B45" w:rsidP="00661B45"/>
    <w:p w:rsidR="00661B45" w:rsidRDefault="00661B45" w:rsidP="006A6141">
      <w:r>
        <w:t xml:space="preserve">In any big data project such as this, the accessible data must be edited so as to ensure understanding and coherence in its interpretation. The publicly accessible records from Ohio were edited as follows. All teachers who were not assigned to a school and all teachers who were assigned to more than one school were removed from the file. This left only teachers who taught at a single school in each of the data files. The data was then restructured so that multiple teacher records for any given ID (i.e., for those who taught both math and science) were merged into a single record. A new Subject Area field was created in the merged record with the following </w:t>
      </w:r>
      <w:r w:rsidR="00893A94">
        <w:t>categories</w:t>
      </w:r>
      <w:r>
        <w:t xml:space="preserve">: </w:t>
      </w:r>
      <w:r w:rsidR="00A65C39">
        <w:t>s</w:t>
      </w:r>
      <w:r>
        <w:t xml:space="preserve">cience teacher, </w:t>
      </w:r>
      <w:r w:rsidR="00A65C39">
        <w:t>m</w:t>
      </w:r>
      <w:r>
        <w:t xml:space="preserve">ath teacher, </w:t>
      </w:r>
      <w:r w:rsidR="00893A94">
        <w:t xml:space="preserve">and </w:t>
      </w:r>
      <w:r w:rsidR="00A65C39">
        <w:t>m</w:t>
      </w:r>
      <w:r>
        <w:t>ath and science teacher. The data files from the six school year</w:t>
      </w:r>
      <w:r w:rsidR="00A65C39">
        <w:t>s were then merged and analyzed.</w:t>
      </w:r>
    </w:p>
    <w:p w:rsidR="00A65C39" w:rsidRDefault="00A65C39" w:rsidP="006A6141"/>
    <w:p w:rsidR="00B116EE" w:rsidRDefault="00B116EE" w:rsidP="006A6141">
      <w:pPr>
        <w:rPr>
          <w:b/>
        </w:rPr>
      </w:pPr>
      <w:r>
        <w:tab/>
      </w:r>
      <w:r>
        <w:tab/>
      </w:r>
      <w:r>
        <w:tab/>
      </w:r>
      <w:r>
        <w:tab/>
      </w:r>
      <w:r>
        <w:tab/>
      </w:r>
      <w:r>
        <w:tab/>
      </w:r>
      <w:r w:rsidRPr="00D12B24">
        <w:rPr>
          <w:b/>
        </w:rPr>
        <w:t>Analyses</w:t>
      </w:r>
    </w:p>
    <w:p w:rsidR="00661B45" w:rsidRPr="00D12B24" w:rsidRDefault="00661B45" w:rsidP="006A6141">
      <w:pPr>
        <w:rPr>
          <w:b/>
        </w:rPr>
      </w:pPr>
    </w:p>
    <w:p w:rsidR="00B116EE" w:rsidRDefault="00661B45" w:rsidP="006A6141">
      <w:r>
        <w:t>Five</w:t>
      </w:r>
      <w:r w:rsidR="001137BC">
        <w:t xml:space="preserve"> different populations were investigated</w:t>
      </w:r>
      <w:r>
        <w:t xml:space="preserve"> within the data</w:t>
      </w:r>
      <w:r w:rsidR="00B116EE">
        <w:t xml:space="preserve">. </w:t>
      </w:r>
      <w:r w:rsidR="00D12B24">
        <w:t>Descriptive</w:t>
      </w:r>
      <w:r w:rsidR="00B116EE">
        <w:t xml:space="preserve"> statistics are presented for</w:t>
      </w:r>
      <w:r>
        <w:t>: (1)</w:t>
      </w:r>
      <w:r w:rsidR="00B116EE">
        <w:t xml:space="preserve"> </w:t>
      </w:r>
      <w:r w:rsidR="001137BC">
        <w:t xml:space="preserve">K-12 </w:t>
      </w:r>
      <w:r>
        <w:t xml:space="preserve">math and science </w:t>
      </w:r>
      <w:r w:rsidR="001137BC">
        <w:t>teachers in the state</w:t>
      </w:r>
      <w:r w:rsidR="00DA702B">
        <w:rPr>
          <w:rStyle w:val="EndnoteReference"/>
        </w:rPr>
        <w:endnoteReference w:id="3"/>
      </w:r>
      <w:r>
        <w:t>;</w:t>
      </w:r>
      <w:r w:rsidR="001137BC">
        <w:t xml:space="preserve"> </w:t>
      </w:r>
      <w:r>
        <w:t>(2) math and science</w:t>
      </w:r>
      <w:r w:rsidR="001137BC">
        <w:t xml:space="preserve"> teachers at non-charter public </w:t>
      </w:r>
      <w:r w:rsidR="00975D26">
        <w:t xml:space="preserve">high school </w:t>
      </w:r>
      <w:r>
        <w:t>schools;</w:t>
      </w:r>
      <w:r w:rsidR="0045046B">
        <w:t xml:space="preserve"> </w:t>
      </w:r>
      <w:r>
        <w:t>(3) math and science</w:t>
      </w:r>
      <w:r w:rsidR="0045046B">
        <w:t xml:space="preserve"> t</w:t>
      </w:r>
      <w:r>
        <w:t>eachers at charter</w:t>
      </w:r>
      <w:r w:rsidR="00A22DD8">
        <w:t>/community</w:t>
      </w:r>
      <w:r w:rsidR="00A22DD8">
        <w:rPr>
          <w:rStyle w:val="EndnoteReference"/>
        </w:rPr>
        <w:endnoteReference w:id="4"/>
      </w:r>
      <w:r>
        <w:t xml:space="preserve"> high schools;</w:t>
      </w:r>
      <w:r w:rsidR="0045046B">
        <w:t xml:space="preserve"> </w:t>
      </w:r>
      <w:r>
        <w:t>(4) math and science</w:t>
      </w:r>
      <w:r w:rsidR="001137BC">
        <w:t xml:space="preserve"> teachers at non-charter public </w:t>
      </w:r>
      <w:r w:rsidR="00975D26">
        <w:t xml:space="preserve">high school </w:t>
      </w:r>
      <w:r w:rsidR="001137BC">
        <w:t>schools in the five largest cities in Ohio</w:t>
      </w:r>
      <w:r>
        <w:t>; and (5) math and science teachers at non-charter public high schools outside of the five largest cities</w:t>
      </w:r>
      <w:r w:rsidR="00B116EE">
        <w:t>.</w:t>
      </w:r>
      <w:r w:rsidR="00142C6C">
        <w:t xml:space="preserve"> </w:t>
      </w:r>
      <w:r w:rsidR="00B116EE">
        <w:t xml:space="preserve">The </w:t>
      </w:r>
      <w:r>
        <w:t xml:space="preserve">five largest </w:t>
      </w:r>
      <w:r w:rsidR="00B116EE">
        <w:t xml:space="preserve">cities </w:t>
      </w:r>
      <w:r w:rsidR="00893A94">
        <w:t>are</w:t>
      </w:r>
      <w:r w:rsidR="001137BC">
        <w:t xml:space="preserve"> Columbus, Cleveland, Cincinnati, Toledo, and Akron</w:t>
      </w:r>
      <w:r w:rsidR="00B116EE">
        <w:t>.</w:t>
      </w:r>
      <w:r w:rsidR="00142C6C">
        <w:t xml:space="preserve"> </w:t>
      </w:r>
    </w:p>
    <w:p w:rsidR="00D12B24" w:rsidRDefault="00D12B24" w:rsidP="006A6141"/>
    <w:p w:rsidR="00661B45" w:rsidRDefault="00661B45" w:rsidP="00B116EE">
      <w:r>
        <w:t xml:space="preserve">Two types of analyses were conducted with each population: a </w:t>
      </w:r>
      <w:r w:rsidRPr="001137BC">
        <w:rPr>
          <w:b/>
        </w:rPr>
        <w:t>cohort</w:t>
      </w:r>
      <w:r>
        <w:t xml:space="preserve"> retention approach and a </w:t>
      </w:r>
      <w:r w:rsidRPr="001137BC">
        <w:rPr>
          <w:b/>
        </w:rPr>
        <w:t>year-to-year</w:t>
      </w:r>
      <w:r>
        <w:t xml:space="preserve"> retention approach.</w:t>
      </w:r>
      <w:r w:rsidR="00A65C39">
        <w:t xml:space="preserve"> </w:t>
      </w:r>
      <w:r w:rsidR="00A22DD8">
        <w:t>The cohort approach investigate</w:t>
      </w:r>
      <w:r w:rsidR="00C31991">
        <w:t>d</w:t>
      </w:r>
      <w:r w:rsidR="00A22DD8">
        <w:t xml:space="preserve"> the retention of the population of math and science teachers from the 2008-2009 school year through the 2013-2014 school year. The year-to-year approach investigate</w:t>
      </w:r>
      <w:r w:rsidR="00C31991">
        <w:t>d</w:t>
      </w:r>
      <w:r w:rsidR="00A22DD8">
        <w:t xml:space="preserve"> retention of all teachers from one year to the next. For instance, retention of all 2010-2011 math and science teachers into the 2011-2012 school year is reported.</w:t>
      </w:r>
    </w:p>
    <w:p w:rsidR="00661B45" w:rsidRDefault="00661B45" w:rsidP="00B116EE"/>
    <w:p w:rsidR="00A22DD8" w:rsidRDefault="001137BC" w:rsidP="00661B45">
      <w:r>
        <w:t>Within each of these populations</w:t>
      </w:r>
      <w:r w:rsidR="00A22DD8">
        <w:t xml:space="preserve"> and analyses</w:t>
      </w:r>
      <w:r>
        <w:t>, retention was identified by different levels, from the least restrictive to the most</w:t>
      </w:r>
      <w:r w:rsidR="00D12B24">
        <w:t>.</w:t>
      </w:r>
      <w:r w:rsidR="00142C6C">
        <w:t xml:space="preserve"> </w:t>
      </w:r>
      <w:r w:rsidR="00893A94">
        <w:t xml:space="preserve">The </w:t>
      </w:r>
      <w:r w:rsidR="00893A94">
        <w:rPr>
          <w:i/>
        </w:rPr>
        <w:t>r</w:t>
      </w:r>
      <w:r w:rsidR="00A22DD8" w:rsidRPr="00893A94">
        <w:rPr>
          <w:i/>
        </w:rPr>
        <w:t>estrictiveness</w:t>
      </w:r>
      <w:r w:rsidR="00893A94">
        <w:t xml:space="preserve"> of the level of retention relates to the</w:t>
      </w:r>
      <w:r w:rsidR="00A22DD8">
        <w:t xml:space="preserve"> specificity of a teaching position within the state. The most general classification of a teaching position is someone who teaches in the state. The position gets more specific as the district, then school, and finally subject(s) taught are </w:t>
      </w:r>
      <w:r w:rsidR="00893A94">
        <w:t>associated with it</w:t>
      </w:r>
      <w:r w:rsidR="00A22DD8">
        <w:t>. Along these lines, t</w:t>
      </w:r>
      <w:r w:rsidR="00D12B24">
        <w:t xml:space="preserve">he least restrictive </w:t>
      </w:r>
      <w:r>
        <w:t>levels of retention include those teachers who are still a math or science teacher in the state (</w:t>
      </w:r>
      <w:r w:rsidRPr="001137BC">
        <w:rPr>
          <w:i/>
        </w:rPr>
        <w:t>In State</w:t>
      </w:r>
      <w:r>
        <w:t>), those teachers who are still a math or science teacher in the same district (</w:t>
      </w:r>
      <w:r w:rsidRPr="001137BC">
        <w:rPr>
          <w:i/>
        </w:rPr>
        <w:t>In Same District</w:t>
      </w:r>
      <w:r>
        <w:t xml:space="preserve">), </w:t>
      </w:r>
      <w:r w:rsidR="00D12B24">
        <w:t xml:space="preserve">and </w:t>
      </w:r>
      <w:r>
        <w:t>those teachers who are still a math or science teacher in the same school (</w:t>
      </w:r>
      <w:r w:rsidRPr="001137BC">
        <w:rPr>
          <w:i/>
        </w:rPr>
        <w:t>In Same School</w:t>
      </w:r>
      <w:r>
        <w:t>)</w:t>
      </w:r>
      <w:r w:rsidR="00E42BC2">
        <w:t>.</w:t>
      </w:r>
      <w:r w:rsidR="00C12354">
        <w:t xml:space="preserve"> </w:t>
      </w:r>
      <w:r w:rsidR="00D12B24">
        <w:t>Rates for retention of math and science teac</w:t>
      </w:r>
      <w:r w:rsidR="00A22DD8">
        <w:t xml:space="preserve">hers </w:t>
      </w:r>
      <w:r w:rsidR="00D12B24">
        <w:t>in a school</w:t>
      </w:r>
      <w:r w:rsidR="00A22DD8">
        <w:t>, independently,</w:t>
      </w:r>
      <w:r w:rsidR="00D12B24">
        <w:t xml:space="preserve"> are also included.</w:t>
      </w:r>
      <w:r w:rsidR="00142C6C">
        <w:t xml:space="preserve"> </w:t>
      </w:r>
      <w:r w:rsidR="00E42BC2">
        <w:t>Our focus on t</w:t>
      </w:r>
      <w:r>
        <w:t>hose teache</w:t>
      </w:r>
      <w:r w:rsidR="00975D26">
        <w:t>rs who still teach</w:t>
      </w:r>
      <w:r>
        <w:t xml:space="preserve"> the </w:t>
      </w:r>
      <w:r w:rsidR="00975D26">
        <w:t>same combination of</w:t>
      </w:r>
      <w:r>
        <w:t xml:space="preserve"> subjects—math, science, or math and science—in the same school (</w:t>
      </w:r>
      <w:r>
        <w:rPr>
          <w:i/>
        </w:rPr>
        <w:t>In Same Subject(s) and School</w:t>
      </w:r>
      <w:r>
        <w:t>)</w:t>
      </w:r>
      <w:r w:rsidR="00E42BC2">
        <w:t xml:space="preserve"> is the most restrictive category of descriptive data presented here</w:t>
      </w:r>
      <w:r>
        <w:t>.</w:t>
      </w:r>
      <w:r w:rsidR="00142C6C">
        <w:t xml:space="preserve"> </w:t>
      </w:r>
      <w:r w:rsidR="00C31991">
        <w:t>M</w:t>
      </w:r>
      <w:r w:rsidR="00A22DD8">
        <w:t xml:space="preserve">uch of </w:t>
      </w:r>
      <w:r w:rsidR="0034424D">
        <w:t>the summary below is focused</w:t>
      </w:r>
      <w:r w:rsidR="00C31991">
        <w:t xml:space="preserve"> on this most restrictive category</w:t>
      </w:r>
      <w:r w:rsidR="00E42BC2">
        <w:t>.</w:t>
      </w:r>
    </w:p>
    <w:p w:rsidR="00A22DD8" w:rsidRDefault="00A22DD8" w:rsidP="00661B45"/>
    <w:p w:rsidR="00DA702B" w:rsidRDefault="00A22DD8" w:rsidP="00661B45">
      <w:r>
        <w:t xml:space="preserve">In the following section, the percentage of teachers who are retained is listed along with API rates. API is defined as the complement of retention. Mathematically, </w:t>
      </w:r>
      <w:r w:rsidRPr="00C31991">
        <w:rPr>
          <w:i/>
        </w:rPr>
        <w:t>API = 100% - retention</w:t>
      </w:r>
      <w:r w:rsidR="00C31991">
        <w:rPr>
          <w:i/>
        </w:rPr>
        <w:t>%</w:t>
      </w:r>
      <w:r>
        <w:t xml:space="preserve">. We emphasize API </w:t>
      </w:r>
      <w:r w:rsidR="001D7F55">
        <w:t xml:space="preserve">throughout, especially when looking at the most restrictive level of retention, as we believe API is a </w:t>
      </w:r>
      <w:r w:rsidR="00833E7F">
        <w:t>more accurate way</w:t>
      </w:r>
      <w:r w:rsidR="001D7F55">
        <w:t xml:space="preserve"> to characterize the phenomenon at this level of specificity.</w:t>
      </w:r>
    </w:p>
    <w:p w:rsidR="00E42BC2" w:rsidRPr="002B249E" w:rsidRDefault="00E42BC2" w:rsidP="00DA702B">
      <w:pPr>
        <w:rPr>
          <w:b/>
        </w:rPr>
      </w:pPr>
      <w:r>
        <w:lastRenderedPageBreak/>
        <w:tab/>
      </w:r>
      <w:r>
        <w:tab/>
      </w:r>
      <w:r>
        <w:tab/>
      </w:r>
      <w:r>
        <w:tab/>
      </w:r>
      <w:r w:rsidRPr="002B249E">
        <w:rPr>
          <w:b/>
        </w:rPr>
        <w:t>Summary of Selected Results</w:t>
      </w:r>
    </w:p>
    <w:p w:rsidR="00C94926" w:rsidRPr="002B249E" w:rsidRDefault="00C94926" w:rsidP="00DA702B"/>
    <w:p w:rsidR="00C94926" w:rsidRPr="002B249E" w:rsidRDefault="00C94926" w:rsidP="00C94926">
      <w:pPr>
        <w:spacing w:after="200"/>
        <w:rPr>
          <w:b/>
          <w:sz w:val="22"/>
        </w:rPr>
      </w:pPr>
      <w:r w:rsidRPr="002B249E">
        <w:rPr>
          <w:b/>
          <w:sz w:val="22"/>
        </w:rPr>
        <w:t>2008-2009 Cohort in Public Non-Charter Ohio High Schools</w:t>
      </w:r>
    </w:p>
    <w:p w:rsidR="00C94926" w:rsidRPr="002B249E" w:rsidRDefault="00C94926" w:rsidP="00C94926">
      <w:pPr>
        <w:spacing w:after="200"/>
        <w:rPr>
          <w:sz w:val="22"/>
        </w:rPr>
      </w:pPr>
      <w:r w:rsidRPr="002B249E">
        <w:rPr>
          <w:sz w:val="22"/>
        </w:rPr>
        <w:t>Let us focus first on the retention of</w:t>
      </w:r>
      <w:r w:rsidR="00142C6C">
        <w:rPr>
          <w:sz w:val="22"/>
        </w:rPr>
        <w:t xml:space="preserve"> </w:t>
      </w:r>
      <w:r w:rsidRPr="002B249E">
        <w:rPr>
          <w:sz w:val="22"/>
        </w:rPr>
        <w:t>a cohort of Ohio</w:t>
      </w:r>
      <w:r w:rsidR="00142C6C">
        <w:rPr>
          <w:sz w:val="22"/>
        </w:rPr>
        <w:t xml:space="preserve"> </w:t>
      </w:r>
      <w:r w:rsidR="002B249E">
        <w:rPr>
          <w:sz w:val="22"/>
        </w:rPr>
        <w:t xml:space="preserve">math and science teachers who </w:t>
      </w:r>
      <w:r w:rsidRPr="002B249E">
        <w:rPr>
          <w:sz w:val="22"/>
        </w:rPr>
        <w:t xml:space="preserve">changed in </w:t>
      </w:r>
      <w:r w:rsidRPr="002B249E">
        <w:rPr>
          <w:i/>
          <w:sz w:val="22"/>
        </w:rPr>
        <w:t>both</w:t>
      </w:r>
      <w:r w:rsidRPr="002B249E">
        <w:rPr>
          <w:sz w:val="22"/>
        </w:rPr>
        <w:t xml:space="preserve"> school and the subjects in which they taught, ignoring any further change in the teacher’s status (such as returning to the same positon and subject).</w:t>
      </w:r>
      <w:r w:rsidR="00142C6C">
        <w:rPr>
          <w:sz w:val="22"/>
        </w:rPr>
        <w:t xml:space="preserve"> </w:t>
      </w:r>
      <w:r w:rsidR="002B249E">
        <w:rPr>
          <w:sz w:val="22"/>
        </w:rPr>
        <w:t>Chart 1a</w:t>
      </w:r>
      <w:r w:rsidRPr="002B249E">
        <w:rPr>
          <w:sz w:val="22"/>
        </w:rPr>
        <w:t xml:space="preserve"> provide</w:t>
      </w:r>
      <w:r w:rsidR="002B249E">
        <w:rPr>
          <w:sz w:val="22"/>
        </w:rPr>
        <w:t>s</w:t>
      </w:r>
      <w:r w:rsidRPr="002B249E">
        <w:rPr>
          <w:sz w:val="22"/>
        </w:rPr>
        <w:t xml:space="preserve"> this information.</w:t>
      </w:r>
    </w:p>
    <w:p w:rsidR="00C94926" w:rsidRPr="002B249E" w:rsidRDefault="00C94926" w:rsidP="00C94926">
      <w:pPr>
        <w:spacing w:after="200"/>
        <w:rPr>
          <w:sz w:val="22"/>
        </w:rPr>
      </w:pPr>
      <w:r w:rsidRPr="002B249E">
        <w:rPr>
          <w:sz w:val="22"/>
        </w:rPr>
        <w:t>From Charts 1a, we learn that of the 2008-2009 cohort of teachers in all Ohio</w:t>
      </w:r>
      <w:r w:rsidR="00C67B00">
        <w:rPr>
          <w:sz w:val="22"/>
        </w:rPr>
        <w:t xml:space="preserve"> non-charter public</w:t>
      </w:r>
      <w:r w:rsidR="00C31991">
        <w:rPr>
          <w:sz w:val="22"/>
        </w:rPr>
        <w:t xml:space="preserve"> high schools, about 81</w:t>
      </w:r>
      <w:r w:rsidRPr="002B249E">
        <w:rPr>
          <w:sz w:val="22"/>
        </w:rPr>
        <w:t>% remained in the same school teachin</w:t>
      </w:r>
      <w:r w:rsidR="00C31991">
        <w:rPr>
          <w:sz w:val="22"/>
        </w:rPr>
        <w:t>g the same subject in 2009-2010 (</w:t>
      </w:r>
      <w:r w:rsidRPr="002B249E">
        <w:rPr>
          <w:sz w:val="22"/>
        </w:rPr>
        <w:t>i.e.</w:t>
      </w:r>
      <w:r w:rsidR="00C31991">
        <w:rPr>
          <w:sz w:val="22"/>
        </w:rPr>
        <w:t>,</w:t>
      </w:r>
      <w:r w:rsidRPr="002B249E">
        <w:rPr>
          <w:sz w:val="22"/>
        </w:rPr>
        <w:t xml:space="preserve"> the crude API is 19%</w:t>
      </w:r>
      <w:r w:rsidR="00C31991">
        <w:rPr>
          <w:sz w:val="22"/>
        </w:rPr>
        <w:t>)</w:t>
      </w:r>
      <w:r w:rsidRPr="002B249E">
        <w:rPr>
          <w:sz w:val="22"/>
        </w:rPr>
        <w:t>.</w:t>
      </w:r>
      <w:r w:rsidR="00142C6C">
        <w:rPr>
          <w:sz w:val="22"/>
        </w:rPr>
        <w:t xml:space="preserve"> </w:t>
      </w:r>
      <w:r w:rsidRPr="002B249E">
        <w:rPr>
          <w:sz w:val="22"/>
        </w:rPr>
        <w:t>Five years later, in 2013-2014, only 47% were teaching in the same schoo</w:t>
      </w:r>
      <w:r w:rsidR="00C31991">
        <w:rPr>
          <w:sz w:val="22"/>
        </w:rPr>
        <w:t>l and in the same subject area (</w:t>
      </w:r>
      <w:r w:rsidRPr="002B249E">
        <w:rPr>
          <w:sz w:val="22"/>
        </w:rPr>
        <w:t>i.e.</w:t>
      </w:r>
      <w:r w:rsidR="00C31991">
        <w:rPr>
          <w:sz w:val="22"/>
        </w:rPr>
        <w:t>,</w:t>
      </w:r>
      <w:r w:rsidRPr="002B249E">
        <w:rPr>
          <w:sz w:val="22"/>
        </w:rPr>
        <w:t xml:space="preserve"> the API is 53%</w:t>
      </w:r>
      <w:r w:rsidR="00C31991">
        <w:rPr>
          <w:sz w:val="22"/>
        </w:rPr>
        <w:t>)</w:t>
      </w:r>
      <w:r w:rsidRPr="002B249E">
        <w:rPr>
          <w:sz w:val="22"/>
        </w:rPr>
        <w:t>.</w:t>
      </w:r>
    </w:p>
    <w:p w:rsidR="00C94926" w:rsidRPr="002B249E" w:rsidRDefault="00C94926" w:rsidP="00C94926">
      <w:pPr>
        <w:spacing w:after="200"/>
        <w:rPr>
          <w:sz w:val="22"/>
        </w:rPr>
      </w:pPr>
      <w:r w:rsidRPr="002B249E">
        <w:rPr>
          <w:sz w:val="22"/>
        </w:rPr>
        <w:t>These rates differ if one focuses only on the teachers in the five biggest cities.</w:t>
      </w:r>
      <w:r w:rsidR="00142C6C">
        <w:rPr>
          <w:sz w:val="22"/>
        </w:rPr>
        <w:t xml:space="preserve"> </w:t>
      </w:r>
      <w:r w:rsidRPr="002B249E">
        <w:rPr>
          <w:sz w:val="22"/>
        </w:rPr>
        <w:t>In particular, of the 2008-2009 cohort in these cities, 70% were teaching the same subject in the same school in 2009-2010.</w:t>
      </w:r>
      <w:r w:rsidR="00142C6C">
        <w:rPr>
          <w:sz w:val="22"/>
        </w:rPr>
        <w:t xml:space="preserve"> </w:t>
      </w:r>
      <w:r w:rsidRPr="002B249E">
        <w:rPr>
          <w:sz w:val="22"/>
        </w:rPr>
        <w:t>The API for cities then is 30%, which is well over the API rate of 19% over all teachers in the state and 17% for teachers outside the five big cities.</w:t>
      </w:r>
      <w:r w:rsidR="00142C6C">
        <w:rPr>
          <w:sz w:val="22"/>
        </w:rPr>
        <w:t xml:space="preserve"> </w:t>
      </w:r>
    </w:p>
    <w:p w:rsidR="00565F5B" w:rsidRPr="002B249E" w:rsidRDefault="00C94926" w:rsidP="00C94926">
      <w:pPr>
        <w:spacing w:after="200"/>
        <w:rPr>
          <w:sz w:val="22"/>
        </w:rPr>
      </w:pPr>
      <w:r w:rsidRPr="002B249E">
        <w:rPr>
          <w:sz w:val="22"/>
        </w:rPr>
        <w:t>In the five biggest cites, the retention in the same school and subject five years later is far lower than the state as a whole.</w:t>
      </w:r>
      <w:r w:rsidR="00142C6C">
        <w:rPr>
          <w:sz w:val="22"/>
        </w:rPr>
        <w:t xml:space="preserve"> </w:t>
      </w:r>
      <w:r w:rsidRPr="002B249E">
        <w:rPr>
          <w:sz w:val="22"/>
        </w:rPr>
        <w:t>For instance, by 2013-2014, only 25% of the original cohort in the biggest cities remained in place.</w:t>
      </w:r>
      <w:r w:rsidR="00142C6C">
        <w:rPr>
          <w:sz w:val="22"/>
        </w:rPr>
        <w:t xml:space="preserve"> </w:t>
      </w:r>
      <w:r w:rsidRPr="002B249E">
        <w:rPr>
          <w:sz w:val="22"/>
        </w:rPr>
        <w:t>The API is 75</w:t>
      </w:r>
      <w:r w:rsidR="00142C6C">
        <w:rPr>
          <w:sz w:val="22"/>
        </w:rPr>
        <w:t xml:space="preserve">% for cities, while </w:t>
      </w:r>
      <w:r w:rsidR="00142C6C" w:rsidRPr="002B249E">
        <w:rPr>
          <w:sz w:val="22"/>
        </w:rPr>
        <w:t xml:space="preserve">the API </w:t>
      </w:r>
      <w:r w:rsidR="00142C6C">
        <w:rPr>
          <w:sz w:val="22"/>
        </w:rPr>
        <w:t xml:space="preserve">for all non-public chart </w:t>
      </w:r>
      <w:r w:rsidRPr="002B249E">
        <w:rPr>
          <w:sz w:val="22"/>
        </w:rPr>
        <w:t xml:space="preserve">schools </w:t>
      </w:r>
      <w:r w:rsidR="00142C6C">
        <w:rPr>
          <w:sz w:val="22"/>
        </w:rPr>
        <w:t>outside of these cities is 50</w:t>
      </w:r>
      <w:r w:rsidRPr="002B249E">
        <w:rPr>
          <w:sz w:val="22"/>
        </w:rPr>
        <w:t>%.</w:t>
      </w:r>
    </w:p>
    <w:p w:rsidR="00C94926" w:rsidRPr="002B249E" w:rsidRDefault="00C94926" w:rsidP="00C94926">
      <w:pPr>
        <w:spacing w:after="200"/>
        <w:rPr>
          <w:sz w:val="22"/>
        </w:rPr>
      </w:pPr>
      <w:r w:rsidRPr="002B249E">
        <w:rPr>
          <w:sz w:val="22"/>
        </w:rPr>
        <w:t>If one allows for the fact that some teachers may leave a school or subject area and then return to the same school and subject later, the rates follow roughly the same patterns.</w:t>
      </w:r>
      <w:r w:rsidR="00142C6C">
        <w:rPr>
          <w:sz w:val="22"/>
        </w:rPr>
        <w:t xml:space="preserve"> </w:t>
      </w:r>
      <w:r w:rsidRPr="002B249E">
        <w:rPr>
          <w:sz w:val="22"/>
        </w:rPr>
        <w:t>Taking replacements into account (Charts 1b</w:t>
      </w:r>
      <w:r w:rsidR="002B249E">
        <w:rPr>
          <w:sz w:val="22"/>
        </w:rPr>
        <w:t>)</w:t>
      </w:r>
      <w:r w:rsidRPr="002B249E">
        <w:rPr>
          <w:sz w:val="22"/>
        </w:rPr>
        <w:t xml:space="preserve">, the API magnitudes differ only </w:t>
      </w:r>
      <w:r w:rsidR="00C31991">
        <w:rPr>
          <w:sz w:val="22"/>
        </w:rPr>
        <w:t>slightly</w:t>
      </w:r>
      <w:r w:rsidRPr="002B249E">
        <w:rPr>
          <w:sz w:val="22"/>
        </w:rPr>
        <w:t xml:space="preserve"> from API when replacement is not taken into account (Charts 1a).</w:t>
      </w:r>
      <w:r w:rsidR="00142C6C">
        <w:rPr>
          <w:sz w:val="22"/>
        </w:rPr>
        <w:t xml:space="preserve"> </w:t>
      </w:r>
      <w:r w:rsidRPr="002B249E">
        <w:rPr>
          <w:sz w:val="22"/>
        </w:rPr>
        <w:t>For instance, the retention from the base year to the next in the five biggest cities is 70% and the API is then 30%, which is the same as without replacement.</w:t>
      </w:r>
      <w:r w:rsidR="00142C6C">
        <w:rPr>
          <w:sz w:val="22"/>
        </w:rPr>
        <w:t xml:space="preserve"> </w:t>
      </w:r>
      <w:r w:rsidRPr="002B249E">
        <w:rPr>
          <w:sz w:val="22"/>
        </w:rPr>
        <w:t xml:space="preserve">The API with replacement in cities by the </w:t>
      </w:r>
      <w:r w:rsidR="00C31991">
        <w:rPr>
          <w:sz w:val="22"/>
        </w:rPr>
        <w:t>fifth</w:t>
      </w:r>
      <w:r w:rsidRPr="002B249E">
        <w:rPr>
          <w:sz w:val="22"/>
        </w:rPr>
        <w:t xml:space="preserve"> year is nearly the same as without replacement, i.e. 71% versus 75%.</w:t>
      </w:r>
      <w:r w:rsidR="00142C6C">
        <w:rPr>
          <w:sz w:val="22"/>
        </w:rPr>
        <w:t xml:space="preserve"> </w:t>
      </w:r>
    </w:p>
    <w:p w:rsidR="00C94926" w:rsidRPr="002B249E" w:rsidRDefault="00C94926" w:rsidP="00C94926">
      <w:pPr>
        <w:spacing w:after="200"/>
        <w:rPr>
          <w:sz w:val="22"/>
        </w:rPr>
      </w:pPr>
      <w:r w:rsidRPr="002B249E">
        <w:rPr>
          <w:sz w:val="22"/>
        </w:rPr>
        <w:t>Most important, the API in cities well exceeds API in the state as a whole or the API outside of cities by a factor of 1.5 or so.</w:t>
      </w:r>
      <w:r w:rsidR="00142C6C">
        <w:rPr>
          <w:sz w:val="22"/>
        </w:rPr>
        <w:t xml:space="preserve"> </w:t>
      </w:r>
      <w:r w:rsidRPr="002B249E">
        <w:rPr>
          <w:sz w:val="22"/>
        </w:rPr>
        <w:t xml:space="preserve">This regardless of whether one takes </w:t>
      </w:r>
      <w:r w:rsidR="002B249E">
        <w:rPr>
          <w:sz w:val="22"/>
        </w:rPr>
        <w:t xml:space="preserve">into account teachers changing </w:t>
      </w:r>
      <w:r w:rsidRPr="002B249E">
        <w:rPr>
          <w:sz w:val="22"/>
        </w:rPr>
        <w:t>and then returning to their original alignment to school and subject.</w:t>
      </w:r>
    </w:p>
    <w:p w:rsidR="00C94926" w:rsidRPr="002B249E" w:rsidRDefault="00C94926" w:rsidP="00C94926">
      <w:pPr>
        <w:spacing w:after="200"/>
        <w:rPr>
          <w:b/>
          <w:sz w:val="22"/>
        </w:rPr>
      </w:pPr>
      <w:r w:rsidRPr="002B249E">
        <w:rPr>
          <w:b/>
          <w:sz w:val="22"/>
        </w:rPr>
        <w:t>Year</w:t>
      </w:r>
      <w:r w:rsidR="00C31991">
        <w:rPr>
          <w:b/>
          <w:sz w:val="22"/>
        </w:rPr>
        <w:t>-to-</w:t>
      </w:r>
      <w:r w:rsidRPr="002B249E">
        <w:rPr>
          <w:b/>
          <w:sz w:val="22"/>
        </w:rPr>
        <w:t>Year Change</w:t>
      </w:r>
    </w:p>
    <w:p w:rsidR="00C94926" w:rsidRPr="002B249E" w:rsidRDefault="00C94926" w:rsidP="00C94926">
      <w:pPr>
        <w:spacing w:after="200"/>
        <w:rPr>
          <w:sz w:val="22"/>
        </w:rPr>
      </w:pPr>
      <w:r w:rsidRPr="002B249E">
        <w:rPr>
          <w:sz w:val="22"/>
        </w:rPr>
        <w:t xml:space="preserve">Chart 2 shows that from one year to the next, in all public non-charter Ohio </w:t>
      </w:r>
      <w:r w:rsidR="00142C6C">
        <w:rPr>
          <w:sz w:val="22"/>
        </w:rPr>
        <w:t xml:space="preserve">high </w:t>
      </w:r>
      <w:r w:rsidRPr="002B249E">
        <w:rPr>
          <w:sz w:val="22"/>
        </w:rPr>
        <w:t>schools, about 78-81% of math and science teachers remained teaching in the same school and subject.</w:t>
      </w:r>
      <w:r w:rsidR="00142C6C">
        <w:rPr>
          <w:sz w:val="22"/>
        </w:rPr>
        <w:t xml:space="preserve"> </w:t>
      </w:r>
      <w:r w:rsidRPr="002B249E">
        <w:rPr>
          <w:sz w:val="22"/>
        </w:rPr>
        <w:t>For instance, in 2011-2012, 79% of the teachers also taught in 2010-2011.</w:t>
      </w:r>
      <w:r w:rsidR="00142C6C">
        <w:rPr>
          <w:sz w:val="22"/>
        </w:rPr>
        <w:t xml:space="preserve"> </w:t>
      </w:r>
      <w:r w:rsidR="00661B45">
        <w:rPr>
          <w:sz w:val="22"/>
        </w:rPr>
        <w:t>In 2013-201</w:t>
      </w:r>
      <w:r w:rsidRPr="002B249E">
        <w:rPr>
          <w:sz w:val="22"/>
        </w:rPr>
        <w:t>4, 78% of the teachers in the school were in the same position in 2012-2013.</w:t>
      </w:r>
      <w:r w:rsidR="00142C6C">
        <w:rPr>
          <w:sz w:val="22"/>
        </w:rPr>
        <w:t xml:space="preserve"> </w:t>
      </w:r>
      <w:r w:rsidR="00C31991">
        <w:rPr>
          <w:sz w:val="22"/>
        </w:rPr>
        <w:t>The year-to-</w:t>
      </w:r>
      <w:r w:rsidRPr="002B249E">
        <w:rPr>
          <w:sz w:val="22"/>
        </w:rPr>
        <w:t>year API is then 19-22%.</w:t>
      </w:r>
      <w:r w:rsidR="00142C6C">
        <w:rPr>
          <w:sz w:val="22"/>
        </w:rPr>
        <w:t xml:space="preserve"> The rates are very similar if we look at just the non-charter public high schools outside of the five biggest cities, ranging from 20-23%.</w:t>
      </w:r>
    </w:p>
    <w:p w:rsidR="00E32CDE" w:rsidRDefault="00C94926" w:rsidP="00AA7204">
      <w:pPr>
        <w:spacing w:after="200"/>
        <w:rPr>
          <w:sz w:val="22"/>
        </w:rPr>
      </w:pPr>
      <w:r w:rsidRPr="002B249E">
        <w:rPr>
          <w:sz w:val="22"/>
        </w:rPr>
        <w:t>These resu</w:t>
      </w:r>
      <w:r w:rsidR="00C31991">
        <w:rPr>
          <w:sz w:val="22"/>
        </w:rPr>
        <w:t>lts are in contrast to the year-to-</w:t>
      </w:r>
      <w:r w:rsidRPr="002B249E">
        <w:rPr>
          <w:sz w:val="22"/>
        </w:rPr>
        <w:t>year rates for the biggest cities.</w:t>
      </w:r>
      <w:r w:rsidR="00142C6C">
        <w:rPr>
          <w:sz w:val="22"/>
        </w:rPr>
        <w:t xml:space="preserve"> </w:t>
      </w:r>
      <w:r w:rsidRPr="002B249E">
        <w:rPr>
          <w:sz w:val="22"/>
        </w:rPr>
        <w:t>The retention ranges from a low of 63% for the group of teachers teaching in 2010-2011 to a high of 70% f</w:t>
      </w:r>
      <w:r w:rsidR="00C31991">
        <w:rPr>
          <w:sz w:val="22"/>
        </w:rPr>
        <w:t>or those in 2009-2010. The year-to-</w:t>
      </w:r>
      <w:r w:rsidRPr="002B249E">
        <w:rPr>
          <w:sz w:val="22"/>
        </w:rPr>
        <w:t xml:space="preserve">year API is then </w:t>
      </w:r>
      <w:r w:rsidR="002B249E">
        <w:rPr>
          <w:sz w:val="22"/>
        </w:rPr>
        <w:t>30-34%.</w:t>
      </w:r>
      <w:r w:rsidR="00142C6C">
        <w:rPr>
          <w:sz w:val="22"/>
        </w:rPr>
        <w:t xml:space="preserve"> </w:t>
      </w:r>
      <w:r w:rsidR="002B249E">
        <w:rPr>
          <w:sz w:val="22"/>
        </w:rPr>
        <w:t xml:space="preserve">Again, the API for </w:t>
      </w:r>
      <w:r w:rsidRPr="002B249E">
        <w:rPr>
          <w:sz w:val="22"/>
        </w:rPr>
        <w:t>cities is about 1.5 times the API for the state as a whole and API for the schools outside the five biggest cities.</w:t>
      </w:r>
      <w:r w:rsidR="00142C6C">
        <w:rPr>
          <w:sz w:val="22"/>
        </w:rPr>
        <w:t xml:space="preserve"> </w:t>
      </w:r>
    </w:p>
    <w:p w:rsidR="00893A94" w:rsidRDefault="00893A94" w:rsidP="00AA7204">
      <w:pPr>
        <w:spacing w:after="200"/>
        <w:rPr>
          <w:b/>
          <w:sz w:val="22"/>
        </w:rPr>
      </w:pPr>
    </w:p>
    <w:p w:rsidR="00893A94" w:rsidRDefault="00893A94" w:rsidP="00AA7204">
      <w:pPr>
        <w:spacing w:after="200"/>
        <w:rPr>
          <w:b/>
          <w:sz w:val="22"/>
        </w:rPr>
      </w:pPr>
    </w:p>
    <w:p w:rsidR="00E32CDE" w:rsidRPr="00E32CDE" w:rsidRDefault="00E32CDE" w:rsidP="00AA7204">
      <w:pPr>
        <w:spacing w:after="200"/>
        <w:rPr>
          <w:b/>
          <w:sz w:val="22"/>
        </w:rPr>
      </w:pPr>
      <w:r w:rsidRPr="00E32CDE">
        <w:rPr>
          <w:b/>
          <w:sz w:val="22"/>
        </w:rPr>
        <w:lastRenderedPageBreak/>
        <w:t>Charter Schools</w:t>
      </w:r>
    </w:p>
    <w:p w:rsidR="00DA702B" w:rsidRDefault="00833E7F" w:rsidP="00DA702B">
      <w:r w:rsidRPr="00C67B00">
        <w:t xml:space="preserve">The proceeding discussion investigated </w:t>
      </w:r>
      <w:r w:rsidR="00C67B00" w:rsidRPr="00C67B00">
        <w:t xml:space="preserve">only </w:t>
      </w:r>
      <w:r w:rsidRPr="00C67B00">
        <w:t>non-charter high schools. Charter schools are also worth investigation</w:t>
      </w:r>
      <w:r w:rsidR="00C67B00" w:rsidRPr="00C67B00">
        <w:t xml:space="preserve"> given their recent</w:t>
      </w:r>
      <w:r w:rsidRPr="00C67B00">
        <w:t xml:space="preserve"> </w:t>
      </w:r>
      <w:r w:rsidR="00C67B00" w:rsidRPr="00C67B00">
        <w:t xml:space="preserve">growth and their centrality to </w:t>
      </w:r>
      <w:r w:rsidR="00C67B00">
        <w:t xml:space="preserve">the </w:t>
      </w:r>
      <w:r w:rsidR="00C67B00" w:rsidRPr="00C67B00">
        <w:t xml:space="preserve">national </w:t>
      </w:r>
      <w:r w:rsidR="00C67B00">
        <w:t>dialogue</w:t>
      </w:r>
      <w:r w:rsidR="00C67B00" w:rsidRPr="00C67B00">
        <w:t xml:space="preserve"> concerning public education.</w:t>
      </w:r>
      <w:r w:rsidR="00A65C39">
        <w:t xml:space="preserve"> </w:t>
      </w:r>
      <w:r w:rsidR="00C361D6">
        <w:t xml:space="preserve">There are three trends to highlight with regard to </w:t>
      </w:r>
      <w:r>
        <w:t>the</w:t>
      </w:r>
      <w:r w:rsidR="00C361D6">
        <w:t xml:space="preserve"> population</w:t>
      </w:r>
      <w:r>
        <w:t xml:space="preserve"> of charter high school teachers</w:t>
      </w:r>
      <w:r w:rsidR="00C67B00">
        <w:t xml:space="preserve"> in Ohio</w:t>
      </w:r>
      <w:r w:rsidR="00C361D6">
        <w:t>.</w:t>
      </w:r>
      <w:r w:rsidR="00142C6C">
        <w:t xml:space="preserve"> </w:t>
      </w:r>
      <w:r w:rsidR="00C361D6">
        <w:t xml:space="preserve">First, charter high school teachers exhibit the highest API of any of the </w:t>
      </w:r>
      <w:r>
        <w:t>populations</w:t>
      </w:r>
      <w:r w:rsidR="00C361D6">
        <w:t xml:space="preserve"> investigated in both cohort and year-to-year analyses.</w:t>
      </w:r>
      <w:r w:rsidR="00142C6C">
        <w:t xml:space="preserve"> </w:t>
      </w:r>
      <w:r>
        <w:t xml:space="preserve">Second, the data reveal a </w:t>
      </w:r>
      <w:r w:rsidR="00C67B00">
        <w:t>substantial</w:t>
      </w:r>
      <w:r>
        <w:t xml:space="preserve"> </w:t>
      </w:r>
      <w:r w:rsidR="00C361D6">
        <w:t>increase in the number of charter school teachers from 2008 to 2014.</w:t>
      </w:r>
      <w:r w:rsidR="00142C6C">
        <w:t xml:space="preserve"> </w:t>
      </w:r>
      <w:r w:rsidR="00C361D6">
        <w:t xml:space="preserve">Third, the proportion of charter high school </w:t>
      </w:r>
      <w:r w:rsidR="00B1304C">
        <w:t>teacher who teach both mathematics and science is several times larger than the proportion of non-charter public high school teachers who teach both subjects.</w:t>
      </w:r>
    </w:p>
    <w:p w:rsidR="00B1304C" w:rsidRDefault="00B1304C" w:rsidP="00DA702B"/>
    <w:p w:rsidR="00B1304C" w:rsidRDefault="00B1304C" w:rsidP="00DA702B">
      <w:r>
        <w:t>Our main finding is that charter high school teach</w:t>
      </w:r>
      <w:r w:rsidR="00893A94">
        <w:t xml:space="preserve">ers were the most vulnerable </w:t>
      </w:r>
      <w:r>
        <w:t>population under investigation in reference to API.</w:t>
      </w:r>
      <w:r w:rsidR="00142C6C">
        <w:t xml:space="preserve"> </w:t>
      </w:r>
      <w:r>
        <w:t>Regardless of type of analysis or level of retention, charter high school teachers</w:t>
      </w:r>
      <w:r w:rsidR="0034424D">
        <w:t xml:space="preserve"> in Ohio</w:t>
      </w:r>
      <w:r>
        <w:t xml:space="preserve"> had the lowest retention rates and thus the highest API rates.</w:t>
      </w:r>
      <w:r w:rsidR="00142C6C">
        <w:t xml:space="preserve"> </w:t>
      </w:r>
      <w:r>
        <w:t>Starting with th</w:t>
      </w:r>
      <w:r w:rsidR="00C83C05">
        <w:t>e cohort analyses in Charts 1a,</w:t>
      </w:r>
      <w:r w:rsidR="00C83C05" w:rsidRPr="00C83C05">
        <w:t xml:space="preserve"> </w:t>
      </w:r>
      <w:r w:rsidR="00C83C05">
        <w:t>we see the retention rate of 15%, or an API of 85%, w</w:t>
      </w:r>
      <w:r>
        <w:t>hen looking at math and science teachers who kept their exact assignment over five years</w:t>
      </w:r>
      <w:r w:rsidR="00597102">
        <w:t xml:space="preserve"> at charter high schools</w:t>
      </w:r>
      <w:r w:rsidR="00C83C05">
        <w:t>.</w:t>
      </w:r>
      <w:r w:rsidR="0034424D">
        <w:t xml:space="preserve"> T</w:t>
      </w:r>
      <w:r>
        <w:t>hese numbers contrast with the population of public n</w:t>
      </w:r>
      <w:r w:rsidR="00C31991">
        <w:t>on-charter high school teachers</w:t>
      </w:r>
      <w:r>
        <w:t xml:space="preserve"> who have a retention rate of 47% in exact assignment, and with the population of public non-charter high school teache</w:t>
      </w:r>
      <w:r w:rsidR="00C31991">
        <w:t>rs from the five largest cities</w:t>
      </w:r>
      <w:r>
        <w:t xml:space="preserve"> who have a retention rate of 25% in exact assignment.</w:t>
      </w:r>
      <w:r w:rsidR="00142C6C">
        <w:t xml:space="preserve"> </w:t>
      </w:r>
      <w:r>
        <w:t>The accompanying API rates are 53% and 75%, respectively.</w:t>
      </w:r>
      <w:r w:rsidR="00142C6C">
        <w:t xml:space="preserve"> </w:t>
      </w:r>
      <w:r>
        <w:t>In total, we see that charter high school teachers have an API rate that is 6</w:t>
      </w:r>
      <w:r w:rsidR="00597102">
        <w:t>0</w:t>
      </w:r>
      <w:r>
        <w:t>% higher than their non-charter counterparts and 1</w:t>
      </w:r>
      <w:r w:rsidR="00597102">
        <w:t>3</w:t>
      </w:r>
      <w:r>
        <w:t xml:space="preserve">% higher than their non-charter counterparts in the five largest cities. </w:t>
      </w:r>
    </w:p>
    <w:p w:rsidR="00B1304C" w:rsidRDefault="00B1304C" w:rsidP="00DA702B"/>
    <w:p w:rsidR="00B1304C" w:rsidRDefault="00B1304C" w:rsidP="00DA702B">
      <w:r>
        <w:t>The differences found in the cohort analyses are replicated in the year-to-year analyses</w:t>
      </w:r>
      <w:r w:rsidR="00597102">
        <w:t>, seen in Charts 2</w:t>
      </w:r>
      <w:r>
        <w:t>.</w:t>
      </w:r>
      <w:r w:rsidR="00142C6C">
        <w:t xml:space="preserve"> </w:t>
      </w:r>
      <w:r w:rsidR="00597102">
        <w:t>The retention of teachers with the same assignment from one year to the next varies between a low of 55% to a high of 59% over the five year period of analysis for charter high school teachers.</w:t>
      </w:r>
      <w:r w:rsidR="00142C6C">
        <w:t xml:space="preserve"> </w:t>
      </w:r>
      <w:r w:rsidR="00597102">
        <w:t xml:space="preserve">The retention rate in the state for public non-charter high schools </w:t>
      </w:r>
      <w:r w:rsidR="00C31991">
        <w:t>is</w:t>
      </w:r>
      <w:r w:rsidR="00597102">
        <w:t xml:space="preserve"> considerably </w:t>
      </w:r>
      <w:r w:rsidR="00C31991">
        <w:t>higher</w:t>
      </w:r>
      <w:r w:rsidR="00597102">
        <w:t>, varying from a low of 78% to a high of 81%.</w:t>
      </w:r>
      <w:r w:rsidR="00142C6C">
        <w:t xml:space="preserve"> </w:t>
      </w:r>
      <w:r w:rsidR="00597102">
        <w:t>As before, the teachers at public non-charter high schools in the five largest cities were between the other two populations, varying between a low of 63% and a high of 70%.</w:t>
      </w:r>
      <w:r w:rsidR="00142C6C">
        <w:t xml:space="preserve"> </w:t>
      </w:r>
      <w:r w:rsidR="00C31991">
        <w:t>On average over the five-</w:t>
      </w:r>
      <w:r w:rsidR="00597102">
        <w:t>year period, the API rates for charter high school teachers is 43%, for public non-charter high school teachers the API rate is 21%, and for the subpopulation of these teachers in the five largest cities the API rate is 34%.</w:t>
      </w:r>
      <w:r w:rsidR="00142C6C">
        <w:t xml:space="preserve"> </w:t>
      </w:r>
    </w:p>
    <w:p w:rsidR="00597102" w:rsidRDefault="00597102" w:rsidP="00DA702B"/>
    <w:p w:rsidR="00DA702B" w:rsidRDefault="00597102" w:rsidP="00DA702B">
      <w:r>
        <w:t>The population of charter high school teachers in the 2008-09 school year was small; there were only 629 math and science teachers in the state of Ohio.</w:t>
      </w:r>
      <w:r w:rsidR="00142C6C">
        <w:t xml:space="preserve"> </w:t>
      </w:r>
      <w:r>
        <w:t>The size and peculiarity of this group could have accounted for the findings in the cohort analysis.</w:t>
      </w:r>
      <w:r w:rsidR="00142C6C">
        <w:t xml:space="preserve"> </w:t>
      </w:r>
      <w:r>
        <w:t>However, when looking at the year-to-year analyses, we see that the one</w:t>
      </w:r>
      <w:r w:rsidR="00C31991">
        <w:t>-</w:t>
      </w:r>
      <w:r>
        <w:t xml:space="preserve">year retention and corresponding API rates </w:t>
      </w:r>
      <w:r w:rsidR="00C31991">
        <w:t>remain somewhat constant</w:t>
      </w:r>
      <w:r>
        <w:t xml:space="preserve"> in all populations.</w:t>
      </w:r>
      <w:r w:rsidR="00C12354">
        <w:t xml:space="preserve"> </w:t>
      </w:r>
      <w:r>
        <w:t>Therefore, looking across all of the analyses we can conclude that the charter schools had the highest incidence of API.</w:t>
      </w:r>
    </w:p>
    <w:p w:rsidR="00597102" w:rsidRDefault="00597102" w:rsidP="00DA702B"/>
    <w:p w:rsidR="00C83C05" w:rsidRDefault="0034424D">
      <w:r>
        <w:t>Secondary</w:t>
      </w:r>
      <w:r w:rsidR="00C83C05">
        <w:t xml:space="preserve"> findings follow </w:t>
      </w:r>
      <w:r w:rsidR="005516AB">
        <w:t>from the year-to-year analyses</w:t>
      </w:r>
      <w:r w:rsidR="00C83C05">
        <w:t>.</w:t>
      </w:r>
      <w:r w:rsidR="00142C6C">
        <w:t xml:space="preserve"> </w:t>
      </w:r>
      <w:r w:rsidR="00C83C05">
        <w:t>First, we found that the number of high school charter school math and science teachers increa</w:t>
      </w:r>
      <w:r w:rsidR="00C31991">
        <w:t>sed significantly over the five-</w:t>
      </w:r>
      <w:r w:rsidR="00C83C05">
        <w:t xml:space="preserve">year period of </w:t>
      </w:r>
      <w:r>
        <w:t>investigation</w:t>
      </w:r>
      <w:r w:rsidR="00C83C05">
        <w:t>.</w:t>
      </w:r>
      <w:r w:rsidR="00142C6C">
        <w:t xml:space="preserve"> </w:t>
      </w:r>
      <w:r w:rsidR="00C83C05">
        <w:t>The population grew steadily from 629 in the 2008-2009 school year to 1468 in the 2013-</w:t>
      </w:r>
      <w:r w:rsidR="00C83C05">
        <w:lastRenderedPageBreak/>
        <w:t>2014 school year, a net gain of 839 teachers.</w:t>
      </w:r>
      <w:r w:rsidR="00142C6C">
        <w:t xml:space="preserve"> </w:t>
      </w:r>
      <w:r w:rsidR="00C83C05">
        <w:t>That is a 133% increase from the base year.</w:t>
      </w:r>
      <w:r w:rsidR="00142C6C">
        <w:t xml:space="preserve"> </w:t>
      </w:r>
      <w:r w:rsidR="00C83C05">
        <w:t>That same time period saw a drop in the number of math and science teachers in non-charter public high schools, going from 11,353 to 10,652.</w:t>
      </w:r>
      <w:r w:rsidR="00142C6C">
        <w:t xml:space="preserve"> </w:t>
      </w:r>
      <w:r w:rsidR="00C83C05">
        <w:t>That is a net loss of 701 teachers, a 6% decrease.</w:t>
      </w:r>
    </w:p>
    <w:p w:rsidR="00C83C05" w:rsidRDefault="00C83C05"/>
    <w:p w:rsidR="00C83C05" w:rsidRDefault="00C83C05">
      <w:r>
        <w:t>Second, we found a significantly higher proportion of teachers teaching both mathematics and science at charter high schools when compared to non-charter public high schools.</w:t>
      </w:r>
      <w:r w:rsidR="00142C6C">
        <w:t xml:space="preserve"> </w:t>
      </w:r>
      <w:r w:rsidR="005516AB">
        <w:t>Of the 11,353 math and science teachers at non-charter public high schools in the 2008-2009 school year, 1,156 taught both math and science, approximately 10%.</w:t>
      </w:r>
      <w:r w:rsidR="00142C6C">
        <w:t xml:space="preserve"> </w:t>
      </w:r>
      <w:r w:rsidR="005516AB">
        <w:t>Of the 629 math and science teachers at charter high schools in the 2008-2009 school year, 259 taught both math or science, approximately 41%.</w:t>
      </w:r>
      <w:r w:rsidR="00142C6C">
        <w:t xml:space="preserve"> </w:t>
      </w:r>
      <w:r w:rsidR="005516AB">
        <w:t>The average proportion of math and science high school teachers that teach both math and science from 2008 to 2014 is the same: 10% for non-charter public high schools and 41% for charter high schools.</w:t>
      </w:r>
      <w:r w:rsidR="00142C6C">
        <w:t xml:space="preserve"> </w:t>
      </w:r>
      <w:r w:rsidR="005516AB">
        <w:t xml:space="preserve">Charter high schools, therefore, have </w:t>
      </w:r>
      <w:r w:rsidR="0034424D">
        <w:t xml:space="preserve">proportionally </w:t>
      </w:r>
      <w:r w:rsidR="005516AB">
        <w:t xml:space="preserve">four times the </w:t>
      </w:r>
      <w:r w:rsidR="00C31991">
        <w:t>number</w:t>
      </w:r>
      <w:r w:rsidR="005516AB">
        <w:t xml:space="preserve"> of teachers teaching across certification areas.</w:t>
      </w:r>
      <w:r w:rsidR="00142C6C">
        <w:t xml:space="preserve"> </w:t>
      </w:r>
      <w:r w:rsidR="005516AB">
        <w:t>This finding warrants further investigation.</w:t>
      </w:r>
    </w:p>
    <w:p w:rsidR="00C83C05" w:rsidRDefault="00C83C05"/>
    <w:p w:rsidR="00C83C05" w:rsidRDefault="0034424D" w:rsidP="00C278E6">
      <w:pPr>
        <w:jc w:val="center"/>
        <w:rPr>
          <w:b/>
        </w:rPr>
      </w:pPr>
      <w:r w:rsidRPr="0034424D">
        <w:rPr>
          <w:b/>
        </w:rPr>
        <w:t>Conclusion</w:t>
      </w:r>
    </w:p>
    <w:p w:rsidR="00C278E6" w:rsidRPr="0034424D" w:rsidRDefault="00C278E6" w:rsidP="00C278E6">
      <w:pPr>
        <w:jc w:val="center"/>
        <w:rPr>
          <w:b/>
        </w:rPr>
      </w:pPr>
    </w:p>
    <w:p w:rsidR="00C67B00" w:rsidRDefault="00C12354" w:rsidP="00A90E16">
      <w:r>
        <w:t>Analyses have been presented from publicly available data from one state. The information presented is sobering. API for math and s</w:t>
      </w:r>
      <w:r w:rsidR="00C67B00">
        <w:t>cience teachers is high in Ohio:</w:t>
      </w:r>
    </w:p>
    <w:p w:rsidR="00C67B00" w:rsidRDefault="00C67B00" w:rsidP="00C67B00">
      <w:pPr>
        <w:pStyle w:val="ListParagraph"/>
        <w:numPr>
          <w:ilvl w:val="0"/>
          <w:numId w:val="1"/>
        </w:numPr>
      </w:pPr>
      <w:r>
        <w:t>On average, o</w:t>
      </w:r>
      <w:r w:rsidR="00C12354">
        <w:t xml:space="preserve">nly one in two teachers </w:t>
      </w:r>
      <w:r>
        <w:t xml:space="preserve">at non-charter public high schools </w:t>
      </w:r>
      <w:r w:rsidR="00C12354">
        <w:t>retain</w:t>
      </w:r>
      <w:r>
        <w:t>ed</w:t>
      </w:r>
      <w:r w:rsidR="00C12354">
        <w:t xml:space="preserve"> the same position </w:t>
      </w:r>
      <w:r>
        <w:t>from the 2008-2009 school year to the 2013-2014 school year</w:t>
      </w:r>
      <w:r w:rsidR="00C12354">
        <w:t xml:space="preserve">. </w:t>
      </w:r>
    </w:p>
    <w:p w:rsidR="008C7108" w:rsidRDefault="00C12354" w:rsidP="00C67B00">
      <w:pPr>
        <w:pStyle w:val="ListParagraph"/>
        <w:numPr>
          <w:ilvl w:val="0"/>
          <w:numId w:val="1"/>
        </w:numPr>
      </w:pPr>
      <w:r>
        <w:t xml:space="preserve">API rates </w:t>
      </w:r>
      <w:r w:rsidR="00C67B00">
        <w:t>are 50% higher for</w:t>
      </w:r>
      <w:r>
        <w:t xml:space="preserve"> city </w:t>
      </w:r>
      <w:r w:rsidR="00C67B00">
        <w:t xml:space="preserve">public </w:t>
      </w:r>
      <w:r w:rsidR="008C7108">
        <w:t xml:space="preserve">high </w:t>
      </w:r>
      <w:r>
        <w:t xml:space="preserve">schools </w:t>
      </w:r>
      <w:r w:rsidR="008C7108">
        <w:t>as compared to non-city schools.</w:t>
      </w:r>
    </w:p>
    <w:p w:rsidR="00C67B00" w:rsidRDefault="008C7108" w:rsidP="00C67B00">
      <w:pPr>
        <w:pStyle w:val="ListParagraph"/>
        <w:numPr>
          <w:ilvl w:val="0"/>
          <w:numId w:val="1"/>
        </w:numPr>
      </w:pPr>
      <w:r>
        <w:t>API rates are</w:t>
      </w:r>
      <w:r w:rsidR="00C67B00">
        <w:t xml:space="preserve"> 60% higher for</w:t>
      </w:r>
      <w:r w:rsidR="00C31991">
        <w:t xml:space="preserve"> charter high schools</w:t>
      </w:r>
      <w:r>
        <w:t xml:space="preserve"> compared to non-charter public high schools.</w:t>
      </w:r>
    </w:p>
    <w:p w:rsidR="00C67B00" w:rsidRDefault="00C67B00" w:rsidP="00C67B00"/>
    <w:p w:rsidR="00C12354" w:rsidRDefault="00C67B00" w:rsidP="00C67B00">
      <w:r>
        <w:t>Furthermore</w:t>
      </w:r>
      <w:r w:rsidR="00C12354">
        <w:t>, the publicly available data</w:t>
      </w:r>
      <w:r>
        <w:t xml:space="preserve"> from Ohio</w:t>
      </w:r>
      <w:r w:rsidR="00C12354">
        <w:t xml:space="preserve"> was very coarse: teacher position was defined by general discipline (e.g., math and science). </w:t>
      </w:r>
      <w:r>
        <w:t>Consequently</w:t>
      </w:r>
      <w:r w:rsidR="00C12354">
        <w:t>, all of the analyses underestimat</w:t>
      </w:r>
      <w:r w:rsidR="00833E7F">
        <w:t>e</w:t>
      </w:r>
      <w:r w:rsidR="00C12354">
        <w:t xml:space="preserve"> the </w:t>
      </w:r>
      <w:r>
        <w:t>API</w:t>
      </w:r>
      <w:r w:rsidR="00C12354">
        <w:t xml:space="preserve">. With </w:t>
      </w:r>
      <w:r w:rsidR="00833E7F">
        <w:t xml:space="preserve">higher quality </w:t>
      </w:r>
      <w:r w:rsidR="00C12354">
        <w:t>data that ties teachers to specific grades and courses, the same analyses will produce higher API rates as teacher position</w:t>
      </w:r>
      <w:r w:rsidR="00833E7F">
        <w:t>,</w:t>
      </w:r>
      <w:r w:rsidR="00C12354">
        <w:t xml:space="preserve"> </w:t>
      </w:r>
      <w:r w:rsidR="00833E7F">
        <w:t xml:space="preserve">and changes, </w:t>
      </w:r>
      <w:r w:rsidR="00C12354">
        <w:t>can be more accurately identified.</w:t>
      </w:r>
    </w:p>
    <w:p w:rsidR="00C67B00" w:rsidRDefault="00C67B00" w:rsidP="00C67B00"/>
    <w:p w:rsidR="00C67B00" w:rsidRDefault="008C7108" w:rsidP="00C67B00">
      <w:r>
        <w:t>In sum, the public teacher data from Ohio provides a rough, albeit low, estimate of teacher instability in that state.</w:t>
      </w:r>
      <w:r w:rsidR="00A65C39">
        <w:t xml:space="preserve"> </w:t>
      </w:r>
      <w:r>
        <w:t>Implications abound from these findings.</w:t>
      </w:r>
      <w:r w:rsidR="00A65C39">
        <w:t xml:space="preserve"> </w:t>
      </w:r>
      <w:r>
        <w:t>High levels of API will impact research studies targeting teachers in schools</w:t>
      </w:r>
      <w:r w:rsidR="00C67B00">
        <w:t xml:space="preserve"> </w:t>
      </w:r>
      <w:r>
        <w:t>as well as</w:t>
      </w:r>
      <w:r w:rsidR="00C67B00">
        <w:t xml:space="preserve"> school interventions targeting </w:t>
      </w:r>
      <w:r>
        <w:t>particular grades and/or subject.</w:t>
      </w:r>
      <w:r w:rsidR="00A65C39">
        <w:t xml:space="preserve"> </w:t>
      </w:r>
      <w:r>
        <w:t xml:space="preserve">This brief serves as a foundation by identifying base rates and showcasing </w:t>
      </w:r>
      <w:r w:rsidR="00893A94">
        <w:t>the magnitude of</w:t>
      </w:r>
      <w:r>
        <w:t xml:space="preserve"> positional instability rates in one state.</w:t>
      </w:r>
      <w:r w:rsidR="00A65C39">
        <w:t xml:space="preserve"> </w:t>
      </w:r>
      <w:r>
        <w:t>Next steps include using more granular data to better estimate the phenomena, both in Ohio and in other jurisdictions, and to explore the various impacts of API on research studies and student achievement.</w:t>
      </w:r>
    </w:p>
    <w:p w:rsidR="008C7108" w:rsidRDefault="008C7108" w:rsidP="00C67B00"/>
    <w:p w:rsidR="008C7108" w:rsidRDefault="008C7108" w:rsidP="00C67B00"/>
    <w:p w:rsidR="00A90E16" w:rsidRDefault="00833E7F" w:rsidP="00A90E16">
      <w:r>
        <w:t>.</w:t>
      </w:r>
    </w:p>
    <w:p w:rsidR="00AA7204" w:rsidRPr="00023529" w:rsidRDefault="00AA7204">
      <w:r>
        <w:rPr>
          <w:b/>
          <w:u w:val="single"/>
        </w:rPr>
        <w:br w:type="page"/>
      </w:r>
    </w:p>
    <w:p w:rsidR="005F7ECF" w:rsidRDefault="00E7624D" w:rsidP="00C31991">
      <w:pPr>
        <w:spacing w:line="240" w:lineRule="auto"/>
        <w:jc w:val="center"/>
        <w:rPr>
          <w:u w:val="single"/>
        </w:rPr>
      </w:pPr>
      <w:r>
        <w:rPr>
          <w:b/>
          <w:u w:val="single"/>
        </w:rPr>
        <w:lastRenderedPageBreak/>
        <w:t xml:space="preserve">1a. </w:t>
      </w:r>
      <w:r w:rsidR="00C03FCC" w:rsidRPr="006A6141">
        <w:rPr>
          <w:b/>
          <w:u w:val="single"/>
        </w:rPr>
        <w:t>2008-09 Cohort 5-Year Retention Analyses (no replacement)</w:t>
      </w:r>
      <w:r w:rsidR="00DA702B">
        <w:rPr>
          <w:rStyle w:val="EndnoteReference"/>
          <w:b/>
          <w:u w:val="single"/>
        </w:rPr>
        <w:endnoteReference w:id="5"/>
      </w:r>
    </w:p>
    <w:p w:rsidR="00C03FCC" w:rsidRPr="00C31991" w:rsidRDefault="00C03FCC" w:rsidP="00C31991">
      <w:pPr>
        <w:spacing w:line="240" w:lineRule="auto"/>
        <w:jc w:val="center"/>
        <w:rPr>
          <w:sz w:val="4"/>
          <w:u w:val="single"/>
        </w:rPr>
      </w:pPr>
    </w:p>
    <w:tbl>
      <w:tblPr>
        <w:tblW w:w="9836" w:type="dxa"/>
        <w:jc w:val="center"/>
        <w:tblInd w:w="93" w:type="dxa"/>
        <w:tblLook w:val="04A0" w:firstRow="1" w:lastRow="0" w:firstColumn="1" w:lastColumn="0" w:noHBand="0" w:noVBand="1"/>
      </w:tblPr>
      <w:tblGrid>
        <w:gridCol w:w="3680"/>
        <w:gridCol w:w="1026"/>
        <w:gridCol w:w="1026"/>
        <w:gridCol w:w="1026"/>
        <w:gridCol w:w="1026"/>
        <w:gridCol w:w="1026"/>
        <w:gridCol w:w="1026"/>
      </w:tblGrid>
      <w:tr w:rsidR="0045046B" w:rsidRPr="0045046B" w:rsidTr="0045046B">
        <w:trPr>
          <w:trHeight w:val="300"/>
          <w:jc w:val="center"/>
        </w:trPr>
        <w:tc>
          <w:tcPr>
            <w:tcW w:w="9836"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5046B" w:rsidRPr="00C31991" w:rsidRDefault="00B1743A" w:rsidP="00C31991">
            <w:pPr>
              <w:pStyle w:val="ListParagraph"/>
              <w:numPr>
                <w:ilvl w:val="0"/>
                <w:numId w:val="2"/>
              </w:numPr>
              <w:spacing w:line="240" w:lineRule="auto"/>
              <w:jc w:val="center"/>
              <w:rPr>
                <w:rFonts w:ascii="Calibri" w:hAnsi="Calibri"/>
                <w:b/>
                <w:bCs/>
                <w:sz w:val="22"/>
              </w:rPr>
            </w:pPr>
            <w:r w:rsidRPr="00C31991">
              <w:rPr>
                <w:rFonts w:ascii="Calibri" w:hAnsi="Calibri"/>
                <w:b/>
                <w:bCs/>
                <w:sz w:val="22"/>
              </w:rPr>
              <w:t>All Schools</w:t>
            </w:r>
          </w:p>
        </w:tc>
      </w:tr>
      <w:tr w:rsidR="0045046B" w:rsidRPr="0045046B" w:rsidTr="0045046B">
        <w:trPr>
          <w:trHeight w:val="300"/>
          <w:jc w:val="center"/>
        </w:trPr>
        <w:tc>
          <w:tcPr>
            <w:tcW w:w="3680" w:type="dxa"/>
            <w:tcBorders>
              <w:top w:val="nil"/>
              <w:left w:val="single" w:sz="4" w:space="0" w:color="auto"/>
              <w:bottom w:val="nil"/>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 </w:t>
            </w:r>
          </w:p>
        </w:tc>
        <w:tc>
          <w:tcPr>
            <w:tcW w:w="1026" w:type="dxa"/>
            <w:tcBorders>
              <w:top w:val="nil"/>
              <w:left w:val="single" w:sz="4" w:space="0" w:color="auto"/>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2008-09</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2009-10</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2010-11</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2011-12</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2012-13</w:t>
            </w:r>
          </w:p>
        </w:tc>
        <w:tc>
          <w:tcPr>
            <w:tcW w:w="1026" w:type="dxa"/>
            <w:tcBorders>
              <w:top w:val="nil"/>
              <w:left w:val="nil"/>
              <w:bottom w:val="single" w:sz="4" w:space="0" w:color="auto"/>
              <w:right w:val="single" w:sz="4" w:space="0" w:color="auto"/>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2013-14</w:t>
            </w:r>
          </w:p>
        </w:tc>
      </w:tr>
      <w:tr w:rsidR="00C278E6" w:rsidRPr="0045046B" w:rsidTr="0045046B">
        <w:trPr>
          <w:trHeight w:val="300"/>
          <w:jc w:val="center"/>
        </w:trPr>
        <w:tc>
          <w:tcPr>
            <w:tcW w:w="3680"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57364</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50032</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44586</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39426</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34963</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30669</w:t>
            </w:r>
          </w:p>
        </w:tc>
      </w:tr>
      <w:tr w:rsidR="00C278E6" w:rsidRPr="0045046B" w:rsidTr="0045046B">
        <w:trPr>
          <w:trHeight w:val="300"/>
          <w:jc w:val="center"/>
        </w:trPr>
        <w:tc>
          <w:tcPr>
            <w:tcW w:w="3680"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87%</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78%</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69%</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61%</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53%</w:t>
            </w:r>
          </w:p>
        </w:tc>
      </w:tr>
      <w:tr w:rsidR="00C278E6" w:rsidRPr="0045046B" w:rsidTr="0045046B">
        <w:trPr>
          <w:trHeight w:val="300"/>
          <w:jc w:val="center"/>
        </w:trPr>
        <w:tc>
          <w:tcPr>
            <w:tcW w:w="3680"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57364</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49474</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43866</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38699</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34187</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29795</w:t>
            </w:r>
          </w:p>
        </w:tc>
      </w:tr>
      <w:tr w:rsidR="00C278E6" w:rsidRPr="0045046B" w:rsidTr="0045046B">
        <w:trPr>
          <w:trHeight w:val="300"/>
          <w:jc w:val="center"/>
        </w:trPr>
        <w:tc>
          <w:tcPr>
            <w:tcW w:w="3680"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86%</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76%</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67%</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60%</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52%</w:t>
            </w:r>
          </w:p>
        </w:tc>
      </w:tr>
      <w:tr w:rsidR="00C278E6" w:rsidRPr="0045046B" w:rsidTr="0045046B">
        <w:trPr>
          <w:trHeight w:val="300"/>
          <w:jc w:val="center"/>
        </w:trPr>
        <w:tc>
          <w:tcPr>
            <w:tcW w:w="3680"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57364</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47155</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40172</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33856</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28678</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24097</w:t>
            </w:r>
          </w:p>
        </w:tc>
      </w:tr>
      <w:tr w:rsidR="00C278E6" w:rsidRPr="0045046B" w:rsidTr="0045046B">
        <w:trPr>
          <w:trHeight w:val="300"/>
          <w:jc w:val="center"/>
        </w:trPr>
        <w:tc>
          <w:tcPr>
            <w:tcW w:w="3680"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82%</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59%</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50%</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42%</w:t>
            </w:r>
          </w:p>
        </w:tc>
      </w:tr>
      <w:tr w:rsidR="00C278E6" w:rsidRPr="0045046B" w:rsidTr="0045046B">
        <w:trPr>
          <w:trHeight w:val="300"/>
          <w:jc w:val="center"/>
        </w:trPr>
        <w:tc>
          <w:tcPr>
            <w:tcW w:w="3680"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57364</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44166</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36787</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30440</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25434</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21177</w:t>
            </w:r>
          </w:p>
        </w:tc>
      </w:tr>
      <w:tr w:rsidR="00C278E6" w:rsidRPr="0045046B" w:rsidTr="0045046B">
        <w:trPr>
          <w:trHeight w:val="300"/>
          <w:jc w:val="center"/>
        </w:trPr>
        <w:tc>
          <w:tcPr>
            <w:tcW w:w="3680"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77%</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64%</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53%</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44%</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37%</w:t>
            </w:r>
          </w:p>
        </w:tc>
      </w:tr>
      <w:tr w:rsidR="00C278E6" w:rsidRPr="0045046B" w:rsidTr="0045046B">
        <w:trPr>
          <w:trHeight w:val="300"/>
          <w:jc w:val="center"/>
        </w:trPr>
        <w:tc>
          <w:tcPr>
            <w:tcW w:w="3680"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40868</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32907</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27789</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23372</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19669</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16443</w:t>
            </w:r>
          </w:p>
        </w:tc>
      </w:tr>
      <w:tr w:rsidR="00C278E6" w:rsidRPr="0045046B" w:rsidTr="0045046B">
        <w:trPr>
          <w:trHeight w:val="300"/>
          <w:jc w:val="center"/>
        </w:trPr>
        <w:tc>
          <w:tcPr>
            <w:tcW w:w="3680"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81%</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68%</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57%</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48%</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40%</w:t>
            </w:r>
          </w:p>
        </w:tc>
      </w:tr>
      <w:tr w:rsidR="00C278E6" w:rsidRPr="0045046B" w:rsidTr="0045046B">
        <w:trPr>
          <w:trHeight w:val="300"/>
          <w:jc w:val="center"/>
        </w:trPr>
        <w:tc>
          <w:tcPr>
            <w:tcW w:w="3680"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46801</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37759</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31938</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26660</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22381</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18543</w:t>
            </w:r>
          </w:p>
        </w:tc>
      </w:tr>
      <w:tr w:rsidR="0045046B" w:rsidRPr="0045046B" w:rsidTr="0045046B">
        <w:trPr>
          <w:trHeight w:val="300"/>
          <w:jc w:val="center"/>
        </w:trPr>
        <w:tc>
          <w:tcPr>
            <w:tcW w:w="3680" w:type="dxa"/>
            <w:vMerge/>
            <w:tcBorders>
              <w:top w:val="nil"/>
              <w:left w:val="single" w:sz="4" w:space="0" w:color="auto"/>
              <w:bottom w:val="single" w:sz="4" w:space="0" w:color="000000"/>
              <w:right w:val="single" w:sz="4" w:space="0" w:color="auto"/>
            </w:tcBorders>
            <w:vAlign w:val="center"/>
            <w:hideMark/>
          </w:tcPr>
          <w:p w:rsidR="0045046B" w:rsidRPr="0045046B" w:rsidRDefault="0045046B"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81%</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68%</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57%</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48%</w:t>
            </w:r>
          </w:p>
        </w:tc>
        <w:tc>
          <w:tcPr>
            <w:tcW w:w="1026" w:type="dxa"/>
            <w:tcBorders>
              <w:top w:val="nil"/>
              <w:left w:val="nil"/>
              <w:bottom w:val="single" w:sz="4" w:space="0" w:color="auto"/>
              <w:right w:val="single" w:sz="4" w:space="0" w:color="auto"/>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40%</w:t>
            </w:r>
          </w:p>
        </w:tc>
      </w:tr>
    </w:tbl>
    <w:p w:rsidR="00C03FCC" w:rsidRPr="00C31991" w:rsidRDefault="00C03FCC" w:rsidP="00C31991">
      <w:pPr>
        <w:spacing w:line="240" w:lineRule="auto"/>
        <w:jc w:val="center"/>
        <w:rPr>
          <w:sz w:val="8"/>
          <w:szCs w:val="8"/>
          <w:u w:val="single"/>
        </w:rPr>
      </w:pPr>
    </w:p>
    <w:tbl>
      <w:tblPr>
        <w:tblW w:w="9859" w:type="dxa"/>
        <w:jc w:val="center"/>
        <w:tblInd w:w="93" w:type="dxa"/>
        <w:tblLook w:val="04A0" w:firstRow="1" w:lastRow="0" w:firstColumn="1" w:lastColumn="0" w:noHBand="0" w:noVBand="1"/>
      </w:tblPr>
      <w:tblGrid>
        <w:gridCol w:w="3703"/>
        <w:gridCol w:w="1026"/>
        <w:gridCol w:w="1026"/>
        <w:gridCol w:w="1026"/>
        <w:gridCol w:w="1026"/>
        <w:gridCol w:w="1026"/>
        <w:gridCol w:w="1026"/>
      </w:tblGrid>
      <w:tr w:rsidR="0045046B" w:rsidRPr="0045046B" w:rsidTr="0045046B">
        <w:trPr>
          <w:trHeight w:val="300"/>
          <w:jc w:val="center"/>
        </w:trPr>
        <w:tc>
          <w:tcPr>
            <w:tcW w:w="9859"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5046B" w:rsidRPr="00C31991" w:rsidRDefault="0045046B" w:rsidP="00C31991">
            <w:pPr>
              <w:pStyle w:val="ListParagraph"/>
              <w:numPr>
                <w:ilvl w:val="0"/>
                <w:numId w:val="2"/>
              </w:numPr>
              <w:spacing w:line="240" w:lineRule="auto"/>
              <w:jc w:val="center"/>
              <w:rPr>
                <w:rFonts w:ascii="Calibri" w:eastAsia="Times New Roman" w:hAnsi="Calibri"/>
                <w:b/>
                <w:bCs/>
                <w:color w:val="000000"/>
                <w:sz w:val="22"/>
              </w:rPr>
            </w:pPr>
            <w:r w:rsidRPr="00C31991">
              <w:rPr>
                <w:rFonts w:ascii="Calibri" w:eastAsia="Times New Roman" w:hAnsi="Calibri"/>
                <w:b/>
                <w:bCs/>
                <w:color w:val="000000"/>
                <w:sz w:val="22"/>
              </w:rPr>
              <w:t>Public Non-Charter High Schools</w:t>
            </w:r>
          </w:p>
        </w:tc>
      </w:tr>
      <w:tr w:rsidR="0045046B" w:rsidRPr="0045046B" w:rsidTr="0045046B">
        <w:trPr>
          <w:trHeight w:val="300"/>
          <w:jc w:val="center"/>
        </w:trPr>
        <w:tc>
          <w:tcPr>
            <w:tcW w:w="3703" w:type="dxa"/>
            <w:tcBorders>
              <w:top w:val="nil"/>
              <w:left w:val="single" w:sz="4" w:space="0" w:color="auto"/>
              <w:bottom w:val="nil"/>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 </w:t>
            </w:r>
          </w:p>
        </w:tc>
        <w:tc>
          <w:tcPr>
            <w:tcW w:w="1026" w:type="dxa"/>
            <w:tcBorders>
              <w:top w:val="nil"/>
              <w:left w:val="single" w:sz="4" w:space="0" w:color="auto"/>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2008-09</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2009-10</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2010-11</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2011-12</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2012-13</w:t>
            </w:r>
          </w:p>
        </w:tc>
        <w:tc>
          <w:tcPr>
            <w:tcW w:w="1026" w:type="dxa"/>
            <w:tcBorders>
              <w:top w:val="nil"/>
              <w:left w:val="nil"/>
              <w:bottom w:val="single" w:sz="4" w:space="0" w:color="auto"/>
              <w:right w:val="single" w:sz="4" w:space="0" w:color="auto"/>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2013-14</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11353</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9954</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8917</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7969</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7154</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6403</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88%</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79%</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70%</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63%</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56%</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11353</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9804</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8711</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7746</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6908</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6111</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86%</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77%</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68%</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61%</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54%</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11353</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9579</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8256</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7218</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6385</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5586</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84%</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73%</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64%</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56%</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49%</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11353</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9238</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7910</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6917</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6110</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5337</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81%</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61%</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54%</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47%</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6026</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4980</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4282</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3762</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3325</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2916</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83%</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71%</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62%</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55%</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48%</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6483</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5270</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4448</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3857</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3376</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2907</w:t>
            </w:r>
          </w:p>
        </w:tc>
      </w:tr>
      <w:tr w:rsidR="0045046B"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45046B" w:rsidRPr="0045046B" w:rsidRDefault="0045046B"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81%</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69%</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59%</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52%</w:t>
            </w:r>
          </w:p>
        </w:tc>
        <w:tc>
          <w:tcPr>
            <w:tcW w:w="1026" w:type="dxa"/>
            <w:tcBorders>
              <w:top w:val="nil"/>
              <w:left w:val="nil"/>
              <w:bottom w:val="single" w:sz="4" w:space="0" w:color="auto"/>
              <w:right w:val="single" w:sz="4" w:space="0" w:color="auto"/>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45%</w:t>
            </w:r>
          </w:p>
        </w:tc>
      </w:tr>
    </w:tbl>
    <w:p w:rsidR="00C03FCC" w:rsidRPr="00C31991" w:rsidRDefault="00C03FCC" w:rsidP="00C31991">
      <w:pPr>
        <w:spacing w:line="240" w:lineRule="auto"/>
        <w:jc w:val="center"/>
        <w:rPr>
          <w:sz w:val="8"/>
          <w:u w:val="single"/>
        </w:rPr>
      </w:pPr>
    </w:p>
    <w:tbl>
      <w:tblPr>
        <w:tblW w:w="9871" w:type="dxa"/>
        <w:jc w:val="center"/>
        <w:tblInd w:w="93" w:type="dxa"/>
        <w:tblLook w:val="04A0" w:firstRow="1" w:lastRow="0" w:firstColumn="1" w:lastColumn="0" w:noHBand="0" w:noVBand="1"/>
      </w:tblPr>
      <w:tblGrid>
        <w:gridCol w:w="3715"/>
        <w:gridCol w:w="1026"/>
        <w:gridCol w:w="1026"/>
        <w:gridCol w:w="1026"/>
        <w:gridCol w:w="1026"/>
        <w:gridCol w:w="1026"/>
        <w:gridCol w:w="1026"/>
      </w:tblGrid>
      <w:tr w:rsidR="00565F5B" w:rsidRPr="00565F5B" w:rsidTr="00565F5B">
        <w:trPr>
          <w:trHeight w:val="300"/>
          <w:jc w:val="center"/>
        </w:trPr>
        <w:tc>
          <w:tcPr>
            <w:tcW w:w="9871"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65F5B" w:rsidRPr="00C31991" w:rsidRDefault="00565F5B" w:rsidP="00C31991">
            <w:pPr>
              <w:pStyle w:val="ListParagraph"/>
              <w:numPr>
                <w:ilvl w:val="0"/>
                <w:numId w:val="2"/>
              </w:numPr>
              <w:spacing w:line="240" w:lineRule="auto"/>
              <w:jc w:val="center"/>
              <w:rPr>
                <w:rFonts w:ascii="Calibri" w:eastAsia="Times New Roman" w:hAnsi="Calibri"/>
                <w:b/>
                <w:bCs/>
                <w:color w:val="000000"/>
                <w:sz w:val="22"/>
              </w:rPr>
            </w:pPr>
            <w:r w:rsidRPr="00C31991">
              <w:rPr>
                <w:rFonts w:ascii="Calibri" w:eastAsia="Times New Roman" w:hAnsi="Calibri"/>
                <w:b/>
                <w:bCs/>
                <w:color w:val="000000"/>
                <w:sz w:val="22"/>
              </w:rPr>
              <w:t>Charter/Community High Schools</w:t>
            </w:r>
          </w:p>
        </w:tc>
      </w:tr>
      <w:tr w:rsidR="00565F5B" w:rsidRPr="00565F5B" w:rsidTr="00565F5B">
        <w:trPr>
          <w:trHeight w:val="300"/>
          <w:jc w:val="center"/>
        </w:trPr>
        <w:tc>
          <w:tcPr>
            <w:tcW w:w="3715" w:type="dxa"/>
            <w:tcBorders>
              <w:top w:val="nil"/>
              <w:left w:val="single" w:sz="4" w:space="0" w:color="auto"/>
              <w:bottom w:val="nil"/>
              <w:right w:val="nil"/>
            </w:tcBorders>
            <w:shd w:val="clear" w:color="auto" w:fill="auto"/>
            <w:noWrap/>
            <w:vAlign w:val="bottom"/>
            <w:hideMark/>
          </w:tcPr>
          <w:p w:rsidR="00565F5B" w:rsidRPr="00565F5B" w:rsidRDefault="00565F5B" w:rsidP="00C31991">
            <w:pPr>
              <w:spacing w:line="240" w:lineRule="auto"/>
              <w:rPr>
                <w:rFonts w:ascii="Calibri" w:eastAsia="Times New Roman" w:hAnsi="Calibri"/>
                <w:color w:val="000000"/>
                <w:sz w:val="22"/>
              </w:rPr>
            </w:pPr>
            <w:r w:rsidRPr="00565F5B">
              <w:rPr>
                <w:rFonts w:ascii="Calibri" w:eastAsia="Times New Roman" w:hAnsi="Calibri"/>
                <w:color w:val="000000"/>
                <w:sz w:val="22"/>
              </w:rPr>
              <w:t> </w:t>
            </w:r>
          </w:p>
        </w:tc>
        <w:tc>
          <w:tcPr>
            <w:tcW w:w="1026" w:type="dxa"/>
            <w:tcBorders>
              <w:top w:val="nil"/>
              <w:left w:val="single" w:sz="4" w:space="0" w:color="auto"/>
              <w:bottom w:val="single" w:sz="4" w:space="0" w:color="auto"/>
              <w:right w:val="nil"/>
            </w:tcBorders>
            <w:shd w:val="clear" w:color="000000" w:fill="F2F2F2"/>
            <w:noWrap/>
            <w:vAlign w:val="bottom"/>
            <w:hideMark/>
          </w:tcPr>
          <w:p w:rsidR="00565F5B" w:rsidRPr="00565F5B" w:rsidRDefault="00565F5B" w:rsidP="00C31991">
            <w:pPr>
              <w:spacing w:line="240" w:lineRule="auto"/>
              <w:rPr>
                <w:rFonts w:ascii="Calibri" w:eastAsia="Times New Roman" w:hAnsi="Calibri"/>
                <w:color w:val="000000"/>
                <w:sz w:val="22"/>
              </w:rPr>
            </w:pPr>
            <w:r w:rsidRPr="00565F5B">
              <w:rPr>
                <w:rFonts w:ascii="Calibri" w:eastAsia="Times New Roman" w:hAnsi="Calibri"/>
                <w:color w:val="000000"/>
                <w:sz w:val="22"/>
              </w:rPr>
              <w:t>2008-09</w:t>
            </w:r>
          </w:p>
        </w:tc>
        <w:tc>
          <w:tcPr>
            <w:tcW w:w="1026" w:type="dxa"/>
            <w:tcBorders>
              <w:top w:val="nil"/>
              <w:left w:val="nil"/>
              <w:bottom w:val="single" w:sz="4" w:space="0" w:color="auto"/>
              <w:right w:val="nil"/>
            </w:tcBorders>
            <w:shd w:val="clear" w:color="auto" w:fill="auto"/>
            <w:noWrap/>
            <w:vAlign w:val="bottom"/>
            <w:hideMark/>
          </w:tcPr>
          <w:p w:rsidR="00565F5B" w:rsidRPr="00565F5B" w:rsidRDefault="00565F5B" w:rsidP="00C31991">
            <w:pPr>
              <w:spacing w:line="240" w:lineRule="auto"/>
              <w:rPr>
                <w:rFonts w:ascii="Calibri" w:eastAsia="Times New Roman" w:hAnsi="Calibri"/>
                <w:color w:val="000000"/>
                <w:sz w:val="22"/>
              </w:rPr>
            </w:pPr>
            <w:r w:rsidRPr="00565F5B">
              <w:rPr>
                <w:rFonts w:ascii="Calibri" w:eastAsia="Times New Roman" w:hAnsi="Calibri"/>
                <w:color w:val="000000"/>
                <w:sz w:val="22"/>
              </w:rPr>
              <w:t>2009-10</w:t>
            </w:r>
          </w:p>
        </w:tc>
        <w:tc>
          <w:tcPr>
            <w:tcW w:w="1026" w:type="dxa"/>
            <w:tcBorders>
              <w:top w:val="nil"/>
              <w:left w:val="nil"/>
              <w:bottom w:val="single" w:sz="4" w:space="0" w:color="auto"/>
              <w:right w:val="nil"/>
            </w:tcBorders>
            <w:shd w:val="clear" w:color="000000" w:fill="F2F2F2"/>
            <w:noWrap/>
            <w:vAlign w:val="bottom"/>
            <w:hideMark/>
          </w:tcPr>
          <w:p w:rsidR="00565F5B" w:rsidRPr="00565F5B" w:rsidRDefault="00565F5B" w:rsidP="00C31991">
            <w:pPr>
              <w:spacing w:line="240" w:lineRule="auto"/>
              <w:rPr>
                <w:rFonts w:ascii="Calibri" w:eastAsia="Times New Roman" w:hAnsi="Calibri"/>
                <w:color w:val="000000"/>
                <w:sz w:val="22"/>
              </w:rPr>
            </w:pPr>
            <w:r w:rsidRPr="00565F5B">
              <w:rPr>
                <w:rFonts w:ascii="Calibri" w:eastAsia="Times New Roman" w:hAnsi="Calibri"/>
                <w:color w:val="000000"/>
                <w:sz w:val="22"/>
              </w:rPr>
              <w:t>2010-11</w:t>
            </w:r>
          </w:p>
        </w:tc>
        <w:tc>
          <w:tcPr>
            <w:tcW w:w="1026" w:type="dxa"/>
            <w:tcBorders>
              <w:top w:val="nil"/>
              <w:left w:val="nil"/>
              <w:bottom w:val="single" w:sz="4" w:space="0" w:color="auto"/>
              <w:right w:val="nil"/>
            </w:tcBorders>
            <w:shd w:val="clear" w:color="auto" w:fill="auto"/>
            <w:noWrap/>
            <w:vAlign w:val="bottom"/>
            <w:hideMark/>
          </w:tcPr>
          <w:p w:rsidR="00565F5B" w:rsidRPr="00565F5B" w:rsidRDefault="00565F5B" w:rsidP="00C31991">
            <w:pPr>
              <w:spacing w:line="240" w:lineRule="auto"/>
              <w:rPr>
                <w:rFonts w:ascii="Calibri" w:eastAsia="Times New Roman" w:hAnsi="Calibri"/>
                <w:color w:val="000000"/>
                <w:sz w:val="22"/>
              </w:rPr>
            </w:pPr>
            <w:r w:rsidRPr="00565F5B">
              <w:rPr>
                <w:rFonts w:ascii="Calibri" w:eastAsia="Times New Roman" w:hAnsi="Calibri"/>
                <w:color w:val="000000"/>
                <w:sz w:val="22"/>
              </w:rPr>
              <w:t>2011-12</w:t>
            </w:r>
          </w:p>
        </w:tc>
        <w:tc>
          <w:tcPr>
            <w:tcW w:w="1026" w:type="dxa"/>
            <w:tcBorders>
              <w:top w:val="nil"/>
              <w:left w:val="nil"/>
              <w:bottom w:val="single" w:sz="4" w:space="0" w:color="auto"/>
              <w:right w:val="nil"/>
            </w:tcBorders>
            <w:shd w:val="clear" w:color="000000" w:fill="F2F2F2"/>
            <w:noWrap/>
            <w:vAlign w:val="bottom"/>
            <w:hideMark/>
          </w:tcPr>
          <w:p w:rsidR="00565F5B" w:rsidRPr="00565F5B" w:rsidRDefault="00565F5B" w:rsidP="00C31991">
            <w:pPr>
              <w:spacing w:line="240" w:lineRule="auto"/>
              <w:rPr>
                <w:rFonts w:ascii="Calibri" w:eastAsia="Times New Roman" w:hAnsi="Calibri"/>
                <w:color w:val="000000"/>
                <w:sz w:val="22"/>
              </w:rPr>
            </w:pPr>
            <w:r w:rsidRPr="00565F5B">
              <w:rPr>
                <w:rFonts w:ascii="Calibri" w:eastAsia="Times New Roman" w:hAnsi="Calibri"/>
                <w:color w:val="000000"/>
                <w:sz w:val="22"/>
              </w:rPr>
              <w:t>2012-13</w:t>
            </w:r>
          </w:p>
        </w:tc>
        <w:tc>
          <w:tcPr>
            <w:tcW w:w="1026" w:type="dxa"/>
            <w:tcBorders>
              <w:top w:val="nil"/>
              <w:left w:val="nil"/>
              <w:bottom w:val="single" w:sz="4" w:space="0" w:color="auto"/>
              <w:right w:val="single" w:sz="4" w:space="0" w:color="auto"/>
            </w:tcBorders>
            <w:shd w:val="clear" w:color="auto" w:fill="auto"/>
            <w:noWrap/>
            <w:vAlign w:val="bottom"/>
            <w:hideMark/>
          </w:tcPr>
          <w:p w:rsidR="00565F5B" w:rsidRPr="00565F5B" w:rsidRDefault="00565F5B" w:rsidP="00C31991">
            <w:pPr>
              <w:spacing w:line="240" w:lineRule="auto"/>
              <w:rPr>
                <w:rFonts w:ascii="Calibri" w:eastAsia="Times New Roman" w:hAnsi="Calibri"/>
                <w:color w:val="000000"/>
                <w:sz w:val="22"/>
              </w:rPr>
            </w:pPr>
            <w:r w:rsidRPr="00565F5B">
              <w:rPr>
                <w:rFonts w:ascii="Calibri" w:eastAsia="Times New Roman" w:hAnsi="Calibri"/>
                <w:color w:val="000000"/>
                <w:sz w:val="22"/>
              </w:rPr>
              <w:t>2013-14</w:t>
            </w:r>
          </w:p>
        </w:tc>
      </w:tr>
      <w:tr w:rsidR="00C278E6" w:rsidRPr="00565F5B" w:rsidTr="00565F5B">
        <w:trPr>
          <w:trHeight w:val="300"/>
          <w:jc w:val="center"/>
        </w:trPr>
        <w:tc>
          <w:tcPr>
            <w:tcW w:w="3715"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629</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426</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337</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249</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199</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155</w:t>
            </w:r>
          </w:p>
        </w:tc>
      </w:tr>
      <w:tr w:rsidR="00C278E6" w:rsidRPr="00565F5B" w:rsidTr="00565F5B">
        <w:trPr>
          <w:trHeight w:val="300"/>
          <w:jc w:val="center"/>
        </w:trPr>
        <w:tc>
          <w:tcPr>
            <w:tcW w:w="3715" w:type="dxa"/>
            <w:vMerge/>
            <w:tcBorders>
              <w:top w:val="nil"/>
              <w:left w:val="single" w:sz="4" w:space="0" w:color="auto"/>
              <w:bottom w:val="single" w:sz="4" w:space="0" w:color="000000"/>
              <w:right w:val="single" w:sz="4" w:space="0" w:color="auto"/>
            </w:tcBorders>
            <w:vAlign w:val="center"/>
            <w:hideMark/>
          </w:tcPr>
          <w:p w:rsidR="00C278E6" w:rsidRPr="00565F5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68%</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54%</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40%</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32%</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25%</w:t>
            </w:r>
          </w:p>
        </w:tc>
      </w:tr>
      <w:tr w:rsidR="00C278E6" w:rsidRPr="00565F5B" w:rsidTr="00565F5B">
        <w:trPr>
          <w:trHeight w:val="300"/>
          <w:jc w:val="center"/>
        </w:trPr>
        <w:tc>
          <w:tcPr>
            <w:tcW w:w="3715"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629</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376</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288</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207</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152</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111</w:t>
            </w:r>
          </w:p>
        </w:tc>
      </w:tr>
      <w:tr w:rsidR="00C278E6" w:rsidRPr="00565F5B" w:rsidTr="00565F5B">
        <w:trPr>
          <w:trHeight w:val="300"/>
          <w:jc w:val="center"/>
        </w:trPr>
        <w:tc>
          <w:tcPr>
            <w:tcW w:w="3715" w:type="dxa"/>
            <w:vMerge/>
            <w:tcBorders>
              <w:top w:val="nil"/>
              <w:left w:val="single" w:sz="4" w:space="0" w:color="auto"/>
              <w:bottom w:val="single" w:sz="4" w:space="0" w:color="000000"/>
              <w:right w:val="single" w:sz="4" w:space="0" w:color="auto"/>
            </w:tcBorders>
            <w:vAlign w:val="center"/>
            <w:hideMark/>
          </w:tcPr>
          <w:p w:rsidR="00C278E6" w:rsidRPr="00565F5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60%</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46%</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33%</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24%</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18%</w:t>
            </w:r>
          </w:p>
        </w:tc>
      </w:tr>
      <w:tr w:rsidR="00C278E6" w:rsidRPr="00565F5B" w:rsidTr="00565F5B">
        <w:trPr>
          <w:trHeight w:val="300"/>
          <w:jc w:val="center"/>
        </w:trPr>
        <w:tc>
          <w:tcPr>
            <w:tcW w:w="3715"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629</w:t>
            </w:r>
          </w:p>
        </w:tc>
        <w:tc>
          <w:tcPr>
            <w:tcW w:w="1026" w:type="dxa"/>
            <w:tcBorders>
              <w:top w:val="nil"/>
              <w:left w:val="nil"/>
              <w:bottom w:val="nil"/>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376</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288</w:t>
            </w:r>
          </w:p>
        </w:tc>
        <w:tc>
          <w:tcPr>
            <w:tcW w:w="1026" w:type="dxa"/>
            <w:tcBorders>
              <w:top w:val="nil"/>
              <w:left w:val="nil"/>
              <w:bottom w:val="nil"/>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209</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154</w:t>
            </w:r>
          </w:p>
        </w:tc>
        <w:tc>
          <w:tcPr>
            <w:tcW w:w="1026" w:type="dxa"/>
            <w:tcBorders>
              <w:top w:val="nil"/>
              <w:left w:val="nil"/>
              <w:bottom w:val="nil"/>
              <w:right w:val="single" w:sz="4" w:space="0" w:color="auto"/>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112</w:t>
            </w:r>
          </w:p>
        </w:tc>
      </w:tr>
      <w:tr w:rsidR="00C278E6" w:rsidRPr="00565F5B" w:rsidTr="00565F5B">
        <w:trPr>
          <w:trHeight w:val="300"/>
          <w:jc w:val="center"/>
        </w:trPr>
        <w:tc>
          <w:tcPr>
            <w:tcW w:w="3715" w:type="dxa"/>
            <w:vMerge/>
            <w:tcBorders>
              <w:top w:val="nil"/>
              <w:left w:val="single" w:sz="4" w:space="0" w:color="auto"/>
              <w:bottom w:val="single" w:sz="4" w:space="0" w:color="000000"/>
              <w:right w:val="single" w:sz="4" w:space="0" w:color="auto"/>
            </w:tcBorders>
            <w:vAlign w:val="center"/>
            <w:hideMark/>
          </w:tcPr>
          <w:p w:rsidR="00C278E6" w:rsidRPr="00565F5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60%</w:t>
            </w:r>
          </w:p>
        </w:tc>
        <w:tc>
          <w:tcPr>
            <w:tcW w:w="1026" w:type="dxa"/>
            <w:tcBorders>
              <w:top w:val="nil"/>
              <w:left w:val="nil"/>
              <w:bottom w:val="single" w:sz="4" w:space="0" w:color="auto"/>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46%</w:t>
            </w:r>
          </w:p>
        </w:tc>
        <w:tc>
          <w:tcPr>
            <w:tcW w:w="1026" w:type="dxa"/>
            <w:tcBorders>
              <w:top w:val="nil"/>
              <w:left w:val="nil"/>
              <w:bottom w:val="single" w:sz="4" w:space="0" w:color="auto"/>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33%</w:t>
            </w:r>
          </w:p>
        </w:tc>
        <w:tc>
          <w:tcPr>
            <w:tcW w:w="1026" w:type="dxa"/>
            <w:tcBorders>
              <w:top w:val="nil"/>
              <w:left w:val="nil"/>
              <w:bottom w:val="single" w:sz="4" w:space="0" w:color="auto"/>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24%</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18%</w:t>
            </w:r>
          </w:p>
        </w:tc>
      </w:tr>
      <w:tr w:rsidR="00C278E6" w:rsidRPr="00565F5B" w:rsidTr="00565F5B">
        <w:trPr>
          <w:trHeight w:val="300"/>
          <w:jc w:val="center"/>
        </w:trPr>
        <w:tc>
          <w:tcPr>
            <w:tcW w:w="3715"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629</w:t>
            </w:r>
          </w:p>
        </w:tc>
        <w:tc>
          <w:tcPr>
            <w:tcW w:w="1026" w:type="dxa"/>
            <w:tcBorders>
              <w:top w:val="nil"/>
              <w:left w:val="nil"/>
              <w:bottom w:val="nil"/>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358</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271</w:t>
            </w:r>
          </w:p>
        </w:tc>
        <w:tc>
          <w:tcPr>
            <w:tcW w:w="1026" w:type="dxa"/>
            <w:tcBorders>
              <w:top w:val="nil"/>
              <w:left w:val="nil"/>
              <w:bottom w:val="nil"/>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190</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132</w:t>
            </w:r>
          </w:p>
        </w:tc>
        <w:tc>
          <w:tcPr>
            <w:tcW w:w="1026" w:type="dxa"/>
            <w:tcBorders>
              <w:top w:val="nil"/>
              <w:left w:val="nil"/>
              <w:bottom w:val="nil"/>
              <w:right w:val="single" w:sz="4" w:space="0" w:color="auto"/>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97</w:t>
            </w:r>
          </w:p>
        </w:tc>
      </w:tr>
      <w:tr w:rsidR="00C278E6" w:rsidRPr="00565F5B" w:rsidTr="00565F5B">
        <w:trPr>
          <w:trHeight w:val="300"/>
          <w:jc w:val="center"/>
        </w:trPr>
        <w:tc>
          <w:tcPr>
            <w:tcW w:w="3715" w:type="dxa"/>
            <w:vMerge/>
            <w:tcBorders>
              <w:top w:val="nil"/>
              <w:left w:val="single" w:sz="4" w:space="0" w:color="auto"/>
              <w:bottom w:val="single" w:sz="4" w:space="0" w:color="000000"/>
              <w:right w:val="single" w:sz="4" w:space="0" w:color="auto"/>
            </w:tcBorders>
            <w:vAlign w:val="center"/>
            <w:hideMark/>
          </w:tcPr>
          <w:p w:rsidR="00C278E6" w:rsidRPr="00565F5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57%</w:t>
            </w:r>
          </w:p>
        </w:tc>
        <w:tc>
          <w:tcPr>
            <w:tcW w:w="1026" w:type="dxa"/>
            <w:tcBorders>
              <w:top w:val="nil"/>
              <w:left w:val="nil"/>
              <w:bottom w:val="single" w:sz="4" w:space="0" w:color="auto"/>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43%</w:t>
            </w:r>
          </w:p>
        </w:tc>
        <w:tc>
          <w:tcPr>
            <w:tcW w:w="1026" w:type="dxa"/>
            <w:tcBorders>
              <w:top w:val="nil"/>
              <w:left w:val="nil"/>
              <w:bottom w:val="single" w:sz="4" w:space="0" w:color="auto"/>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30%</w:t>
            </w:r>
          </w:p>
        </w:tc>
        <w:tc>
          <w:tcPr>
            <w:tcW w:w="1026" w:type="dxa"/>
            <w:tcBorders>
              <w:top w:val="nil"/>
              <w:left w:val="nil"/>
              <w:bottom w:val="single" w:sz="4" w:space="0" w:color="auto"/>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21%</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15%</w:t>
            </w:r>
          </w:p>
        </w:tc>
      </w:tr>
      <w:tr w:rsidR="00C278E6" w:rsidRPr="00565F5B" w:rsidTr="00565F5B">
        <w:trPr>
          <w:trHeight w:val="300"/>
          <w:jc w:val="center"/>
        </w:trPr>
        <w:tc>
          <w:tcPr>
            <w:tcW w:w="3715"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439</w:t>
            </w:r>
          </w:p>
        </w:tc>
        <w:tc>
          <w:tcPr>
            <w:tcW w:w="1026" w:type="dxa"/>
            <w:tcBorders>
              <w:top w:val="nil"/>
              <w:left w:val="nil"/>
              <w:bottom w:val="nil"/>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256</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196</w:t>
            </w:r>
          </w:p>
        </w:tc>
        <w:tc>
          <w:tcPr>
            <w:tcW w:w="1026" w:type="dxa"/>
            <w:tcBorders>
              <w:top w:val="nil"/>
              <w:left w:val="nil"/>
              <w:bottom w:val="nil"/>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134</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101</w:t>
            </w:r>
          </w:p>
        </w:tc>
        <w:tc>
          <w:tcPr>
            <w:tcW w:w="1026" w:type="dxa"/>
            <w:tcBorders>
              <w:top w:val="nil"/>
              <w:left w:val="nil"/>
              <w:bottom w:val="nil"/>
              <w:right w:val="single" w:sz="4" w:space="0" w:color="auto"/>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73</w:t>
            </w:r>
          </w:p>
        </w:tc>
      </w:tr>
      <w:tr w:rsidR="00C278E6" w:rsidRPr="00565F5B" w:rsidTr="00565F5B">
        <w:trPr>
          <w:trHeight w:val="300"/>
          <w:jc w:val="center"/>
        </w:trPr>
        <w:tc>
          <w:tcPr>
            <w:tcW w:w="3715" w:type="dxa"/>
            <w:vMerge/>
            <w:tcBorders>
              <w:top w:val="nil"/>
              <w:left w:val="single" w:sz="4" w:space="0" w:color="auto"/>
              <w:bottom w:val="single" w:sz="4" w:space="0" w:color="000000"/>
              <w:right w:val="single" w:sz="4" w:space="0" w:color="auto"/>
            </w:tcBorders>
            <w:vAlign w:val="center"/>
            <w:hideMark/>
          </w:tcPr>
          <w:p w:rsidR="00C278E6" w:rsidRPr="00565F5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58%</w:t>
            </w:r>
          </w:p>
        </w:tc>
        <w:tc>
          <w:tcPr>
            <w:tcW w:w="1026" w:type="dxa"/>
            <w:tcBorders>
              <w:top w:val="nil"/>
              <w:left w:val="nil"/>
              <w:bottom w:val="single" w:sz="4" w:space="0" w:color="auto"/>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45%</w:t>
            </w:r>
          </w:p>
        </w:tc>
        <w:tc>
          <w:tcPr>
            <w:tcW w:w="1026" w:type="dxa"/>
            <w:tcBorders>
              <w:top w:val="nil"/>
              <w:left w:val="nil"/>
              <w:bottom w:val="single" w:sz="4" w:space="0" w:color="auto"/>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31%</w:t>
            </w:r>
          </w:p>
        </w:tc>
        <w:tc>
          <w:tcPr>
            <w:tcW w:w="1026" w:type="dxa"/>
            <w:tcBorders>
              <w:top w:val="nil"/>
              <w:left w:val="nil"/>
              <w:bottom w:val="single" w:sz="4" w:space="0" w:color="auto"/>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23%</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17%</w:t>
            </w:r>
          </w:p>
        </w:tc>
      </w:tr>
      <w:tr w:rsidR="00C278E6" w:rsidRPr="00565F5B" w:rsidTr="00565F5B">
        <w:trPr>
          <w:trHeight w:val="300"/>
          <w:jc w:val="center"/>
        </w:trPr>
        <w:tc>
          <w:tcPr>
            <w:tcW w:w="3715"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449</w:t>
            </w:r>
          </w:p>
        </w:tc>
        <w:tc>
          <w:tcPr>
            <w:tcW w:w="1026" w:type="dxa"/>
            <w:tcBorders>
              <w:top w:val="nil"/>
              <w:left w:val="nil"/>
              <w:bottom w:val="nil"/>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266</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206</w:t>
            </w:r>
          </w:p>
        </w:tc>
        <w:tc>
          <w:tcPr>
            <w:tcW w:w="1026" w:type="dxa"/>
            <w:tcBorders>
              <w:top w:val="nil"/>
              <w:left w:val="nil"/>
              <w:bottom w:val="nil"/>
              <w:right w:val="nil"/>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143</w:t>
            </w:r>
          </w:p>
        </w:tc>
        <w:tc>
          <w:tcPr>
            <w:tcW w:w="1026" w:type="dxa"/>
            <w:tcBorders>
              <w:top w:val="nil"/>
              <w:left w:val="nil"/>
              <w:bottom w:val="nil"/>
              <w:right w:val="nil"/>
            </w:tcBorders>
            <w:shd w:val="clear" w:color="000000" w:fill="F2F2F2"/>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103</w:t>
            </w:r>
          </w:p>
        </w:tc>
        <w:tc>
          <w:tcPr>
            <w:tcW w:w="1026" w:type="dxa"/>
            <w:tcBorders>
              <w:top w:val="nil"/>
              <w:left w:val="nil"/>
              <w:bottom w:val="nil"/>
              <w:right w:val="single" w:sz="4" w:space="0" w:color="auto"/>
            </w:tcBorders>
            <w:shd w:val="clear" w:color="auto" w:fill="auto"/>
            <w:noWrap/>
            <w:vAlign w:val="bottom"/>
            <w:hideMark/>
          </w:tcPr>
          <w:p w:rsidR="00C278E6" w:rsidRPr="00565F5B" w:rsidRDefault="00C278E6" w:rsidP="00C31991">
            <w:pPr>
              <w:spacing w:line="240" w:lineRule="auto"/>
              <w:jc w:val="right"/>
              <w:rPr>
                <w:rFonts w:ascii="Calibri" w:eastAsia="Times New Roman" w:hAnsi="Calibri"/>
                <w:color w:val="000000"/>
                <w:sz w:val="22"/>
              </w:rPr>
            </w:pPr>
            <w:r w:rsidRPr="00565F5B">
              <w:rPr>
                <w:rFonts w:ascii="Calibri" w:eastAsia="Times New Roman" w:hAnsi="Calibri"/>
                <w:color w:val="000000"/>
                <w:sz w:val="22"/>
              </w:rPr>
              <w:t>77</w:t>
            </w:r>
          </w:p>
        </w:tc>
      </w:tr>
      <w:tr w:rsidR="00565F5B" w:rsidRPr="00565F5B" w:rsidTr="00565F5B">
        <w:trPr>
          <w:trHeight w:val="300"/>
          <w:jc w:val="center"/>
        </w:trPr>
        <w:tc>
          <w:tcPr>
            <w:tcW w:w="3715" w:type="dxa"/>
            <w:vMerge/>
            <w:tcBorders>
              <w:top w:val="nil"/>
              <w:left w:val="single" w:sz="4" w:space="0" w:color="auto"/>
              <w:bottom w:val="single" w:sz="4" w:space="0" w:color="000000"/>
              <w:right w:val="single" w:sz="4" w:space="0" w:color="auto"/>
            </w:tcBorders>
            <w:vAlign w:val="center"/>
            <w:hideMark/>
          </w:tcPr>
          <w:p w:rsidR="00565F5B" w:rsidRPr="00565F5B" w:rsidRDefault="00565F5B"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565F5B" w:rsidRPr="00565F5B" w:rsidRDefault="00565F5B"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565F5B" w:rsidRPr="00565F5B" w:rsidRDefault="00565F5B"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59%</w:t>
            </w:r>
          </w:p>
        </w:tc>
        <w:tc>
          <w:tcPr>
            <w:tcW w:w="1026" w:type="dxa"/>
            <w:tcBorders>
              <w:top w:val="nil"/>
              <w:left w:val="nil"/>
              <w:bottom w:val="single" w:sz="4" w:space="0" w:color="auto"/>
              <w:right w:val="nil"/>
            </w:tcBorders>
            <w:shd w:val="clear" w:color="000000" w:fill="F2F2F2"/>
            <w:noWrap/>
            <w:vAlign w:val="bottom"/>
            <w:hideMark/>
          </w:tcPr>
          <w:p w:rsidR="00565F5B" w:rsidRPr="00565F5B" w:rsidRDefault="00565F5B"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46%</w:t>
            </w:r>
          </w:p>
        </w:tc>
        <w:tc>
          <w:tcPr>
            <w:tcW w:w="1026" w:type="dxa"/>
            <w:tcBorders>
              <w:top w:val="nil"/>
              <w:left w:val="nil"/>
              <w:bottom w:val="single" w:sz="4" w:space="0" w:color="auto"/>
              <w:right w:val="nil"/>
            </w:tcBorders>
            <w:shd w:val="clear" w:color="auto" w:fill="auto"/>
            <w:noWrap/>
            <w:vAlign w:val="bottom"/>
            <w:hideMark/>
          </w:tcPr>
          <w:p w:rsidR="00565F5B" w:rsidRPr="00565F5B" w:rsidRDefault="00565F5B"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32%</w:t>
            </w:r>
          </w:p>
        </w:tc>
        <w:tc>
          <w:tcPr>
            <w:tcW w:w="1026" w:type="dxa"/>
            <w:tcBorders>
              <w:top w:val="nil"/>
              <w:left w:val="nil"/>
              <w:bottom w:val="single" w:sz="4" w:space="0" w:color="auto"/>
              <w:right w:val="nil"/>
            </w:tcBorders>
            <w:shd w:val="clear" w:color="000000" w:fill="F2F2F2"/>
            <w:noWrap/>
            <w:vAlign w:val="bottom"/>
            <w:hideMark/>
          </w:tcPr>
          <w:p w:rsidR="00565F5B" w:rsidRPr="00565F5B" w:rsidRDefault="00565F5B"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23%</w:t>
            </w:r>
          </w:p>
        </w:tc>
        <w:tc>
          <w:tcPr>
            <w:tcW w:w="1026" w:type="dxa"/>
            <w:tcBorders>
              <w:top w:val="nil"/>
              <w:left w:val="nil"/>
              <w:bottom w:val="single" w:sz="4" w:space="0" w:color="auto"/>
              <w:right w:val="single" w:sz="4" w:space="0" w:color="auto"/>
            </w:tcBorders>
            <w:shd w:val="clear" w:color="auto" w:fill="auto"/>
            <w:noWrap/>
            <w:vAlign w:val="bottom"/>
            <w:hideMark/>
          </w:tcPr>
          <w:p w:rsidR="00565F5B" w:rsidRPr="00565F5B" w:rsidRDefault="00565F5B" w:rsidP="00C31991">
            <w:pPr>
              <w:spacing w:line="240" w:lineRule="auto"/>
              <w:jc w:val="right"/>
              <w:rPr>
                <w:rFonts w:ascii="Calibri" w:eastAsia="Times New Roman" w:hAnsi="Calibri"/>
                <w:b/>
                <w:bCs/>
                <w:color w:val="000000"/>
                <w:sz w:val="22"/>
              </w:rPr>
            </w:pPr>
            <w:r w:rsidRPr="00565F5B">
              <w:rPr>
                <w:rFonts w:ascii="Calibri" w:eastAsia="Times New Roman" w:hAnsi="Calibri"/>
                <w:b/>
                <w:bCs/>
                <w:color w:val="000000"/>
                <w:sz w:val="22"/>
              </w:rPr>
              <w:t>17%</w:t>
            </w:r>
          </w:p>
        </w:tc>
      </w:tr>
    </w:tbl>
    <w:p w:rsidR="0045046B" w:rsidRDefault="0045046B" w:rsidP="00C31991">
      <w:pPr>
        <w:spacing w:line="240" w:lineRule="auto"/>
        <w:jc w:val="center"/>
        <w:rPr>
          <w:b/>
          <w:u w:val="single"/>
        </w:rPr>
      </w:pPr>
    </w:p>
    <w:tbl>
      <w:tblPr>
        <w:tblW w:w="9859" w:type="dxa"/>
        <w:jc w:val="center"/>
        <w:tblInd w:w="93" w:type="dxa"/>
        <w:tblLook w:val="04A0" w:firstRow="1" w:lastRow="0" w:firstColumn="1" w:lastColumn="0" w:noHBand="0" w:noVBand="1"/>
      </w:tblPr>
      <w:tblGrid>
        <w:gridCol w:w="3703"/>
        <w:gridCol w:w="1026"/>
        <w:gridCol w:w="1026"/>
        <w:gridCol w:w="1026"/>
        <w:gridCol w:w="1026"/>
        <w:gridCol w:w="1026"/>
        <w:gridCol w:w="1026"/>
      </w:tblGrid>
      <w:tr w:rsidR="0045046B" w:rsidRPr="0045046B" w:rsidTr="0045046B">
        <w:trPr>
          <w:trHeight w:val="300"/>
          <w:jc w:val="center"/>
        </w:trPr>
        <w:tc>
          <w:tcPr>
            <w:tcW w:w="9859"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5046B" w:rsidRPr="00C31991" w:rsidRDefault="0045046B" w:rsidP="00C31991">
            <w:pPr>
              <w:pStyle w:val="ListParagraph"/>
              <w:numPr>
                <w:ilvl w:val="0"/>
                <w:numId w:val="2"/>
              </w:numPr>
              <w:spacing w:line="240" w:lineRule="auto"/>
              <w:jc w:val="center"/>
              <w:rPr>
                <w:rFonts w:ascii="Calibri" w:eastAsia="Times New Roman" w:hAnsi="Calibri"/>
                <w:b/>
                <w:bCs/>
                <w:color w:val="000000"/>
                <w:sz w:val="22"/>
              </w:rPr>
            </w:pPr>
            <w:r w:rsidRPr="00C31991">
              <w:rPr>
                <w:rFonts w:ascii="Calibri" w:eastAsia="Times New Roman" w:hAnsi="Calibri"/>
                <w:b/>
                <w:bCs/>
                <w:color w:val="000000"/>
                <w:sz w:val="22"/>
              </w:rPr>
              <w:t>Public Non-Charter High Schools in 5 Largest Cities</w:t>
            </w:r>
          </w:p>
        </w:tc>
      </w:tr>
      <w:tr w:rsidR="0045046B" w:rsidRPr="0045046B" w:rsidTr="0045046B">
        <w:trPr>
          <w:trHeight w:val="300"/>
          <w:jc w:val="center"/>
        </w:trPr>
        <w:tc>
          <w:tcPr>
            <w:tcW w:w="3703" w:type="dxa"/>
            <w:tcBorders>
              <w:top w:val="nil"/>
              <w:left w:val="single" w:sz="4" w:space="0" w:color="auto"/>
              <w:bottom w:val="nil"/>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 </w:t>
            </w:r>
          </w:p>
        </w:tc>
        <w:tc>
          <w:tcPr>
            <w:tcW w:w="1026" w:type="dxa"/>
            <w:tcBorders>
              <w:top w:val="nil"/>
              <w:left w:val="single" w:sz="4" w:space="0" w:color="auto"/>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2008-09</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2009-10</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2010-11</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2011-12</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2012-13</w:t>
            </w:r>
          </w:p>
        </w:tc>
        <w:tc>
          <w:tcPr>
            <w:tcW w:w="1026" w:type="dxa"/>
            <w:tcBorders>
              <w:top w:val="nil"/>
              <w:left w:val="nil"/>
              <w:bottom w:val="single" w:sz="4" w:space="0" w:color="auto"/>
              <w:right w:val="single" w:sz="4" w:space="0" w:color="auto"/>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2013-14</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1465</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1209</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1043</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903</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753</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635</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83%</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71%</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62%</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51%</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43%</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1465</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1205</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1027</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882</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728</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608</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82%</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60%</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50%</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42%</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1465</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1102</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799</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657</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519</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417</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75%</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55%</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45%</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35%</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28%</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1465</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1026</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728</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597</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469</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373</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70%</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41%</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32%</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25%</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847</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602</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423</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348</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270</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220</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71%</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41%</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32%</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26%</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892</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658</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476</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393</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312</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244</w:t>
            </w:r>
          </w:p>
        </w:tc>
      </w:tr>
      <w:tr w:rsidR="0045046B"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45046B" w:rsidRPr="0045046B" w:rsidRDefault="0045046B"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74%</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53%</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44%</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35%</w:t>
            </w:r>
          </w:p>
        </w:tc>
        <w:tc>
          <w:tcPr>
            <w:tcW w:w="1026" w:type="dxa"/>
            <w:tcBorders>
              <w:top w:val="nil"/>
              <w:left w:val="nil"/>
              <w:bottom w:val="single" w:sz="4" w:space="0" w:color="auto"/>
              <w:right w:val="single" w:sz="4" w:space="0" w:color="auto"/>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27%</w:t>
            </w:r>
          </w:p>
        </w:tc>
      </w:tr>
    </w:tbl>
    <w:p w:rsidR="0045046B" w:rsidRPr="00C31991" w:rsidRDefault="0045046B" w:rsidP="00C31991">
      <w:pPr>
        <w:spacing w:line="240" w:lineRule="auto"/>
        <w:jc w:val="center"/>
        <w:rPr>
          <w:sz w:val="8"/>
          <w:u w:val="single"/>
        </w:rPr>
      </w:pPr>
    </w:p>
    <w:tbl>
      <w:tblPr>
        <w:tblW w:w="9859" w:type="dxa"/>
        <w:jc w:val="center"/>
        <w:tblInd w:w="93" w:type="dxa"/>
        <w:tblLook w:val="04A0" w:firstRow="1" w:lastRow="0" w:firstColumn="1" w:lastColumn="0" w:noHBand="0" w:noVBand="1"/>
      </w:tblPr>
      <w:tblGrid>
        <w:gridCol w:w="3703"/>
        <w:gridCol w:w="1026"/>
        <w:gridCol w:w="1026"/>
        <w:gridCol w:w="1026"/>
        <w:gridCol w:w="1026"/>
        <w:gridCol w:w="1026"/>
        <w:gridCol w:w="1026"/>
      </w:tblGrid>
      <w:tr w:rsidR="0045046B" w:rsidRPr="0045046B" w:rsidTr="0045046B">
        <w:trPr>
          <w:trHeight w:val="300"/>
          <w:jc w:val="center"/>
        </w:trPr>
        <w:tc>
          <w:tcPr>
            <w:tcW w:w="9859"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5046B" w:rsidRPr="00C31991" w:rsidRDefault="0045046B" w:rsidP="00C31991">
            <w:pPr>
              <w:pStyle w:val="ListParagraph"/>
              <w:numPr>
                <w:ilvl w:val="0"/>
                <w:numId w:val="2"/>
              </w:numPr>
              <w:spacing w:line="240" w:lineRule="auto"/>
              <w:jc w:val="center"/>
              <w:rPr>
                <w:rFonts w:ascii="Calibri" w:eastAsia="Times New Roman" w:hAnsi="Calibri"/>
                <w:b/>
                <w:bCs/>
                <w:color w:val="000000"/>
                <w:sz w:val="22"/>
              </w:rPr>
            </w:pPr>
            <w:r w:rsidRPr="00C31991">
              <w:rPr>
                <w:rFonts w:ascii="Calibri" w:eastAsia="Times New Roman" w:hAnsi="Calibri"/>
                <w:b/>
                <w:bCs/>
                <w:color w:val="000000"/>
                <w:sz w:val="22"/>
              </w:rPr>
              <w:t>Public Non-Charter High Schools outside of 5 Largest Cities</w:t>
            </w:r>
          </w:p>
        </w:tc>
      </w:tr>
      <w:tr w:rsidR="0045046B" w:rsidRPr="0045046B" w:rsidTr="0045046B">
        <w:trPr>
          <w:trHeight w:val="300"/>
          <w:jc w:val="center"/>
        </w:trPr>
        <w:tc>
          <w:tcPr>
            <w:tcW w:w="3703" w:type="dxa"/>
            <w:tcBorders>
              <w:top w:val="nil"/>
              <w:left w:val="single" w:sz="4" w:space="0" w:color="auto"/>
              <w:bottom w:val="nil"/>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 </w:t>
            </w:r>
          </w:p>
        </w:tc>
        <w:tc>
          <w:tcPr>
            <w:tcW w:w="1026" w:type="dxa"/>
            <w:tcBorders>
              <w:top w:val="nil"/>
              <w:left w:val="single" w:sz="4" w:space="0" w:color="auto"/>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2008-09</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2009-10</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2010-11</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2011-12</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2012-13</w:t>
            </w:r>
          </w:p>
        </w:tc>
        <w:tc>
          <w:tcPr>
            <w:tcW w:w="1026" w:type="dxa"/>
            <w:tcBorders>
              <w:top w:val="nil"/>
              <w:left w:val="nil"/>
              <w:bottom w:val="single" w:sz="4" w:space="0" w:color="auto"/>
              <w:right w:val="single" w:sz="4" w:space="0" w:color="auto"/>
            </w:tcBorders>
            <w:shd w:val="clear" w:color="auto" w:fill="auto"/>
            <w:noWrap/>
            <w:vAlign w:val="bottom"/>
            <w:hideMark/>
          </w:tcPr>
          <w:p w:rsidR="0045046B" w:rsidRPr="0045046B" w:rsidRDefault="0045046B" w:rsidP="00C31991">
            <w:pPr>
              <w:spacing w:line="240" w:lineRule="auto"/>
              <w:rPr>
                <w:rFonts w:ascii="Calibri" w:eastAsia="Times New Roman" w:hAnsi="Calibri"/>
                <w:color w:val="000000"/>
                <w:sz w:val="22"/>
              </w:rPr>
            </w:pPr>
            <w:r w:rsidRPr="0045046B">
              <w:rPr>
                <w:rFonts w:ascii="Calibri" w:eastAsia="Times New Roman" w:hAnsi="Calibri"/>
                <w:color w:val="000000"/>
                <w:sz w:val="22"/>
              </w:rPr>
              <w:t>2013-14</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9888</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8745</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7874</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7066</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6401</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5768</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88%</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71%</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65%</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58%</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9888</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8599</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7684</w:t>
            </w:r>
          </w:p>
        </w:tc>
        <w:tc>
          <w:tcPr>
            <w:tcW w:w="1026"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6864</w:t>
            </w:r>
          </w:p>
        </w:tc>
        <w:tc>
          <w:tcPr>
            <w:tcW w:w="1026"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6180</w:t>
            </w:r>
          </w:p>
        </w:tc>
        <w:tc>
          <w:tcPr>
            <w:tcW w:w="1026"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5503</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87%</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78%</w:t>
            </w:r>
          </w:p>
        </w:tc>
        <w:tc>
          <w:tcPr>
            <w:tcW w:w="1026"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69%</w:t>
            </w:r>
          </w:p>
        </w:tc>
        <w:tc>
          <w:tcPr>
            <w:tcW w:w="1026"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63%</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56%</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9888</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8477</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7457</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6561</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5866</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5169</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86%</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75%</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66%</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59%</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52%</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9888</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8212</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7182</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6320</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5641</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4964</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83%</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73%</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64%</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57%</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50%</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5179</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4378</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3859</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3414</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3055</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2696</w:t>
            </w:r>
          </w:p>
        </w:tc>
      </w:tr>
      <w:tr w:rsidR="00C278E6"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45046B"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85%</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75%</w:t>
            </w:r>
          </w:p>
        </w:tc>
        <w:tc>
          <w:tcPr>
            <w:tcW w:w="1026" w:type="dxa"/>
            <w:tcBorders>
              <w:top w:val="nil"/>
              <w:left w:val="nil"/>
              <w:bottom w:val="single" w:sz="4" w:space="0" w:color="auto"/>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66%</w:t>
            </w:r>
          </w:p>
        </w:tc>
        <w:tc>
          <w:tcPr>
            <w:tcW w:w="1026" w:type="dxa"/>
            <w:tcBorders>
              <w:top w:val="nil"/>
              <w:left w:val="nil"/>
              <w:bottom w:val="single" w:sz="4" w:space="0" w:color="auto"/>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59%</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52%</w:t>
            </w:r>
          </w:p>
        </w:tc>
      </w:tr>
      <w:tr w:rsidR="00C278E6" w:rsidRPr="0045046B" w:rsidTr="0045046B">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5591</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4612</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3972</w:t>
            </w:r>
          </w:p>
        </w:tc>
        <w:tc>
          <w:tcPr>
            <w:tcW w:w="1026" w:type="dxa"/>
            <w:tcBorders>
              <w:top w:val="nil"/>
              <w:left w:val="nil"/>
              <w:bottom w:val="nil"/>
              <w:right w:val="nil"/>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3464</w:t>
            </w:r>
          </w:p>
        </w:tc>
        <w:tc>
          <w:tcPr>
            <w:tcW w:w="1026" w:type="dxa"/>
            <w:tcBorders>
              <w:top w:val="nil"/>
              <w:left w:val="nil"/>
              <w:bottom w:val="nil"/>
              <w:right w:val="nil"/>
            </w:tcBorders>
            <w:shd w:val="clear" w:color="000000" w:fill="F2F2F2"/>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3064</w:t>
            </w:r>
          </w:p>
        </w:tc>
        <w:tc>
          <w:tcPr>
            <w:tcW w:w="1026" w:type="dxa"/>
            <w:tcBorders>
              <w:top w:val="nil"/>
              <w:left w:val="nil"/>
              <w:bottom w:val="nil"/>
              <w:right w:val="single" w:sz="4" w:space="0" w:color="auto"/>
            </w:tcBorders>
            <w:shd w:val="clear" w:color="auto" w:fill="auto"/>
            <w:noWrap/>
            <w:vAlign w:val="bottom"/>
            <w:hideMark/>
          </w:tcPr>
          <w:p w:rsidR="00C278E6" w:rsidRPr="0045046B" w:rsidRDefault="00C278E6" w:rsidP="00C31991">
            <w:pPr>
              <w:spacing w:line="240" w:lineRule="auto"/>
              <w:jc w:val="right"/>
              <w:rPr>
                <w:rFonts w:ascii="Calibri" w:eastAsia="Times New Roman" w:hAnsi="Calibri"/>
                <w:color w:val="000000"/>
                <w:sz w:val="22"/>
              </w:rPr>
            </w:pPr>
            <w:r w:rsidRPr="0045046B">
              <w:rPr>
                <w:rFonts w:ascii="Calibri" w:eastAsia="Times New Roman" w:hAnsi="Calibri"/>
                <w:color w:val="000000"/>
                <w:sz w:val="22"/>
              </w:rPr>
              <w:t>2663</w:t>
            </w:r>
          </w:p>
        </w:tc>
      </w:tr>
      <w:tr w:rsidR="0045046B" w:rsidRPr="0045046B" w:rsidTr="0045046B">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45046B" w:rsidRPr="0045046B" w:rsidRDefault="0045046B"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82%</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71%</w:t>
            </w:r>
          </w:p>
        </w:tc>
        <w:tc>
          <w:tcPr>
            <w:tcW w:w="1026" w:type="dxa"/>
            <w:tcBorders>
              <w:top w:val="nil"/>
              <w:left w:val="nil"/>
              <w:bottom w:val="single" w:sz="4" w:space="0" w:color="auto"/>
              <w:right w:val="nil"/>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62%</w:t>
            </w:r>
          </w:p>
        </w:tc>
        <w:tc>
          <w:tcPr>
            <w:tcW w:w="1026" w:type="dxa"/>
            <w:tcBorders>
              <w:top w:val="nil"/>
              <w:left w:val="nil"/>
              <w:bottom w:val="single" w:sz="4" w:space="0" w:color="auto"/>
              <w:right w:val="nil"/>
            </w:tcBorders>
            <w:shd w:val="clear" w:color="000000" w:fill="F2F2F2"/>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55%</w:t>
            </w:r>
          </w:p>
        </w:tc>
        <w:tc>
          <w:tcPr>
            <w:tcW w:w="1026" w:type="dxa"/>
            <w:tcBorders>
              <w:top w:val="nil"/>
              <w:left w:val="nil"/>
              <w:bottom w:val="single" w:sz="4" w:space="0" w:color="auto"/>
              <w:right w:val="single" w:sz="4" w:space="0" w:color="auto"/>
            </w:tcBorders>
            <w:shd w:val="clear" w:color="auto" w:fill="auto"/>
            <w:noWrap/>
            <w:vAlign w:val="bottom"/>
            <w:hideMark/>
          </w:tcPr>
          <w:p w:rsidR="0045046B" w:rsidRPr="0045046B" w:rsidRDefault="0045046B" w:rsidP="00C31991">
            <w:pPr>
              <w:spacing w:line="240" w:lineRule="auto"/>
              <w:jc w:val="right"/>
              <w:rPr>
                <w:rFonts w:ascii="Calibri" w:eastAsia="Times New Roman" w:hAnsi="Calibri"/>
                <w:b/>
                <w:bCs/>
                <w:color w:val="000000"/>
                <w:sz w:val="22"/>
              </w:rPr>
            </w:pPr>
            <w:r w:rsidRPr="0045046B">
              <w:rPr>
                <w:rFonts w:ascii="Calibri" w:eastAsia="Times New Roman" w:hAnsi="Calibri"/>
                <w:b/>
                <w:bCs/>
                <w:color w:val="000000"/>
                <w:sz w:val="22"/>
              </w:rPr>
              <w:t>48%</w:t>
            </w:r>
          </w:p>
        </w:tc>
      </w:tr>
    </w:tbl>
    <w:p w:rsidR="0045046B" w:rsidRDefault="0045046B" w:rsidP="00C31991">
      <w:pPr>
        <w:spacing w:line="240" w:lineRule="auto"/>
        <w:jc w:val="center"/>
        <w:rPr>
          <w:b/>
          <w:u w:val="single"/>
        </w:rPr>
      </w:pPr>
    </w:p>
    <w:p w:rsidR="0045046B" w:rsidRDefault="0045046B" w:rsidP="00C31991">
      <w:pPr>
        <w:spacing w:line="240" w:lineRule="auto"/>
        <w:rPr>
          <w:b/>
          <w:u w:val="single"/>
        </w:rPr>
      </w:pPr>
      <w:r>
        <w:rPr>
          <w:b/>
          <w:u w:val="single"/>
        </w:rPr>
        <w:br w:type="page"/>
      </w:r>
    </w:p>
    <w:p w:rsidR="00C03FCC" w:rsidRPr="00C03FCC" w:rsidRDefault="00E7624D" w:rsidP="00C31991">
      <w:pPr>
        <w:spacing w:line="240" w:lineRule="auto"/>
        <w:jc w:val="center"/>
        <w:rPr>
          <w:u w:val="single"/>
        </w:rPr>
      </w:pPr>
      <w:r>
        <w:rPr>
          <w:b/>
          <w:u w:val="single"/>
        </w:rPr>
        <w:lastRenderedPageBreak/>
        <w:t xml:space="preserve">1b. </w:t>
      </w:r>
      <w:r w:rsidR="00C03FCC" w:rsidRPr="006A6141">
        <w:rPr>
          <w:b/>
          <w:u w:val="single"/>
        </w:rPr>
        <w:t>2008-09 Cohort 5-Year Retention Analyses (with replacement)</w:t>
      </w:r>
      <w:r w:rsidR="00DA702B">
        <w:rPr>
          <w:rStyle w:val="EndnoteReference"/>
          <w:b/>
          <w:u w:val="single"/>
        </w:rPr>
        <w:endnoteReference w:id="6"/>
      </w:r>
    </w:p>
    <w:p w:rsidR="0045046B" w:rsidRPr="00C31991" w:rsidRDefault="0045046B" w:rsidP="00C31991">
      <w:pPr>
        <w:spacing w:line="240" w:lineRule="auto"/>
        <w:jc w:val="center"/>
        <w:rPr>
          <w:sz w:val="4"/>
          <w:u w:val="single"/>
        </w:rPr>
      </w:pPr>
    </w:p>
    <w:tbl>
      <w:tblPr>
        <w:tblW w:w="9845" w:type="dxa"/>
        <w:jc w:val="center"/>
        <w:tblInd w:w="93" w:type="dxa"/>
        <w:tblLook w:val="04A0" w:firstRow="1" w:lastRow="0" w:firstColumn="1" w:lastColumn="0" w:noHBand="0" w:noVBand="1"/>
      </w:tblPr>
      <w:tblGrid>
        <w:gridCol w:w="3737"/>
        <w:gridCol w:w="1018"/>
        <w:gridCol w:w="1018"/>
        <w:gridCol w:w="1018"/>
        <w:gridCol w:w="1018"/>
        <w:gridCol w:w="1018"/>
        <w:gridCol w:w="1018"/>
      </w:tblGrid>
      <w:tr w:rsidR="0001248E" w:rsidRPr="0001248E" w:rsidTr="0001248E">
        <w:trPr>
          <w:trHeight w:val="300"/>
          <w:jc w:val="center"/>
        </w:trPr>
        <w:tc>
          <w:tcPr>
            <w:tcW w:w="9845"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1248E" w:rsidRPr="00C31991" w:rsidRDefault="0001248E" w:rsidP="00C31991">
            <w:pPr>
              <w:pStyle w:val="ListParagraph"/>
              <w:numPr>
                <w:ilvl w:val="0"/>
                <w:numId w:val="3"/>
              </w:numPr>
              <w:spacing w:line="240" w:lineRule="auto"/>
              <w:jc w:val="center"/>
              <w:rPr>
                <w:rFonts w:ascii="Calibri" w:eastAsia="Times New Roman" w:hAnsi="Calibri"/>
                <w:b/>
                <w:bCs/>
                <w:color w:val="000000"/>
                <w:sz w:val="22"/>
              </w:rPr>
            </w:pPr>
            <w:r w:rsidRPr="00C31991">
              <w:rPr>
                <w:rFonts w:ascii="Calibri" w:eastAsia="Times New Roman" w:hAnsi="Calibri"/>
                <w:b/>
                <w:bCs/>
                <w:color w:val="000000"/>
                <w:sz w:val="22"/>
              </w:rPr>
              <w:t>All Schools</w:t>
            </w:r>
          </w:p>
        </w:tc>
      </w:tr>
      <w:tr w:rsidR="0001248E" w:rsidRPr="0001248E" w:rsidTr="0001248E">
        <w:trPr>
          <w:trHeight w:val="300"/>
          <w:jc w:val="center"/>
        </w:trPr>
        <w:tc>
          <w:tcPr>
            <w:tcW w:w="3737" w:type="dxa"/>
            <w:tcBorders>
              <w:top w:val="nil"/>
              <w:left w:val="single" w:sz="4" w:space="0" w:color="auto"/>
              <w:bottom w:val="nil"/>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 </w:t>
            </w:r>
          </w:p>
        </w:tc>
        <w:tc>
          <w:tcPr>
            <w:tcW w:w="1018" w:type="dxa"/>
            <w:tcBorders>
              <w:top w:val="nil"/>
              <w:left w:val="single" w:sz="4" w:space="0" w:color="auto"/>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2008-09</w:t>
            </w:r>
          </w:p>
        </w:tc>
        <w:tc>
          <w:tcPr>
            <w:tcW w:w="1018"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2009-10</w:t>
            </w:r>
          </w:p>
        </w:tc>
        <w:tc>
          <w:tcPr>
            <w:tcW w:w="1018"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2010-11</w:t>
            </w:r>
          </w:p>
        </w:tc>
        <w:tc>
          <w:tcPr>
            <w:tcW w:w="1018"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2011-12</w:t>
            </w:r>
          </w:p>
        </w:tc>
        <w:tc>
          <w:tcPr>
            <w:tcW w:w="1018"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2012-13</w:t>
            </w:r>
          </w:p>
        </w:tc>
        <w:tc>
          <w:tcPr>
            <w:tcW w:w="1018"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2013-14</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18"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57364</w:t>
            </w:r>
          </w:p>
        </w:tc>
        <w:tc>
          <w:tcPr>
            <w:tcW w:w="1018"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50032</w:t>
            </w:r>
          </w:p>
        </w:tc>
        <w:tc>
          <w:tcPr>
            <w:tcW w:w="1018"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45878</w:t>
            </w:r>
          </w:p>
        </w:tc>
        <w:tc>
          <w:tcPr>
            <w:tcW w:w="1018"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41963</w:t>
            </w:r>
          </w:p>
        </w:tc>
        <w:tc>
          <w:tcPr>
            <w:tcW w:w="1018"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38467</w:t>
            </w:r>
          </w:p>
        </w:tc>
        <w:tc>
          <w:tcPr>
            <w:tcW w:w="1018"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34947</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18"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18"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87%</w:t>
            </w:r>
          </w:p>
        </w:tc>
        <w:tc>
          <w:tcPr>
            <w:tcW w:w="1018"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80%</w:t>
            </w:r>
          </w:p>
        </w:tc>
        <w:tc>
          <w:tcPr>
            <w:tcW w:w="1018"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73%</w:t>
            </w:r>
          </w:p>
        </w:tc>
        <w:tc>
          <w:tcPr>
            <w:tcW w:w="1018"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67%</w:t>
            </w:r>
          </w:p>
        </w:tc>
        <w:tc>
          <w:tcPr>
            <w:tcW w:w="1018"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61%</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18"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57364</w:t>
            </w:r>
          </w:p>
        </w:tc>
        <w:tc>
          <w:tcPr>
            <w:tcW w:w="1018"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49474</w:t>
            </w:r>
          </w:p>
        </w:tc>
        <w:tc>
          <w:tcPr>
            <w:tcW w:w="1018"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44994</w:t>
            </w:r>
          </w:p>
        </w:tc>
        <w:tc>
          <w:tcPr>
            <w:tcW w:w="1018" w:type="dxa"/>
            <w:tcBorders>
              <w:top w:val="nil"/>
              <w:left w:val="nil"/>
              <w:bottom w:val="nil"/>
              <w:right w:val="nil"/>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40898</w:t>
            </w:r>
          </w:p>
        </w:tc>
        <w:tc>
          <w:tcPr>
            <w:tcW w:w="1018" w:type="dxa"/>
            <w:tcBorders>
              <w:top w:val="nil"/>
              <w:left w:val="nil"/>
              <w:bottom w:val="nil"/>
              <w:right w:val="nil"/>
            </w:tcBorders>
            <w:shd w:val="clear" w:color="000000" w:fill="F2F2F2"/>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37201</w:t>
            </w:r>
          </w:p>
        </w:tc>
        <w:tc>
          <w:tcPr>
            <w:tcW w:w="1018" w:type="dxa"/>
            <w:tcBorders>
              <w:top w:val="nil"/>
              <w:left w:val="nil"/>
              <w:bottom w:val="nil"/>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color w:val="000000"/>
                <w:sz w:val="22"/>
              </w:rPr>
            </w:pPr>
            <w:r>
              <w:rPr>
                <w:rFonts w:ascii="Calibri" w:hAnsi="Calibri"/>
                <w:color w:val="000000"/>
                <w:sz w:val="22"/>
              </w:rPr>
              <w:t>33415</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18"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100%</w:t>
            </w:r>
          </w:p>
        </w:tc>
        <w:tc>
          <w:tcPr>
            <w:tcW w:w="1018"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86%</w:t>
            </w:r>
          </w:p>
        </w:tc>
        <w:tc>
          <w:tcPr>
            <w:tcW w:w="1018"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78%</w:t>
            </w:r>
          </w:p>
        </w:tc>
        <w:tc>
          <w:tcPr>
            <w:tcW w:w="1018" w:type="dxa"/>
            <w:tcBorders>
              <w:top w:val="nil"/>
              <w:left w:val="nil"/>
              <w:bottom w:val="single" w:sz="4" w:space="0" w:color="auto"/>
              <w:right w:val="nil"/>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71%</w:t>
            </w:r>
          </w:p>
        </w:tc>
        <w:tc>
          <w:tcPr>
            <w:tcW w:w="1018" w:type="dxa"/>
            <w:tcBorders>
              <w:top w:val="nil"/>
              <w:left w:val="nil"/>
              <w:bottom w:val="single" w:sz="4" w:space="0" w:color="auto"/>
              <w:right w:val="nil"/>
            </w:tcBorders>
            <w:shd w:val="clear" w:color="000000" w:fill="F2F2F2"/>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65%</w:t>
            </w:r>
          </w:p>
        </w:tc>
        <w:tc>
          <w:tcPr>
            <w:tcW w:w="1018" w:type="dxa"/>
            <w:tcBorders>
              <w:top w:val="nil"/>
              <w:left w:val="nil"/>
              <w:bottom w:val="single" w:sz="4" w:space="0" w:color="auto"/>
              <w:right w:val="single" w:sz="4" w:space="0" w:color="auto"/>
            </w:tcBorders>
            <w:shd w:val="clear" w:color="auto" w:fill="auto"/>
            <w:noWrap/>
            <w:vAlign w:val="bottom"/>
            <w:hideMark/>
          </w:tcPr>
          <w:p w:rsidR="00C278E6" w:rsidRDefault="00C278E6" w:rsidP="00C31991">
            <w:pPr>
              <w:spacing w:line="240" w:lineRule="auto"/>
              <w:jc w:val="right"/>
              <w:rPr>
                <w:rFonts w:ascii="Calibri" w:hAnsi="Calibri"/>
                <w:b/>
                <w:bCs/>
                <w:color w:val="000000"/>
                <w:sz w:val="22"/>
              </w:rPr>
            </w:pPr>
            <w:r>
              <w:rPr>
                <w:rFonts w:ascii="Calibri" w:hAnsi="Calibri"/>
                <w:b/>
                <w:bCs/>
                <w:color w:val="000000"/>
                <w:sz w:val="22"/>
              </w:rPr>
              <w:t>58%</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57364</w:t>
            </w:r>
          </w:p>
        </w:tc>
        <w:tc>
          <w:tcPr>
            <w:tcW w:w="1018"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47155</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41053</w:t>
            </w:r>
          </w:p>
        </w:tc>
        <w:tc>
          <w:tcPr>
            <w:tcW w:w="1018"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35511</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30919</w:t>
            </w:r>
          </w:p>
        </w:tc>
        <w:tc>
          <w:tcPr>
            <w:tcW w:w="1018"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26639</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18"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18"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82%</w:t>
            </w:r>
          </w:p>
        </w:tc>
        <w:tc>
          <w:tcPr>
            <w:tcW w:w="1018"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72%</w:t>
            </w:r>
          </w:p>
        </w:tc>
        <w:tc>
          <w:tcPr>
            <w:tcW w:w="1018"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62%</w:t>
            </w:r>
          </w:p>
        </w:tc>
        <w:tc>
          <w:tcPr>
            <w:tcW w:w="1018"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54%</w:t>
            </w:r>
          </w:p>
        </w:tc>
        <w:tc>
          <w:tcPr>
            <w:tcW w:w="1018"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46%</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57364</w:t>
            </w:r>
          </w:p>
        </w:tc>
        <w:tc>
          <w:tcPr>
            <w:tcW w:w="1018"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44166</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37472</w:t>
            </w:r>
          </w:p>
        </w:tc>
        <w:tc>
          <w:tcPr>
            <w:tcW w:w="1018"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31709</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27117</w:t>
            </w:r>
          </w:p>
        </w:tc>
        <w:tc>
          <w:tcPr>
            <w:tcW w:w="1018"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23071</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18"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18"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77%</w:t>
            </w:r>
          </w:p>
        </w:tc>
        <w:tc>
          <w:tcPr>
            <w:tcW w:w="1018"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65%</w:t>
            </w:r>
          </w:p>
        </w:tc>
        <w:tc>
          <w:tcPr>
            <w:tcW w:w="1018"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55%</w:t>
            </w:r>
          </w:p>
        </w:tc>
        <w:tc>
          <w:tcPr>
            <w:tcW w:w="1018"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47%</w:t>
            </w:r>
          </w:p>
        </w:tc>
        <w:tc>
          <w:tcPr>
            <w:tcW w:w="1018"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40%</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40868</w:t>
            </w:r>
          </w:p>
        </w:tc>
        <w:tc>
          <w:tcPr>
            <w:tcW w:w="1018"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32907</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28238</w:t>
            </w:r>
          </w:p>
        </w:tc>
        <w:tc>
          <w:tcPr>
            <w:tcW w:w="1018"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24230</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20835</w:t>
            </w:r>
          </w:p>
        </w:tc>
        <w:tc>
          <w:tcPr>
            <w:tcW w:w="1018"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17762</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18"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18"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81%</w:t>
            </w:r>
          </w:p>
        </w:tc>
        <w:tc>
          <w:tcPr>
            <w:tcW w:w="1018"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69%</w:t>
            </w:r>
          </w:p>
        </w:tc>
        <w:tc>
          <w:tcPr>
            <w:tcW w:w="1018"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59%</w:t>
            </w:r>
          </w:p>
        </w:tc>
        <w:tc>
          <w:tcPr>
            <w:tcW w:w="1018"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51%</w:t>
            </w:r>
          </w:p>
        </w:tc>
        <w:tc>
          <w:tcPr>
            <w:tcW w:w="1018"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43%</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46801</w:t>
            </w:r>
          </w:p>
        </w:tc>
        <w:tc>
          <w:tcPr>
            <w:tcW w:w="1018"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37759</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32591</w:t>
            </w:r>
          </w:p>
        </w:tc>
        <w:tc>
          <w:tcPr>
            <w:tcW w:w="1018"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27903</w:t>
            </w:r>
          </w:p>
        </w:tc>
        <w:tc>
          <w:tcPr>
            <w:tcW w:w="1018"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24059</w:t>
            </w:r>
          </w:p>
        </w:tc>
        <w:tc>
          <w:tcPr>
            <w:tcW w:w="1018"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20462</w:t>
            </w:r>
          </w:p>
        </w:tc>
      </w:tr>
      <w:tr w:rsidR="0001248E"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18"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18"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81%</w:t>
            </w:r>
          </w:p>
        </w:tc>
        <w:tc>
          <w:tcPr>
            <w:tcW w:w="1018"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70%</w:t>
            </w:r>
          </w:p>
        </w:tc>
        <w:tc>
          <w:tcPr>
            <w:tcW w:w="1018"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60%</w:t>
            </w:r>
          </w:p>
        </w:tc>
        <w:tc>
          <w:tcPr>
            <w:tcW w:w="1018"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51%</w:t>
            </w:r>
          </w:p>
        </w:tc>
        <w:tc>
          <w:tcPr>
            <w:tcW w:w="1018"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44%</w:t>
            </w:r>
          </w:p>
        </w:tc>
      </w:tr>
    </w:tbl>
    <w:p w:rsidR="0045046B" w:rsidRPr="00C31991" w:rsidRDefault="0045046B" w:rsidP="00C31991">
      <w:pPr>
        <w:spacing w:line="240" w:lineRule="auto"/>
        <w:jc w:val="center"/>
        <w:rPr>
          <w:sz w:val="8"/>
          <w:szCs w:val="8"/>
          <w:u w:val="single"/>
        </w:rPr>
      </w:pPr>
    </w:p>
    <w:tbl>
      <w:tblPr>
        <w:tblW w:w="9859" w:type="dxa"/>
        <w:jc w:val="center"/>
        <w:tblInd w:w="93" w:type="dxa"/>
        <w:tblLook w:val="04A0" w:firstRow="1" w:lastRow="0" w:firstColumn="1" w:lastColumn="0" w:noHBand="0" w:noVBand="1"/>
      </w:tblPr>
      <w:tblGrid>
        <w:gridCol w:w="3703"/>
        <w:gridCol w:w="1026"/>
        <w:gridCol w:w="1026"/>
        <w:gridCol w:w="1026"/>
        <w:gridCol w:w="1026"/>
        <w:gridCol w:w="1026"/>
        <w:gridCol w:w="1026"/>
      </w:tblGrid>
      <w:tr w:rsidR="0001248E" w:rsidRPr="0001248E" w:rsidTr="0001248E">
        <w:trPr>
          <w:trHeight w:val="300"/>
          <w:jc w:val="center"/>
        </w:trPr>
        <w:tc>
          <w:tcPr>
            <w:tcW w:w="9859"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1248E" w:rsidRPr="00C31991" w:rsidRDefault="0001248E" w:rsidP="00C31991">
            <w:pPr>
              <w:pStyle w:val="ListParagraph"/>
              <w:numPr>
                <w:ilvl w:val="0"/>
                <w:numId w:val="3"/>
              </w:numPr>
              <w:spacing w:line="240" w:lineRule="auto"/>
              <w:jc w:val="center"/>
              <w:rPr>
                <w:rFonts w:ascii="Calibri" w:eastAsia="Times New Roman" w:hAnsi="Calibri"/>
                <w:b/>
                <w:bCs/>
                <w:color w:val="000000"/>
                <w:sz w:val="22"/>
              </w:rPr>
            </w:pPr>
            <w:r w:rsidRPr="00C31991">
              <w:rPr>
                <w:rFonts w:ascii="Calibri" w:eastAsia="Times New Roman" w:hAnsi="Calibri"/>
                <w:b/>
                <w:bCs/>
                <w:color w:val="000000"/>
                <w:sz w:val="22"/>
              </w:rPr>
              <w:t>Public Non-Charter High Schools</w:t>
            </w:r>
          </w:p>
        </w:tc>
      </w:tr>
      <w:tr w:rsidR="0001248E" w:rsidRPr="0001248E" w:rsidTr="0001248E">
        <w:trPr>
          <w:trHeight w:val="300"/>
          <w:jc w:val="center"/>
        </w:trPr>
        <w:tc>
          <w:tcPr>
            <w:tcW w:w="3703" w:type="dxa"/>
            <w:tcBorders>
              <w:top w:val="nil"/>
              <w:left w:val="single" w:sz="4" w:space="0" w:color="auto"/>
              <w:bottom w:val="nil"/>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 </w:t>
            </w:r>
          </w:p>
        </w:tc>
        <w:tc>
          <w:tcPr>
            <w:tcW w:w="1026" w:type="dxa"/>
            <w:tcBorders>
              <w:top w:val="nil"/>
              <w:left w:val="single" w:sz="4" w:space="0" w:color="auto"/>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2008-09</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2009-10</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2010-11</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2011-12</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2012-13</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2013-14</w:t>
            </w:r>
          </w:p>
        </w:tc>
      </w:tr>
      <w:tr w:rsidR="00C278E6" w:rsidRPr="0001248E" w:rsidTr="0001248E">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11353</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9954</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9174</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8452</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7843</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7290</w:t>
            </w:r>
          </w:p>
        </w:tc>
      </w:tr>
      <w:tr w:rsidR="00C278E6" w:rsidRPr="0001248E" w:rsidTr="0001248E">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88%</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81%</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74%</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69%</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64%</w:t>
            </w:r>
          </w:p>
        </w:tc>
      </w:tr>
      <w:tr w:rsidR="00C278E6" w:rsidRPr="0001248E" w:rsidTr="0001248E">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11353</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9804</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8936</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8159</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7482</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6832</w:t>
            </w:r>
          </w:p>
        </w:tc>
      </w:tr>
      <w:tr w:rsidR="00C278E6" w:rsidRPr="0001248E" w:rsidTr="0001248E">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86%</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79%</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72%</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66%</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60%</w:t>
            </w:r>
          </w:p>
        </w:tc>
      </w:tr>
      <w:tr w:rsidR="00C278E6" w:rsidRPr="0001248E" w:rsidTr="0001248E">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11353</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9579</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8451</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7568</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6854</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6148</w:t>
            </w:r>
          </w:p>
        </w:tc>
      </w:tr>
      <w:tr w:rsidR="00C278E6" w:rsidRPr="0001248E" w:rsidTr="0001248E">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84%</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74%</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67%</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60%</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54%</w:t>
            </w:r>
          </w:p>
        </w:tc>
      </w:tr>
      <w:tr w:rsidR="00C278E6" w:rsidRPr="0001248E" w:rsidTr="0001248E">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11353</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9238</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8082</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7213</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6502</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6148</w:t>
            </w:r>
          </w:p>
        </w:tc>
      </w:tr>
      <w:tr w:rsidR="00C278E6" w:rsidRPr="0001248E" w:rsidTr="0001248E">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81%</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71%</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64%</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57%</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54%</w:t>
            </w:r>
          </w:p>
        </w:tc>
      </w:tr>
      <w:tr w:rsidR="00C278E6" w:rsidRPr="0001248E" w:rsidTr="0001248E">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6026</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4980</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4359</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3908</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3522</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3137</w:t>
            </w:r>
          </w:p>
        </w:tc>
      </w:tr>
      <w:tr w:rsidR="00C278E6" w:rsidRPr="0001248E" w:rsidTr="0001248E">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83%</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72%</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65%</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58%</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52%</w:t>
            </w:r>
          </w:p>
        </w:tc>
      </w:tr>
      <w:tr w:rsidR="00C278E6" w:rsidRPr="0001248E" w:rsidTr="0001248E">
        <w:trPr>
          <w:trHeight w:val="300"/>
          <w:jc w:val="center"/>
        </w:trPr>
        <w:tc>
          <w:tcPr>
            <w:tcW w:w="370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6483</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5270</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4572</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4067</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3647</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3248</w:t>
            </w:r>
          </w:p>
        </w:tc>
      </w:tr>
      <w:tr w:rsidR="0001248E" w:rsidRPr="0001248E" w:rsidTr="0001248E">
        <w:trPr>
          <w:trHeight w:val="300"/>
          <w:jc w:val="center"/>
        </w:trPr>
        <w:tc>
          <w:tcPr>
            <w:tcW w:w="3703"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81%</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71%</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63%</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56%</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50%</w:t>
            </w:r>
          </w:p>
        </w:tc>
      </w:tr>
    </w:tbl>
    <w:p w:rsidR="0045046B" w:rsidRPr="00C31991" w:rsidRDefault="0045046B" w:rsidP="00C31991">
      <w:pPr>
        <w:spacing w:line="240" w:lineRule="auto"/>
        <w:jc w:val="center"/>
        <w:rPr>
          <w:sz w:val="8"/>
          <w:u w:val="single"/>
        </w:rPr>
      </w:pPr>
    </w:p>
    <w:tbl>
      <w:tblPr>
        <w:tblW w:w="9893" w:type="dxa"/>
        <w:jc w:val="center"/>
        <w:tblInd w:w="93" w:type="dxa"/>
        <w:tblLook w:val="04A0" w:firstRow="1" w:lastRow="0" w:firstColumn="1" w:lastColumn="0" w:noHBand="0" w:noVBand="1"/>
      </w:tblPr>
      <w:tblGrid>
        <w:gridCol w:w="3737"/>
        <w:gridCol w:w="1026"/>
        <w:gridCol w:w="1026"/>
        <w:gridCol w:w="1026"/>
        <w:gridCol w:w="1026"/>
        <w:gridCol w:w="1026"/>
        <w:gridCol w:w="1026"/>
      </w:tblGrid>
      <w:tr w:rsidR="0001248E" w:rsidRPr="0001248E" w:rsidTr="0001248E">
        <w:trPr>
          <w:trHeight w:val="300"/>
          <w:jc w:val="center"/>
        </w:trPr>
        <w:tc>
          <w:tcPr>
            <w:tcW w:w="9893"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1248E" w:rsidRPr="00C31991" w:rsidRDefault="0001248E" w:rsidP="00C31991">
            <w:pPr>
              <w:pStyle w:val="ListParagraph"/>
              <w:numPr>
                <w:ilvl w:val="0"/>
                <w:numId w:val="3"/>
              </w:numPr>
              <w:spacing w:line="240" w:lineRule="auto"/>
              <w:jc w:val="center"/>
              <w:rPr>
                <w:rFonts w:ascii="Calibri" w:eastAsia="Times New Roman" w:hAnsi="Calibri"/>
                <w:b/>
                <w:bCs/>
                <w:color w:val="000000"/>
                <w:sz w:val="22"/>
              </w:rPr>
            </w:pPr>
            <w:r w:rsidRPr="00C31991">
              <w:rPr>
                <w:rFonts w:ascii="Calibri" w:eastAsia="Times New Roman" w:hAnsi="Calibri"/>
                <w:b/>
                <w:bCs/>
                <w:color w:val="000000"/>
                <w:sz w:val="22"/>
              </w:rPr>
              <w:t>Charter/Community High Schools</w:t>
            </w:r>
          </w:p>
        </w:tc>
      </w:tr>
      <w:tr w:rsidR="0001248E" w:rsidRPr="0001248E" w:rsidTr="0001248E">
        <w:trPr>
          <w:trHeight w:val="300"/>
          <w:jc w:val="center"/>
        </w:trPr>
        <w:tc>
          <w:tcPr>
            <w:tcW w:w="3737" w:type="dxa"/>
            <w:tcBorders>
              <w:top w:val="nil"/>
              <w:left w:val="single" w:sz="4" w:space="0" w:color="auto"/>
              <w:bottom w:val="nil"/>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 </w:t>
            </w:r>
          </w:p>
        </w:tc>
        <w:tc>
          <w:tcPr>
            <w:tcW w:w="1026" w:type="dxa"/>
            <w:tcBorders>
              <w:top w:val="nil"/>
              <w:left w:val="single" w:sz="4" w:space="0" w:color="auto"/>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2008-09</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2009-10</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2010-11</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2011-12</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2012-13</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2013-14</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629</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426</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365</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297</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265</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236</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68%</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58%</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47%</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42%</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38%</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629</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376</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302</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228</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175</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133</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60%</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48%</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36%</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28%</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21%</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629</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376</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305</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228</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175</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113</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60%</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48%</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36%</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28%</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18%</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629</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358</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283</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205</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150</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114</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57%</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45%</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33%</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24%</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18%</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439</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256</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205</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147</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116</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89</w:t>
            </w:r>
          </w:p>
        </w:tc>
      </w:tr>
      <w:tr w:rsidR="00C278E6"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58%</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47%</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33%</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26%</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20%</w:t>
            </w:r>
          </w:p>
        </w:tc>
      </w:tr>
      <w:tr w:rsidR="00C278E6"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449</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266</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213</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153</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113</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88</w:t>
            </w:r>
          </w:p>
        </w:tc>
      </w:tr>
      <w:tr w:rsidR="0001248E"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59%</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47%</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34%</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25%</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20%</w:t>
            </w:r>
          </w:p>
        </w:tc>
      </w:tr>
    </w:tbl>
    <w:p w:rsidR="0045046B" w:rsidRDefault="0045046B" w:rsidP="00C31991">
      <w:pPr>
        <w:spacing w:line="240" w:lineRule="auto"/>
        <w:jc w:val="center"/>
        <w:rPr>
          <w:b/>
          <w:u w:val="single"/>
        </w:rPr>
      </w:pPr>
    </w:p>
    <w:tbl>
      <w:tblPr>
        <w:tblW w:w="9869" w:type="dxa"/>
        <w:jc w:val="center"/>
        <w:tblInd w:w="93" w:type="dxa"/>
        <w:tblLook w:val="04A0" w:firstRow="1" w:lastRow="0" w:firstColumn="1" w:lastColumn="0" w:noHBand="0" w:noVBand="1"/>
      </w:tblPr>
      <w:tblGrid>
        <w:gridCol w:w="3713"/>
        <w:gridCol w:w="1026"/>
        <w:gridCol w:w="1026"/>
        <w:gridCol w:w="1026"/>
        <w:gridCol w:w="1026"/>
        <w:gridCol w:w="1026"/>
        <w:gridCol w:w="1026"/>
      </w:tblGrid>
      <w:tr w:rsidR="0001248E" w:rsidRPr="0001248E" w:rsidTr="0001248E">
        <w:trPr>
          <w:trHeight w:val="300"/>
          <w:jc w:val="center"/>
        </w:trPr>
        <w:tc>
          <w:tcPr>
            <w:tcW w:w="9869"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1248E" w:rsidRPr="00C31991" w:rsidRDefault="0001248E" w:rsidP="00C31991">
            <w:pPr>
              <w:pStyle w:val="ListParagraph"/>
              <w:numPr>
                <w:ilvl w:val="0"/>
                <w:numId w:val="3"/>
              </w:numPr>
              <w:spacing w:line="240" w:lineRule="auto"/>
              <w:jc w:val="center"/>
              <w:rPr>
                <w:rFonts w:ascii="Calibri" w:eastAsia="Times New Roman" w:hAnsi="Calibri"/>
                <w:b/>
                <w:bCs/>
                <w:color w:val="000000"/>
                <w:sz w:val="22"/>
              </w:rPr>
            </w:pPr>
            <w:r w:rsidRPr="00C31991">
              <w:rPr>
                <w:rFonts w:ascii="Calibri" w:eastAsia="Times New Roman" w:hAnsi="Calibri"/>
                <w:b/>
                <w:bCs/>
                <w:color w:val="000000"/>
                <w:sz w:val="22"/>
              </w:rPr>
              <w:t>Public Non-Charter High Schools in 5 Largest Cities</w:t>
            </w:r>
          </w:p>
        </w:tc>
      </w:tr>
      <w:tr w:rsidR="0001248E" w:rsidRPr="0001248E" w:rsidTr="0001248E">
        <w:trPr>
          <w:trHeight w:val="300"/>
          <w:jc w:val="center"/>
        </w:trPr>
        <w:tc>
          <w:tcPr>
            <w:tcW w:w="3713" w:type="dxa"/>
            <w:tcBorders>
              <w:top w:val="nil"/>
              <w:left w:val="single" w:sz="4" w:space="0" w:color="auto"/>
              <w:bottom w:val="nil"/>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 </w:t>
            </w:r>
          </w:p>
        </w:tc>
        <w:tc>
          <w:tcPr>
            <w:tcW w:w="1026" w:type="dxa"/>
            <w:tcBorders>
              <w:top w:val="nil"/>
              <w:left w:val="single" w:sz="4" w:space="0" w:color="auto"/>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2008-09</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2009-10</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2010-11</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2011-12</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2012-13</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2013-14</w:t>
            </w:r>
          </w:p>
        </w:tc>
      </w:tr>
      <w:tr w:rsidR="00C278E6" w:rsidRPr="0001248E" w:rsidTr="0001248E">
        <w:trPr>
          <w:trHeight w:val="300"/>
          <w:jc w:val="center"/>
        </w:trPr>
        <w:tc>
          <w:tcPr>
            <w:tcW w:w="371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1465</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1209</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1090</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994</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856</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795</w:t>
            </w:r>
          </w:p>
        </w:tc>
      </w:tr>
      <w:tr w:rsidR="00C278E6" w:rsidRPr="0001248E" w:rsidTr="0001248E">
        <w:trPr>
          <w:trHeight w:val="300"/>
          <w:jc w:val="center"/>
        </w:trPr>
        <w:tc>
          <w:tcPr>
            <w:tcW w:w="371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83%</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74%</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68%</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58%</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54%</w:t>
            </w:r>
          </w:p>
        </w:tc>
      </w:tr>
      <w:tr w:rsidR="00C278E6" w:rsidRPr="0001248E" w:rsidTr="0001248E">
        <w:trPr>
          <w:trHeight w:val="300"/>
          <w:jc w:val="center"/>
        </w:trPr>
        <w:tc>
          <w:tcPr>
            <w:tcW w:w="371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1465</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1205</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1073</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967</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824</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757</w:t>
            </w:r>
          </w:p>
        </w:tc>
      </w:tr>
      <w:tr w:rsidR="00C278E6" w:rsidRPr="0001248E" w:rsidTr="0001248E">
        <w:trPr>
          <w:trHeight w:val="300"/>
          <w:jc w:val="center"/>
        </w:trPr>
        <w:tc>
          <w:tcPr>
            <w:tcW w:w="371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82%</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73%</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66%</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56%</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52%</w:t>
            </w:r>
          </w:p>
        </w:tc>
      </w:tr>
      <w:tr w:rsidR="00C278E6" w:rsidRPr="0001248E" w:rsidTr="0001248E">
        <w:trPr>
          <w:trHeight w:val="300"/>
          <w:jc w:val="center"/>
        </w:trPr>
        <w:tc>
          <w:tcPr>
            <w:tcW w:w="371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1465</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1102</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832</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712</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574</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487</w:t>
            </w:r>
          </w:p>
        </w:tc>
      </w:tr>
      <w:tr w:rsidR="00C278E6" w:rsidRPr="0001248E" w:rsidTr="0001248E">
        <w:trPr>
          <w:trHeight w:val="300"/>
          <w:jc w:val="center"/>
        </w:trPr>
        <w:tc>
          <w:tcPr>
            <w:tcW w:w="371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75%</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57%</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49%</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39%</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33%</w:t>
            </w:r>
          </w:p>
        </w:tc>
      </w:tr>
      <w:tr w:rsidR="00C278E6" w:rsidRPr="0001248E" w:rsidTr="0001248E">
        <w:trPr>
          <w:trHeight w:val="300"/>
          <w:jc w:val="center"/>
        </w:trPr>
        <w:tc>
          <w:tcPr>
            <w:tcW w:w="371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1465</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1026</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755</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635</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511</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424</w:t>
            </w:r>
          </w:p>
        </w:tc>
      </w:tr>
      <w:tr w:rsidR="00C278E6" w:rsidRPr="0001248E" w:rsidTr="0001248E">
        <w:trPr>
          <w:trHeight w:val="300"/>
          <w:jc w:val="center"/>
        </w:trPr>
        <w:tc>
          <w:tcPr>
            <w:tcW w:w="371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70%</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52%</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43%</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35%</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29%</w:t>
            </w:r>
          </w:p>
        </w:tc>
      </w:tr>
      <w:tr w:rsidR="00C278E6" w:rsidRPr="0001248E" w:rsidTr="0001248E">
        <w:trPr>
          <w:trHeight w:val="300"/>
          <w:jc w:val="center"/>
        </w:trPr>
        <w:tc>
          <w:tcPr>
            <w:tcW w:w="371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847</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602</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442</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377</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297</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257</w:t>
            </w:r>
          </w:p>
        </w:tc>
      </w:tr>
      <w:tr w:rsidR="00C278E6" w:rsidRPr="0001248E" w:rsidTr="0001248E">
        <w:trPr>
          <w:trHeight w:val="300"/>
          <w:jc w:val="center"/>
        </w:trPr>
        <w:tc>
          <w:tcPr>
            <w:tcW w:w="3713" w:type="dxa"/>
            <w:vMerge/>
            <w:tcBorders>
              <w:top w:val="nil"/>
              <w:left w:val="single" w:sz="4" w:space="0" w:color="auto"/>
              <w:bottom w:val="single" w:sz="4" w:space="0" w:color="000000"/>
              <w:right w:val="single" w:sz="4" w:space="0" w:color="auto"/>
            </w:tcBorders>
            <w:vAlign w:val="center"/>
            <w:hideMark/>
          </w:tcPr>
          <w:p w:rsidR="00C278E6" w:rsidRPr="0001248E" w:rsidRDefault="00C278E6"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71%</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52%</w:t>
            </w:r>
          </w:p>
        </w:tc>
        <w:tc>
          <w:tcPr>
            <w:tcW w:w="1026" w:type="dxa"/>
            <w:tcBorders>
              <w:top w:val="nil"/>
              <w:left w:val="nil"/>
              <w:bottom w:val="single" w:sz="4" w:space="0" w:color="auto"/>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45%</w:t>
            </w:r>
          </w:p>
        </w:tc>
        <w:tc>
          <w:tcPr>
            <w:tcW w:w="1026" w:type="dxa"/>
            <w:tcBorders>
              <w:top w:val="nil"/>
              <w:left w:val="nil"/>
              <w:bottom w:val="single" w:sz="4" w:space="0" w:color="auto"/>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35%</w:t>
            </w:r>
          </w:p>
        </w:tc>
        <w:tc>
          <w:tcPr>
            <w:tcW w:w="1026" w:type="dxa"/>
            <w:tcBorders>
              <w:top w:val="nil"/>
              <w:left w:val="nil"/>
              <w:bottom w:val="single" w:sz="4" w:space="0" w:color="auto"/>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30%</w:t>
            </w:r>
          </w:p>
        </w:tc>
      </w:tr>
      <w:tr w:rsidR="00C278E6" w:rsidRPr="0001248E" w:rsidTr="0001248E">
        <w:trPr>
          <w:trHeight w:val="300"/>
          <w:jc w:val="center"/>
        </w:trPr>
        <w:tc>
          <w:tcPr>
            <w:tcW w:w="371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01248E" w:rsidRDefault="00C278E6"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892</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658</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491</w:t>
            </w:r>
          </w:p>
        </w:tc>
        <w:tc>
          <w:tcPr>
            <w:tcW w:w="1026" w:type="dxa"/>
            <w:tcBorders>
              <w:top w:val="nil"/>
              <w:left w:val="nil"/>
              <w:bottom w:val="nil"/>
              <w:right w:val="nil"/>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425</w:t>
            </w:r>
          </w:p>
        </w:tc>
        <w:tc>
          <w:tcPr>
            <w:tcW w:w="1026" w:type="dxa"/>
            <w:tcBorders>
              <w:top w:val="nil"/>
              <w:left w:val="nil"/>
              <w:bottom w:val="nil"/>
              <w:right w:val="nil"/>
            </w:tcBorders>
            <w:shd w:val="clear" w:color="000000" w:fill="F2F2F2"/>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346</w:t>
            </w:r>
          </w:p>
        </w:tc>
        <w:tc>
          <w:tcPr>
            <w:tcW w:w="1026" w:type="dxa"/>
            <w:tcBorders>
              <w:top w:val="nil"/>
              <w:left w:val="nil"/>
              <w:bottom w:val="nil"/>
              <w:right w:val="single" w:sz="4" w:space="0" w:color="auto"/>
            </w:tcBorders>
            <w:shd w:val="clear" w:color="auto" w:fill="auto"/>
            <w:noWrap/>
            <w:vAlign w:val="bottom"/>
            <w:hideMark/>
          </w:tcPr>
          <w:p w:rsidR="00C278E6" w:rsidRPr="0001248E" w:rsidRDefault="00C278E6"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279</w:t>
            </w:r>
          </w:p>
        </w:tc>
      </w:tr>
      <w:tr w:rsidR="0001248E" w:rsidRPr="0001248E" w:rsidTr="0001248E">
        <w:trPr>
          <w:trHeight w:val="300"/>
          <w:jc w:val="center"/>
        </w:trPr>
        <w:tc>
          <w:tcPr>
            <w:tcW w:w="3713"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74%</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55%</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48%</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39%</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31%</w:t>
            </w:r>
          </w:p>
        </w:tc>
      </w:tr>
    </w:tbl>
    <w:p w:rsidR="0045046B" w:rsidRPr="00C31991" w:rsidRDefault="0045046B" w:rsidP="00C31991">
      <w:pPr>
        <w:spacing w:line="240" w:lineRule="auto"/>
        <w:jc w:val="center"/>
        <w:rPr>
          <w:sz w:val="8"/>
          <w:u w:val="single"/>
        </w:rPr>
      </w:pPr>
    </w:p>
    <w:tbl>
      <w:tblPr>
        <w:tblW w:w="9893" w:type="dxa"/>
        <w:jc w:val="center"/>
        <w:tblInd w:w="93" w:type="dxa"/>
        <w:tblLook w:val="04A0" w:firstRow="1" w:lastRow="0" w:firstColumn="1" w:lastColumn="0" w:noHBand="0" w:noVBand="1"/>
      </w:tblPr>
      <w:tblGrid>
        <w:gridCol w:w="3737"/>
        <w:gridCol w:w="1026"/>
        <w:gridCol w:w="1026"/>
        <w:gridCol w:w="1026"/>
        <w:gridCol w:w="1026"/>
        <w:gridCol w:w="1026"/>
        <w:gridCol w:w="1026"/>
      </w:tblGrid>
      <w:tr w:rsidR="0001248E" w:rsidRPr="0001248E" w:rsidTr="0001248E">
        <w:trPr>
          <w:trHeight w:val="300"/>
          <w:jc w:val="center"/>
        </w:trPr>
        <w:tc>
          <w:tcPr>
            <w:tcW w:w="9893"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1248E" w:rsidRPr="00C31991" w:rsidRDefault="0001248E" w:rsidP="00C31991">
            <w:pPr>
              <w:pStyle w:val="ListParagraph"/>
              <w:numPr>
                <w:ilvl w:val="0"/>
                <w:numId w:val="3"/>
              </w:numPr>
              <w:spacing w:line="240" w:lineRule="auto"/>
              <w:jc w:val="center"/>
              <w:rPr>
                <w:rFonts w:ascii="Calibri" w:eastAsia="Times New Roman" w:hAnsi="Calibri"/>
                <w:b/>
                <w:bCs/>
                <w:color w:val="000000"/>
                <w:sz w:val="22"/>
              </w:rPr>
            </w:pPr>
            <w:r w:rsidRPr="00C31991">
              <w:rPr>
                <w:rFonts w:ascii="Calibri" w:eastAsia="Times New Roman" w:hAnsi="Calibri"/>
                <w:b/>
                <w:bCs/>
                <w:color w:val="000000"/>
                <w:sz w:val="22"/>
              </w:rPr>
              <w:t>Public Non-Charter High Schools outside of 5 Largest Cities</w:t>
            </w:r>
          </w:p>
        </w:tc>
      </w:tr>
      <w:tr w:rsidR="0001248E" w:rsidRPr="0001248E" w:rsidTr="0001248E">
        <w:trPr>
          <w:trHeight w:val="300"/>
          <w:jc w:val="center"/>
        </w:trPr>
        <w:tc>
          <w:tcPr>
            <w:tcW w:w="3737" w:type="dxa"/>
            <w:tcBorders>
              <w:top w:val="nil"/>
              <w:left w:val="single" w:sz="4" w:space="0" w:color="auto"/>
              <w:bottom w:val="nil"/>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 </w:t>
            </w:r>
          </w:p>
        </w:tc>
        <w:tc>
          <w:tcPr>
            <w:tcW w:w="1026" w:type="dxa"/>
            <w:tcBorders>
              <w:top w:val="nil"/>
              <w:left w:val="single" w:sz="4" w:space="0" w:color="auto"/>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2008-09</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2009-10</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2010-11</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2011-12</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2012-13</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rPr>
                <w:rFonts w:ascii="Calibri" w:eastAsia="Times New Roman" w:hAnsi="Calibri"/>
                <w:color w:val="000000"/>
                <w:sz w:val="22"/>
              </w:rPr>
            </w:pPr>
            <w:r w:rsidRPr="0001248E">
              <w:rPr>
                <w:rFonts w:ascii="Calibri" w:eastAsia="Times New Roman" w:hAnsi="Calibri"/>
                <w:color w:val="000000"/>
                <w:sz w:val="22"/>
              </w:rPr>
              <w:t>2013-14</w:t>
            </w:r>
          </w:p>
        </w:tc>
      </w:tr>
      <w:tr w:rsidR="0001248E"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01248E" w:rsidRPr="0001248E" w:rsidRDefault="0001248E"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State</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9888</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8745</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8084</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7458</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6987</w:t>
            </w:r>
          </w:p>
        </w:tc>
        <w:tc>
          <w:tcPr>
            <w:tcW w:w="1026" w:type="dxa"/>
            <w:tcBorders>
              <w:top w:val="nil"/>
              <w:left w:val="nil"/>
              <w:bottom w:val="nil"/>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6495</w:t>
            </w:r>
          </w:p>
        </w:tc>
      </w:tr>
      <w:tr w:rsidR="0001248E"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88%</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82%</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75%</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71%</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66%</w:t>
            </w:r>
          </w:p>
        </w:tc>
      </w:tr>
      <w:tr w:rsidR="0001248E"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01248E" w:rsidRPr="0001248E" w:rsidRDefault="0001248E"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District</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9888</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8599</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7863</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7192</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6658</w:t>
            </w:r>
          </w:p>
        </w:tc>
        <w:tc>
          <w:tcPr>
            <w:tcW w:w="1026" w:type="dxa"/>
            <w:tcBorders>
              <w:top w:val="nil"/>
              <w:left w:val="nil"/>
              <w:bottom w:val="nil"/>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6075</w:t>
            </w:r>
          </w:p>
        </w:tc>
      </w:tr>
      <w:tr w:rsidR="0001248E"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87%</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73%</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67%</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61%</w:t>
            </w:r>
          </w:p>
        </w:tc>
      </w:tr>
      <w:tr w:rsidR="0001248E"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01248E" w:rsidRPr="0001248E" w:rsidRDefault="0001248E"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School</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9888</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8477</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7619</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6856</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6280</w:t>
            </w:r>
          </w:p>
        </w:tc>
        <w:tc>
          <w:tcPr>
            <w:tcW w:w="1026" w:type="dxa"/>
            <w:tcBorders>
              <w:top w:val="nil"/>
              <w:left w:val="nil"/>
              <w:bottom w:val="nil"/>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5661</w:t>
            </w:r>
          </w:p>
        </w:tc>
      </w:tr>
      <w:tr w:rsidR="0001248E"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86%</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77%</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69%</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64%</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57%</w:t>
            </w:r>
          </w:p>
        </w:tc>
      </w:tr>
      <w:tr w:rsidR="0001248E"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01248E" w:rsidRPr="0001248E" w:rsidRDefault="0001248E"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and Science Teachers: </w:t>
            </w:r>
            <w:r w:rsidRPr="0001248E">
              <w:rPr>
                <w:rFonts w:ascii="Calibri" w:eastAsia="Times New Roman" w:hAnsi="Calibri"/>
                <w:color w:val="000000"/>
                <w:sz w:val="22"/>
              </w:rPr>
              <w:br/>
              <w:t>In Same Subject(s) and School</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9888</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8212</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7327</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6578</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5991</w:t>
            </w:r>
          </w:p>
        </w:tc>
        <w:tc>
          <w:tcPr>
            <w:tcW w:w="1026" w:type="dxa"/>
            <w:tcBorders>
              <w:top w:val="nil"/>
              <w:left w:val="nil"/>
              <w:bottom w:val="nil"/>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5724</w:t>
            </w:r>
          </w:p>
        </w:tc>
      </w:tr>
      <w:tr w:rsidR="0001248E"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83%</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74%</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67%</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61%</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58%</w:t>
            </w:r>
          </w:p>
        </w:tc>
      </w:tr>
      <w:tr w:rsidR="0001248E"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01248E" w:rsidRPr="0001248E" w:rsidRDefault="0001248E"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Science Teachers:</w:t>
            </w:r>
            <w:r w:rsidRPr="0001248E">
              <w:rPr>
                <w:rFonts w:ascii="Calibri" w:eastAsia="Times New Roman" w:hAnsi="Calibri"/>
                <w:color w:val="000000"/>
                <w:sz w:val="22"/>
              </w:rPr>
              <w:br/>
              <w:t xml:space="preserve"> Same School</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5179</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4378</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3917</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3531</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3225</w:t>
            </w:r>
          </w:p>
        </w:tc>
        <w:tc>
          <w:tcPr>
            <w:tcW w:w="1026" w:type="dxa"/>
            <w:tcBorders>
              <w:top w:val="nil"/>
              <w:left w:val="nil"/>
              <w:bottom w:val="nil"/>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2880</w:t>
            </w:r>
          </w:p>
        </w:tc>
      </w:tr>
      <w:tr w:rsidR="0001248E"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85%</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76%</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68%</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62%</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56%</w:t>
            </w:r>
          </w:p>
        </w:tc>
      </w:tr>
      <w:tr w:rsidR="0001248E" w:rsidRPr="0001248E" w:rsidTr="0001248E">
        <w:trPr>
          <w:trHeight w:val="300"/>
          <w:jc w:val="center"/>
        </w:trPr>
        <w:tc>
          <w:tcPr>
            <w:tcW w:w="3737" w:type="dxa"/>
            <w:vMerge w:val="restart"/>
            <w:tcBorders>
              <w:top w:val="nil"/>
              <w:left w:val="single" w:sz="4" w:space="0" w:color="auto"/>
              <w:bottom w:val="single" w:sz="4" w:space="0" w:color="000000"/>
              <w:right w:val="single" w:sz="4" w:space="0" w:color="auto"/>
            </w:tcBorders>
            <w:shd w:val="clear" w:color="auto" w:fill="auto"/>
            <w:vAlign w:val="center"/>
            <w:hideMark/>
          </w:tcPr>
          <w:p w:rsidR="0001248E" w:rsidRPr="0001248E" w:rsidRDefault="0001248E" w:rsidP="00C31991">
            <w:pPr>
              <w:spacing w:line="240" w:lineRule="auto"/>
              <w:jc w:val="center"/>
              <w:rPr>
                <w:rFonts w:ascii="Calibri" w:eastAsia="Times New Roman" w:hAnsi="Calibri"/>
                <w:color w:val="000000"/>
                <w:sz w:val="22"/>
              </w:rPr>
            </w:pPr>
            <w:r w:rsidRPr="0001248E">
              <w:rPr>
                <w:rFonts w:ascii="Calibri" w:eastAsia="Times New Roman" w:hAnsi="Calibri"/>
                <w:color w:val="000000"/>
                <w:sz w:val="22"/>
              </w:rPr>
              <w:t xml:space="preserve">Math Teachers: </w:t>
            </w:r>
            <w:r w:rsidRPr="0001248E">
              <w:rPr>
                <w:rFonts w:ascii="Calibri" w:eastAsia="Times New Roman" w:hAnsi="Calibri"/>
                <w:color w:val="000000"/>
                <w:sz w:val="22"/>
              </w:rPr>
              <w:br/>
              <w:t>Same School</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5591</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4612</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4081</w:t>
            </w:r>
          </w:p>
        </w:tc>
        <w:tc>
          <w:tcPr>
            <w:tcW w:w="1026" w:type="dxa"/>
            <w:tcBorders>
              <w:top w:val="nil"/>
              <w:left w:val="nil"/>
              <w:bottom w:val="nil"/>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3642</w:t>
            </w:r>
          </w:p>
        </w:tc>
        <w:tc>
          <w:tcPr>
            <w:tcW w:w="1026" w:type="dxa"/>
            <w:tcBorders>
              <w:top w:val="nil"/>
              <w:left w:val="nil"/>
              <w:bottom w:val="nil"/>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3301</w:t>
            </w:r>
          </w:p>
        </w:tc>
        <w:tc>
          <w:tcPr>
            <w:tcW w:w="1026" w:type="dxa"/>
            <w:tcBorders>
              <w:top w:val="nil"/>
              <w:left w:val="nil"/>
              <w:bottom w:val="nil"/>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color w:val="000000"/>
                <w:sz w:val="22"/>
              </w:rPr>
            </w:pPr>
            <w:r w:rsidRPr="0001248E">
              <w:rPr>
                <w:rFonts w:ascii="Calibri" w:eastAsia="Times New Roman" w:hAnsi="Calibri"/>
                <w:color w:val="000000"/>
                <w:sz w:val="22"/>
              </w:rPr>
              <w:t>2969</w:t>
            </w:r>
          </w:p>
        </w:tc>
      </w:tr>
      <w:tr w:rsidR="0001248E" w:rsidRPr="0001248E" w:rsidTr="0001248E">
        <w:trPr>
          <w:trHeight w:val="300"/>
          <w:jc w:val="center"/>
        </w:trPr>
        <w:tc>
          <w:tcPr>
            <w:tcW w:w="3737" w:type="dxa"/>
            <w:vMerge/>
            <w:tcBorders>
              <w:top w:val="nil"/>
              <w:left w:val="single" w:sz="4" w:space="0" w:color="auto"/>
              <w:bottom w:val="single" w:sz="4" w:space="0" w:color="000000"/>
              <w:right w:val="single" w:sz="4" w:space="0" w:color="auto"/>
            </w:tcBorders>
            <w:vAlign w:val="center"/>
            <w:hideMark/>
          </w:tcPr>
          <w:p w:rsidR="0001248E" w:rsidRPr="0001248E" w:rsidRDefault="0001248E" w:rsidP="00C31991">
            <w:pPr>
              <w:spacing w:line="240" w:lineRule="auto"/>
              <w:rPr>
                <w:rFonts w:ascii="Calibri" w:eastAsia="Times New Roman" w:hAnsi="Calibri"/>
                <w:color w:val="000000"/>
                <w:sz w:val="22"/>
              </w:rPr>
            </w:pP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100%</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82%</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73%</w:t>
            </w:r>
          </w:p>
        </w:tc>
        <w:tc>
          <w:tcPr>
            <w:tcW w:w="1026" w:type="dxa"/>
            <w:tcBorders>
              <w:top w:val="nil"/>
              <w:left w:val="nil"/>
              <w:bottom w:val="single" w:sz="4" w:space="0" w:color="auto"/>
              <w:right w:val="nil"/>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65%</w:t>
            </w:r>
          </w:p>
        </w:tc>
        <w:tc>
          <w:tcPr>
            <w:tcW w:w="1026" w:type="dxa"/>
            <w:tcBorders>
              <w:top w:val="nil"/>
              <w:left w:val="nil"/>
              <w:bottom w:val="single" w:sz="4" w:space="0" w:color="auto"/>
              <w:right w:val="nil"/>
            </w:tcBorders>
            <w:shd w:val="clear" w:color="000000" w:fill="F2F2F2"/>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59%</w:t>
            </w:r>
          </w:p>
        </w:tc>
        <w:tc>
          <w:tcPr>
            <w:tcW w:w="1026" w:type="dxa"/>
            <w:tcBorders>
              <w:top w:val="nil"/>
              <w:left w:val="nil"/>
              <w:bottom w:val="single" w:sz="4" w:space="0" w:color="auto"/>
              <w:right w:val="single" w:sz="4" w:space="0" w:color="auto"/>
            </w:tcBorders>
            <w:shd w:val="clear" w:color="auto" w:fill="auto"/>
            <w:noWrap/>
            <w:vAlign w:val="bottom"/>
            <w:hideMark/>
          </w:tcPr>
          <w:p w:rsidR="0001248E" w:rsidRPr="0001248E" w:rsidRDefault="0001248E" w:rsidP="00C31991">
            <w:pPr>
              <w:spacing w:line="240" w:lineRule="auto"/>
              <w:jc w:val="right"/>
              <w:rPr>
                <w:rFonts w:ascii="Calibri" w:eastAsia="Times New Roman" w:hAnsi="Calibri"/>
                <w:b/>
                <w:bCs/>
                <w:color w:val="000000"/>
                <w:sz w:val="22"/>
              </w:rPr>
            </w:pPr>
            <w:r w:rsidRPr="0001248E">
              <w:rPr>
                <w:rFonts w:ascii="Calibri" w:eastAsia="Times New Roman" w:hAnsi="Calibri"/>
                <w:b/>
                <w:bCs/>
                <w:color w:val="000000"/>
                <w:sz w:val="22"/>
              </w:rPr>
              <w:t>53%</w:t>
            </w:r>
          </w:p>
        </w:tc>
      </w:tr>
    </w:tbl>
    <w:p w:rsidR="0045046B" w:rsidRDefault="0045046B" w:rsidP="00C31991">
      <w:pPr>
        <w:spacing w:line="240" w:lineRule="auto"/>
        <w:jc w:val="center"/>
        <w:rPr>
          <w:b/>
          <w:u w:val="single"/>
        </w:rPr>
      </w:pPr>
    </w:p>
    <w:p w:rsidR="003902C6" w:rsidRPr="006A6141" w:rsidRDefault="0045046B" w:rsidP="00C31991">
      <w:pPr>
        <w:spacing w:line="240" w:lineRule="auto"/>
        <w:jc w:val="center"/>
        <w:rPr>
          <w:b/>
          <w:u w:val="single"/>
        </w:rPr>
      </w:pPr>
      <w:r>
        <w:rPr>
          <w:b/>
          <w:u w:val="single"/>
        </w:rPr>
        <w:br w:type="page"/>
      </w:r>
      <w:r w:rsidR="00E7624D">
        <w:rPr>
          <w:b/>
          <w:u w:val="single"/>
        </w:rPr>
        <w:lastRenderedPageBreak/>
        <w:t xml:space="preserve">2. </w:t>
      </w:r>
      <w:r w:rsidR="003902C6" w:rsidRPr="006A6141">
        <w:rPr>
          <w:b/>
          <w:u w:val="single"/>
        </w:rPr>
        <w:t>Year-to Year Retent</w:t>
      </w:r>
      <w:r w:rsidR="00DA702B">
        <w:rPr>
          <w:b/>
          <w:u w:val="single"/>
        </w:rPr>
        <w:t>ion Analyses: 2008-09 to 2013-14</w:t>
      </w:r>
      <w:r w:rsidR="00DA702B">
        <w:rPr>
          <w:rStyle w:val="EndnoteReference"/>
          <w:b/>
          <w:u w:val="single"/>
        </w:rPr>
        <w:endnoteReference w:id="7"/>
      </w:r>
    </w:p>
    <w:p w:rsidR="003902C6" w:rsidRPr="00C31991" w:rsidRDefault="003902C6" w:rsidP="00C31991">
      <w:pPr>
        <w:spacing w:line="240" w:lineRule="auto"/>
        <w:jc w:val="center"/>
        <w:rPr>
          <w:sz w:val="4"/>
          <w:u w:val="single"/>
        </w:rPr>
      </w:pPr>
    </w:p>
    <w:tbl>
      <w:tblPr>
        <w:tblW w:w="10129" w:type="dxa"/>
        <w:jc w:val="center"/>
        <w:tblInd w:w="93" w:type="dxa"/>
        <w:tblLook w:val="04A0" w:firstRow="1" w:lastRow="0" w:firstColumn="1" w:lastColumn="0" w:noHBand="0" w:noVBand="1"/>
      </w:tblPr>
      <w:tblGrid>
        <w:gridCol w:w="3853"/>
        <w:gridCol w:w="1046"/>
        <w:gridCol w:w="1046"/>
        <w:gridCol w:w="1046"/>
        <w:gridCol w:w="1046"/>
        <w:gridCol w:w="1046"/>
        <w:gridCol w:w="1046"/>
      </w:tblGrid>
      <w:tr w:rsidR="00C700C1" w:rsidRPr="00C700C1" w:rsidTr="00C700C1">
        <w:trPr>
          <w:trHeight w:val="300"/>
          <w:jc w:val="center"/>
        </w:trPr>
        <w:tc>
          <w:tcPr>
            <w:tcW w:w="10129"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700C1" w:rsidRPr="00C700C1" w:rsidRDefault="00C31991" w:rsidP="00C31991">
            <w:pPr>
              <w:spacing w:line="240" w:lineRule="auto"/>
              <w:jc w:val="center"/>
              <w:rPr>
                <w:rFonts w:ascii="Calibri" w:eastAsia="Times New Roman" w:hAnsi="Calibri"/>
                <w:b/>
                <w:bCs/>
                <w:color w:val="000000"/>
                <w:sz w:val="22"/>
              </w:rPr>
            </w:pPr>
            <w:r>
              <w:rPr>
                <w:rFonts w:ascii="Calibri" w:eastAsia="Times New Roman" w:hAnsi="Calibri"/>
                <w:b/>
                <w:bCs/>
                <w:color w:val="000000"/>
                <w:sz w:val="22"/>
              </w:rPr>
              <w:t xml:space="preserve">(2) </w:t>
            </w:r>
            <w:r w:rsidR="00C700C1" w:rsidRPr="00C700C1">
              <w:rPr>
                <w:rFonts w:ascii="Calibri" w:eastAsia="Times New Roman" w:hAnsi="Calibri"/>
                <w:b/>
                <w:bCs/>
                <w:color w:val="000000"/>
                <w:sz w:val="22"/>
              </w:rPr>
              <w:t>Public Non-Charter High Schools</w:t>
            </w:r>
          </w:p>
        </w:tc>
      </w:tr>
      <w:tr w:rsidR="00C700C1" w:rsidRPr="00C700C1" w:rsidTr="00C700C1">
        <w:trPr>
          <w:trHeight w:val="300"/>
          <w:jc w:val="center"/>
        </w:trPr>
        <w:tc>
          <w:tcPr>
            <w:tcW w:w="3853" w:type="dxa"/>
            <w:tcBorders>
              <w:top w:val="nil"/>
              <w:left w:val="single" w:sz="4" w:space="0" w:color="auto"/>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single" w:sz="4" w:space="0" w:color="auto"/>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2008-09</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2009-10</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2010-11</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2011-12</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2012-13</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2013-14</w:t>
            </w:r>
          </w:p>
        </w:tc>
      </w:tr>
      <w:tr w:rsidR="00C278E6" w:rsidRPr="00C700C1" w:rsidTr="00C700C1">
        <w:trPr>
          <w:trHeight w:val="300"/>
          <w:jc w:val="center"/>
        </w:trPr>
        <w:tc>
          <w:tcPr>
            <w:tcW w:w="3853" w:type="dxa"/>
            <w:tcBorders>
              <w:top w:val="nil"/>
              <w:left w:val="single" w:sz="4" w:space="0" w:color="auto"/>
              <w:bottom w:val="single" w:sz="4" w:space="0" w:color="auto"/>
              <w:right w:val="nil"/>
            </w:tcBorders>
            <w:shd w:val="clear" w:color="auto" w:fill="auto"/>
            <w:vAlign w:val="bottom"/>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Teachers In State</w:t>
            </w:r>
          </w:p>
        </w:tc>
        <w:tc>
          <w:tcPr>
            <w:tcW w:w="1046" w:type="dxa"/>
            <w:tcBorders>
              <w:top w:val="single" w:sz="4" w:space="0" w:color="auto"/>
              <w:left w:val="single" w:sz="4" w:space="0" w:color="auto"/>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11353</w:t>
            </w:r>
          </w:p>
        </w:tc>
        <w:tc>
          <w:tcPr>
            <w:tcW w:w="1046" w:type="dxa"/>
            <w:tcBorders>
              <w:top w:val="single" w:sz="4" w:space="0" w:color="auto"/>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11306</w:t>
            </w:r>
          </w:p>
        </w:tc>
        <w:tc>
          <w:tcPr>
            <w:tcW w:w="1046" w:type="dxa"/>
            <w:tcBorders>
              <w:top w:val="single" w:sz="4" w:space="0" w:color="auto"/>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11068</w:t>
            </w:r>
          </w:p>
        </w:tc>
        <w:tc>
          <w:tcPr>
            <w:tcW w:w="1046" w:type="dxa"/>
            <w:tcBorders>
              <w:top w:val="single" w:sz="4" w:space="0" w:color="auto"/>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10677</w:t>
            </w:r>
          </w:p>
        </w:tc>
        <w:tc>
          <w:tcPr>
            <w:tcW w:w="1046" w:type="dxa"/>
            <w:tcBorders>
              <w:top w:val="single" w:sz="4" w:space="0" w:color="auto"/>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10529</w:t>
            </w:r>
          </w:p>
        </w:tc>
        <w:tc>
          <w:tcPr>
            <w:tcW w:w="1046" w:type="dxa"/>
            <w:tcBorders>
              <w:top w:val="single" w:sz="4" w:space="0" w:color="auto"/>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10652</w:t>
            </w:r>
          </w:p>
        </w:tc>
      </w:tr>
      <w:tr w:rsidR="00C278E6" w:rsidRPr="00C700C1" w:rsidTr="00C700C1">
        <w:trPr>
          <w:trHeight w:val="300"/>
          <w:jc w:val="center"/>
        </w:trPr>
        <w:tc>
          <w:tcPr>
            <w:tcW w:w="385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Teachers:</w:t>
            </w:r>
            <w:r w:rsidRPr="00C700C1">
              <w:rPr>
                <w:rFonts w:ascii="Calibri" w:eastAsia="Times New Roman" w:hAnsi="Calibri"/>
                <w:sz w:val="22"/>
              </w:rPr>
              <w:br/>
              <w:t>In State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9954</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9880</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9557</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9187</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9042</w:t>
            </w:r>
          </w:p>
        </w:tc>
      </w:tr>
      <w:tr w:rsidR="00C278E6" w:rsidRPr="00C700C1" w:rsidTr="00C700C1">
        <w:trPr>
          <w:trHeight w:val="300"/>
          <w:jc w:val="center"/>
        </w:trPr>
        <w:tc>
          <w:tcPr>
            <w:tcW w:w="3853"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88%</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87%</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86%</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86%</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86%</w:t>
            </w:r>
          </w:p>
        </w:tc>
      </w:tr>
      <w:tr w:rsidR="00C278E6" w:rsidRPr="00C700C1" w:rsidTr="00C700C1">
        <w:trPr>
          <w:trHeight w:val="300"/>
          <w:jc w:val="center"/>
        </w:trPr>
        <w:tc>
          <w:tcPr>
            <w:tcW w:w="385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Teachers:</w:t>
            </w:r>
            <w:r w:rsidRPr="00C700C1">
              <w:rPr>
                <w:rFonts w:ascii="Calibri" w:eastAsia="Times New Roman" w:hAnsi="Calibri"/>
                <w:sz w:val="22"/>
              </w:rPr>
              <w:br/>
              <w:t>In Same District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9804</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9707</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9398</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9012</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8821</w:t>
            </w:r>
          </w:p>
        </w:tc>
      </w:tr>
      <w:tr w:rsidR="00C278E6" w:rsidRPr="00C700C1" w:rsidTr="00C700C1">
        <w:trPr>
          <w:trHeight w:val="300"/>
          <w:jc w:val="center"/>
        </w:trPr>
        <w:tc>
          <w:tcPr>
            <w:tcW w:w="3853"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86%</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86%</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85%</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84%</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84%</w:t>
            </w:r>
          </w:p>
        </w:tc>
      </w:tr>
      <w:tr w:rsidR="00C278E6" w:rsidRPr="00C700C1" w:rsidTr="00C700C1">
        <w:trPr>
          <w:trHeight w:val="300"/>
          <w:jc w:val="center"/>
        </w:trPr>
        <w:tc>
          <w:tcPr>
            <w:tcW w:w="385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 xml:space="preserve">Teachers: </w:t>
            </w:r>
            <w:r w:rsidRPr="00C700C1">
              <w:rPr>
                <w:rFonts w:ascii="Calibri" w:eastAsia="Times New Roman" w:hAnsi="Calibri"/>
                <w:sz w:val="22"/>
              </w:rPr>
              <w:br/>
              <w:t>In Same School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9579</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9335</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9117</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8818</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8582</w:t>
            </w:r>
          </w:p>
        </w:tc>
      </w:tr>
      <w:tr w:rsidR="00C278E6" w:rsidRPr="00C700C1" w:rsidTr="00C700C1">
        <w:trPr>
          <w:trHeight w:val="300"/>
          <w:jc w:val="center"/>
        </w:trPr>
        <w:tc>
          <w:tcPr>
            <w:tcW w:w="3853"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84%</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82%</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82%</w:t>
            </w:r>
          </w:p>
        </w:tc>
      </w:tr>
      <w:tr w:rsidR="00C278E6" w:rsidRPr="00C700C1" w:rsidTr="00C700C1">
        <w:trPr>
          <w:trHeight w:val="300"/>
          <w:jc w:val="center"/>
        </w:trPr>
        <w:tc>
          <w:tcPr>
            <w:tcW w:w="385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Teachers: In Same Subject(s) &amp; </w:t>
            </w:r>
            <w:r w:rsidRPr="00C700C1">
              <w:rPr>
                <w:rFonts w:ascii="Calibri" w:eastAsia="Times New Roman" w:hAnsi="Calibri"/>
                <w:sz w:val="22"/>
              </w:rPr>
              <w:t>School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9238</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8988</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8799</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8488</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8239</w:t>
            </w:r>
          </w:p>
        </w:tc>
      </w:tr>
      <w:tr w:rsidR="00C278E6" w:rsidRPr="00C700C1" w:rsidTr="00C700C1">
        <w:trPr>
          <w:trHeight w:val="300"/>
          <w:jc w:val="center"/>
        </w:trPr>
        <w:tc>
          <w:tcPr>
            <w:tcW w:w="3853"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81%</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79%</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79%</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79%</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78%</w:t>
            </w:r>
          </w:p>
        </w:tc>
      </w:tr>
      <w:tr w:rsidR="00C278E6" w:rsidRPr="00C700C1" w:rsidTr="00C700C1">
        <w:trPr>
          <w:trHeight w:val="300"/>
          <w:jc w:val="center"/>
        </w:trPr>
        <w:tc>
          <w:tcPr>
            <w:tcW w:w="3853" w:type="dxa"/>
            <w:tcBorders>
              <w:top w:val="nil"/>
              <w:left w:val="single" w:sz="4" w:space="0" w:color="auto"/>
              <w:bottom w:val="single" w:sz="4" w:space="0" w:color="auto"/>
              <w:right w:val="nil"/>
            </w:tcBorders>
            <w:shd w:val="clear" w:color="auto" w:fill="auto"/>
            <w:vAlign w:val="bottom"/>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Science Teachers In State</w:t>
            </w:r>
          </w:p>
        </w:tc>
        <w:tc>
          <w:tcPr>
            <w:tcW w:w="1046" w:type="dxa"/>
            <w:tcBorders>
              <w:top w:val="nil"/>
              <w:left w:val="single" w:sz="4" w:space="0" w:color="auto"/>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6026</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6030</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5897</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5714</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5583</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5566</w:t>
            </w:r>
          </w:p>
        </w:tc>
      </w:tr>
      <w:tr w:rsidR="00C278E6" w:rsidRPr="00C700C1" w:rsidTr="00C700C1">
        <w:trPr>
          <w:trHeight w:val="300"/>
          <w:jc w:val="center"/>
        </w:trPr>
        <w:tc>
          <w:tcPr>
            <w:tcW w:w="385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Science Teacher Same School to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4980</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4846</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4773</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4596</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4416</w:t>
            </w:r>
          </w:p>
        </w:tc>
      </w:tr>
      <w:tr w:rsidR="00C278E6" w:rsidRPr="00C700C1" w:rsidTr="00C700C1">
        <w:trPr>
          <w:trHeight w:val="300"/>
          <w:jc w:val="center"/>
        </w:trPr>
        <w:tc>
          <w:tcPr>
            <w:tcW w:w="3853"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80%</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81%</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80%</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79%</w:t>
            </w:r>
          </w:p>
        </w:tc>
      </w:tr>
      <w:tr w:rsidR="00C278E6" w:rsidRPr="00C700C1" w:rsidTr="00C700C1">
        <w:trPr>
          <w:trHeight w:val="300"/>
          <w:jc w:val="center"/>
        </w:trPr>
        <w:tc>
          <w:tcPr>
            <w:tcW w:w="3853" w:type="dxa"/>
            <w:tcBorders>
              <w:top w:val="nil"/>
              <w:left w:val="single" w:sz="4" w:space="0" w:color="auto"/>
              <w:bottom w:val="single" w:sz="4" w:space="0" w:color="auto"/>
              <w:right w:val="nil"/>
            </w:tcBorders>
            <w:shd w:val="clear" w:color="auto" w:fill="auto"/>
            <w:vAlign w:val="bottom"/>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Math Teachers In State</w:t>
            </w:r>
          </w:p>
        </w:tc>
        <w:tc>
          <w:tcPr>
            <w:tcW w:w="1046" w:type="dxa"/>
            <w:tcBorders>
              <w:top w:val="nil"/>
              <w:left w:val="single" w:sz="4" w:space="0" w:color="auto"/>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6483</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6423</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6254</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6063</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5998</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6156</w:t>
            </w:r>
          </w:p>
        </w:tc>
      </w:tr>
      <w:tr w:rsidR="00C278E6" w:rsidRPr="00C700C1" w:rsidTr="00C700C1">
        <w:trPr>
          <w:trHeight w:val="300"/>
          <w:jc w:val="center"/>
        </w:trPr>
        <w:tc>
          <w:tcPr>
            <w:tcW w:w="3853"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Math Teacher Same School to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5270</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5106</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4989</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4873</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4754</w:t>
            </w:r>
          </w:p>
        </w:tc>
      </w:tr>
      <w:tr w:rsidR="00C700C1" w:rsidRPr="00C700C1" w:rsidTr="00C700C1">
        <w:trPr>
          <w:trHeight w:val="300"/>
          <w:jc w:val="center"/>
        </w:trPr>
        <w:tc>
          <w:tcPr>
            <w:tcW w:w="3853" w:type="dxa"/>
            <w:vMerge/>
            <w:tcBorders>
              <w:top w:val="nil"/>
              <w:left w:val="single" w:sz="4" w:space="0" w:color="auto"/>
              <w:bottom w:val="single" w:sz="4" w:space="0" w:color="000000"/>
              <w:right w:val="single" w:sz="4" w:space="0" w:color="auto"/>
            </w:tcBorders>
            <w:vAlign w:val="center"/>
            <w:hideMark/>
          </w:tcPr>
          <w:p w:rsidR="00C700C1" w:rsidRPr="00C700C1" w:rsidRDefault="00C700C1"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81%</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79%</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80%</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80%</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79%</w:t>
            </w:r>
          </w:p>
        </w:tc>
      </w:tr>
    </w:tbl>
    <w:p w:rsidR="003902C6" w:rsidRPr="00C31991" w:rsidRDefault="003902C6" w:rsidP="00C31991">
      <w:pPr>
        <w:spacing w:line="240" w:lineRule="auto"/>
        <w:rPr>
          <w:sz w:val="8"/>
          <w:u w:val="single"/>
        </w:rPr>
      </w:pPr>
    </w:p>
    <w:tbl>
      <w:tblPr>
        <w:tblW w:w="10107" w:type="dxa"/>
        <w:jc w:val="center"/>
        <w:tblInd w:w="93" w:type="dxa"/>
        <w:tblLook w:val="04A0" w:firstRow="1" w:lastRow="0" w:firstColumn="1" w:lastColumn="0" w:noHBand="0" w:noVBand="1"/>
      </w:tblPr>
      <w:tblGrid>
        <w:gridCol w:w="3831"/>
        <w:gridCol w:w="1046"/>
        <w:gridCol w:w="1046"/>
        <w:gridCol w:w="1046"/>
        <w:gridCol w:w="1046"/>
        <w:gridCol w:w="1046"/>
        <w:gridCol w:w="1046"/>
      </w:tblGrid>
      <w:tr w:rsidR="00C700C1" w:rsidRPr="00C700C1" w:rsidTr="00C700C1">
        <w:trPr>
          <w:trHeight w:val="300"/>
          <w:jc w:val="center"/>
        </w:trPr>
        <w:tc>
          <w:tcPr>
            <w:tcW w:w="10107"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700C1" w:rsidRPr="00C700C1" w:rsidRDefault="00C31991" w:rsidP="00C31991">
            <w:pPr>
              <w:spacing w:line="240" w:lineRule="auto"/>
              <w:jc w:val="center"/>
              <w:rPr>
                <w:rFonts w:ascii="Calibri" w:eastAsia="Times New Roman" w:hAnsi="Calibri"/>
                <w:b/>
                <w:bCs/>
                <w:color w:val="000000"/>
                <w:sz w:val="22"/>
              </w:rPr>
            </w:pPr>
            <w:r>
              <w:rPr>
                <w:rFonts w:ascii="Calibri" w:eastAsia="Times New Roman" w:hAnsi="Calibri"/>
                <w:b/>
                <w:bCs/>
                <w:color w:val="000000"/>
                <w:sz w:val="22"/>
              </w:rPr>
              <w:t xml:space="preserve">(3) </w:t>
            </w:r>
            <w:r w:rsidR="00C700C1" w:rsidRPr="00C700C1">
              <w:rPr>
                <w:rFonts w:ascii="Calibri" w:eastAsia="Times New Roman" w:hAnsi="Calibri"/>
                <w:b/>
                <w:bCs/>
                <w:color w:val="000000"/>
                <w:sz w:val="22"/>
              </w:rPr>
              <w:t>Charter/Community High Schools</w:t>
            </w:r>
          </w:p>
        </w:tc>
      </w:tr>
      <w:tr w:rsidR="00C700C1" w:rsidRPr="00C700C1" w:rsidTr="00C700C1">
        <w:trPr>
          <w:trHeight w:val="300"/>
          <w:jc w:val="center"/>
        </w:trPr>
        <w:tc>
          <w:tcPr>
            <w:tcW w:w="3831" w:type="dxa"/>
            <w:tcBorders>
              <w:top w:val="nil"/>
              <w:left w:val="single" w:sz="4" w:space="0" w:color="auto"/>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single" w:sz="4" w:space="0" w:color="auto"/>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2008-09</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2009-10</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2010-11</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2011-12</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2012-13</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2013-14</w:t>
            </w:r>
          </w:p>
        </w:tc>
      </w:tr>
      <w:tr w:rsidR="00C278E6" w:rsidRPr="00C700C1" w:rsidTr="00C700C1">
        <w:trPr>
          <w:trHeight w:val="300"/>
          <w:jc w:val="center"/>
        </w:trPr>
        <w:tc>
          <w:tcPr>
            <w:tcW w:w="3831" w:type="dxa"/>
            <w:tcBorders>
              <w:top w:val="nil"/>
              <w:left w:val="single" w:sz="4" w:space="0" w:color="auto"/>
              <w:bottom w:val="single" w:sz="4" w:space="0" w:color="auto"/>
              <w:right w:val="nil"/>
            </w:tcBorders>
            <w:shd w:val="clear" w:color="auto" w:fill="auto"/>
            <w:vAlign w:val="bottom"/>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Teachers In State</w:t>
            </w:r>
          </w:p>
        </w:tc>
        <w:tc>
          <w:tcPr>
            <w:tcW w:w="1046" w:type="dxa"/>
            <w:tcBorders>
              <w:top w:val="single" w:sz="4" w:space="0" w:color="auto"/>
              <w:left w:val="single" w:sz="4" w:space="0" w:color="auto"/>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629</w:t>
            </w:r>
          </w:p>
        </w:tc>
        <w:tc>
          <w:tcPr>
            <w:tcW w:w="1046" w:type="dxa"/>
            <w:tcBorders>
              <w:top w:val="single" w:sz="4" w:space="0" w:color="auto"/>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1066</w:t>
            </w:r>
          </w:p>
        </w:tc>
        <w:tc>
          <w:tcPr>
            <w:tcW w:w="1046" w:type="dxa"/>
            <w:tcBorders>
              <w:top w:val="single" w:sz="4" w:space="0" w:color="auto"/>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1075</w:t>
            </w:r>
          </w:p>
        </w:tc>
        <w:tc>
          <w:tcPr>
            <w:tcW w:w="1046" w:type="dxa"/>
            <w:tcBorders>
              <w:top w:val="single" w:sz="4" w:space="0" w:color="auto"/>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1228</w:t>
            </w:r>
          </w:p>
        </w:tc>
        <w:tc>
          <w:tcPr>
            <w:tcW w:w="1046" w:type="dxa"/>
            <w:tcBorders>
              <w:top w:val="single" w:sz="4" w:space="0" w:color="auto"/>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1367</w:t>
            </w:r>
          </w:p>
        </w:tc>
        <w:tc>
          <w:tcPr>
            <w:tcW w:w="1046" w:type="dxa"/>
            <w:tcBorders>
              <w:top w:val="single" w:sz="4" w:space="0" w:color="auto"/>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1468</w:t>
            </w:r>
          </w:p>
        </w:tc>
      </w:tr>
      <w:tr w:rsidR="00C278E6" w:rsidRPr="00C700C1" w:rsidTr="00C700C1">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Teachers:</w:t>
            </w:r>
            <w:r w:rsidRPr="00C700C1">
              <w:rPr>
                <w:rFonts w:ascii="Calibri" w:eastAsia="Times New Roman" w:hAnsi="Calibri"/>
                <w:sz w:val="22"/>
              </w:rPr>
              <w:br/>
              <w:t>In State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426</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753</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745</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887</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965</w:t>
            </w:r>
          </w:p>
        </w:tc>
      </w:tr>
      <w:tr w:rsidR="00C278E6" w:rsidRPr="00C700C1" w:rsidTr="00C700C1">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68%</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71%</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69%</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72%</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71%</w:t>
            </w:r>
          </w:p>
        </w:tc>
      </w:tr>
      <w:tr w:rsidR="00C278E6" w:rsidRPr="00C700C1" w:rsidTr="00C700C1">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Teachers:</w:t>
            </w:r>
            <w:r w:rsidRPr="00C700C1">
              <w:rPr>
                <w:rFonts w:ascii="Calibri" w:eastAsia="Times New Roman" w:hAnsi="Calibri"/>
                <w:sz w:val="22"/>
              </w:rPr>
              <w:br/>
              <w:t>In Same District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376</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color w:val="FF0000"/>
                <w:sz w:val="22"/>
              </w:rPr>
            </w:pPr>
            <w:r w:rsidRPr="00C700C1">
              <w:rPr>
                <w:rFonts w:ascii="Calibri" w:eastAsia="Times New Roman" w:hAnsi="Calibri"/>
                <w:sz w:val="22"/>
              </w:rPr>
              <w:t>687</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680</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788</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836</w:t>
            </w:r>
          </w:p>
        </w:tc>
      </w:tr>
      <w:tr w:rsidR="00C278E6" w:rsidRPr="00C700C1" w:rsidTr="00C700C1">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60%</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Pr>
                <w:rFonts w:ascii="Calibri" w:eastAsia="Times New Roman" w:hAnsi="Calibri"/>
                <w:b/>
                <w:bCs/>
                <w:sz w:val="22"/>
              </w:rPr>
              <w:t>64</w:t>
            </w:r>
            <w:r w:rsidRPr="00C700C1">
              <w:rPr>
                <w:rFonts w:ascii="Calibri" w:eastAsia="Times New Roman" w:hAnsi="Calibri"/>
                <w:b/>
                <w:bCs/>
                <w:sz w:val="22"/>
              </w:rPr>
              <w:t>%</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63%</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64%</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61%</w:t>
            </w:r>
          </w:p>
        </w:tc>
      </w:tr>
      <w:tr w:rsidR="00C278E6" w:rsidRPr="00C700C1" w:rsidTr="00C700C1">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 xml:space="preserve">Teachers: </w:t>
            </w:r>
            <w:r w:rsidRPr="00C700C1">
              <w:rPr>
                <w:rFonts w:ascii="Calibri" w:eastAsia="Times New Roman" w:hAnsi="Calibri"/>
                <w:sz w:val="22"/>
              </w:rPr>
              <w:br/>
              <w:t>In Same School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376</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687</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680</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788</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836</w:t>
            </w:r>
          </w:p>
        </w:tc>
      </w:tr>
      <w:tr w:rsidR="00C278E6" w:rsidRPr="00C700C1" w:rsidTr="00C700C1">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60%</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64%</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63%</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64%</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61%</w:t>
            </w:r>
          </w:p>
        </w:tc>
      </w:tr>
      <w:tr w:rsidR="00C278E6" w:rsidRPr="00C700C1" w:rsidTr="00C700C1">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Teachers: In Same Subject(s) &amp; </w:t>
            </w:r>
            <w:r w:rsidRPr="00C700C1">
              <w:rPr>
                <w:rFonts w:ascii="Calibri" w:eastAsia="Times New Roman" w:hAnsi="Calibri"/>
                <w:sz w:val="22"/>
              </w:rPr>
              <w:t>School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358</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634</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625</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709</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752</w:t>
            </w:r>
          </w:p>
        </w:tc>
      </w:tr>
      <w:tr w:rsidR="00C278E6" w:rsidRPr="00C700C1" w:rsidTr="00C700C1">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57%</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59%</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58%</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58%</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55%</w:t>
            </w:r>
          </w:p>
        </w:tc>
      </w:tr>
      <w:tr w:rsidR="00C278E6" w:rsidRPr="00C700C1" w:rsidTr="00C700C1">
        <w:trPr>
          <w:trHeight w:val="300"/>
          <w:jc w:val="center"/>
        </w:trPr>
        <w:tc>
          <w:tcPr>
            <w:tcW w:w="3831" w:type="dxa"/>
            <w:tcBorders>
              <w:top w:val="nil"/>
              <w:left w:val="single" w:sz="4" w:space="0" w:color="auto"/>
              <w:bottom w:val="single" w:sz="4" w:space="0" w:color="auto"/>
              <w:right w:val="nil"/>
            </w:tcBorders>
            <w:shd w:val="clear" w:color="auto" w:fill="auto"/>
            <w:vAlign w:val="bottom"/>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Science Teachers In State</w:t>
            </w:r>
          </w:p>
        </w:tc>
        <w:tc>
          <w:tcPr>
            <w:tcW w:w="1046" w:type="dxa"/>
            <w:tcBorders>
              <w:top w:val="nil"/>
              <w:left w:val="single" w:sz="4" w:space="0" w:color="auto"/>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439</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755</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738</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820</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945</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978</w:t>
            </w:r>
          </w:p>
        </w:tc>
      </w:tr>
      <w:tr w:rsidR="00C278E6" w:rsidRPr="00C700C1" w:rsidTr="00C700C1">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Science Teacher Same School to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256</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460</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446</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506</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533</w:t>
            </w:r>
          </w:p>
        </w:tc>
      </w:tr>
      <w:tr w:rsidR="00C278E6" w:rsidRPr="00C700C1" w:rsidTr="00C700C1">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58%</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61%</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60%</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62%</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56%</w:t>
            </w:r>
          </w:p>
        </w:tc>
      </w:tr>
      <w:tr w:rsidR="00C278E6" w:rsidRPr="00C700C1" w:rsidTr="00C700C1">
        <w:trPr>
          <w:trHeight w:val="300"/>
          <w:jc w:val="center"/>
        </w:trPr>
        <w:tc>
          <w:tcPr>
            <w:tcW w:w="3831" w:type="dxa"/>
            <w:tcBorders>
              <w:top w:val="nil"/>
              <w:left w:val="single" w:sz="4" w:space="0" w:color="auto"/>
              <w:bottom w:val="single" w:sz="4" w:space="0" w:color="auto"/>
              <w:right w:val="nil"/>
            </w:tcBorders>
            <w:shd w:val="clear" w:color="auto" w:fill="auto"/>
            <w:vAlign w:val="bottom"/>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Math Teachers In State</w:t>
            </w:r>
          </w:p>
        </w:tc>
        <w:tc>
          <w:tcPr>
            <w:tcW w:w="1046" w:type="dxa"/>
            <w:tcBorders>
              <w:top w:val="nil"/>
              <w:left w:val="single" w:sz="4" w:space="0" w:color="auto"/>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449</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796</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790</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906</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994</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1058</w:t>
            </w:r>
          </w:p>
        </w:tc>
      </w:tr>
      <w:tr w:rsidR="00C278E6" w:rsidRPr="00C700C1" w:rsidTr="00C700C1">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Math Teacher Same School to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233</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504</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488</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569</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571</w:t>
            </w:r>
          </w:p>
        </w:tc>
      </w:tr>
      <w:tr w:rsidR="00C700C1" w:rsidRPr="00C700C1" w:rsidTr="00C700C1">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700C1" w:rsidRPr="00C700C1" w:rsidRDefault="00C700C1"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52%</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63%</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62%</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63%</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57%</w:t>
            </w:r>
          </w:p>
        </w:tc>
      </w:tr>
    </w:tbl>
    <w:p w:rsidR="00C700C1" w:rsidRPr="00C03FCC" w:rsidRDefault="00C700C1" w:rsidP="00C31991">
      <w:pPr>
        <w:spacing w:line="240" w:lineRule="auto"/>
        <w:rPr>
          <w:u w:val="single"/>
        </w:rPr>
      </w:pPr>
    </w:p>
    <w:p w:rsidR="00C700C1" w:rsidRDefault="00C700C1" w:rsidP="00C31991">
      <w:pPr>
        <w:spacing w:line="240" w:lineRule="auto"/>
        <w:rPr>
          <w:b/>
          <w:u w:val="single"/>
        </w:rPr>
      </w:pPr>
      <w:r>
        <w:rPr>
          <w:b/>
          <w:u w:val="single"/>
        </w:rPr>
        <w:br w:type="page"/>
      </w:r>
    </w:p>
    <w:tbl>
      <w:tblPr>
        <w:tblW w:w="10115" w:type="dxa"/>
        <w:jc w:val="center"/>
        <w:tblInd w:w="93" w:type="dxa"/>
        <w:tblLook w:val="04A0" w:firstRow="1" w:lastRow="0" w:firstColumn="1" w:lastColumn="0" w:noHBand="0" w:noVBand="1"/>
      </w:tblPr>
      <w:tblGrid>
        <w:gridCol w:w="3839"/>
        <w:gridCol w:w="1046"/>
        <w:gridCol w:w="1046"/>
        <w:gridCol w:w="1046"/>
        <w:gridCol w:w="1046"/>
        <w:gridCol w:w="1046"/>
        <w:gridCol w:w="1046"/>
      </w:tblGrid>
      <w:tr w:rsidR="00C700C1" w:rsidRPr="00C700C1" w:rsidTr="00C700C1">
        <w:trPr>
          <w:trHeight w:val="300"/>
          <w:jc w:val="center"/>
        </w:trPr>
        <w:tc>
          <w:tcPr>
            <w:tcW w:w="10115"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700C1" w:rsidRPr="00C700C1" w:rsidRDefault="00C31991" w:rsidP="00C31991">
            <w:pPr>
              <w:spacing w:line="240" w:lineRule="auto"/>
              <w:jc w:val="center"/>
              <w:rPr>
                <w:rFonts w:ascii="Calibri" w:eastAsia="Times New Roman" w:hAnsi="Calibri"/>
                <w:b/>
                <w:bCs/>
                <w:sz w:val="22"/>
              </w:rPr>
            </w:pPr>
            <w:r>
              <w:rPr>
                <w:rFonts w:ascii="Calibri" w:eastAsia="Times New Roman" w:hAnsi="Calibri"/>
                <w:b/>
                <w:bCs/>
                <w:sz w:val="22"/>
              </w:rPr>
              <w:lastRenderedPageBreak/>
              <w:t xml:space="preserve">(4) </w:t>
            </w:r>
            <w:r w:rsidR="00C700C1" w:rsidRPr="00C700C1">
              <w:rPr>
                <w:rFonts w:ascii="Calibri" w:eastAsia="Times New Roman" w:hAnsi="Calibri"/>
                <w:b/>
                <w:bCs/>
                <w:sz w:val="22"/>
              </w:rPr>
              <w:t>Public Non-Charter High Schools in 5 Largest Cities</w:t>
            </w:r>
          </w:p>
        </w:tc>
      </w:tr>
      <w:tr w:rsidR="00C700C1" w:rsidRPr="00C700C1" w:rsidTr="00C700C1">
        <w:trPr>
          <w:trHeight w:val="300"/>
          <w:jc w:val="center"/>
        </w:trPr>
        <w:tc>
          <w:tcPr>
            <w:tcW w:w="3839" w:type="dxa"/>
            <w:tcBorders>
              <w:top w:val="nil"/>
              <w:left w:val="single" w:sz="4" w:space="0" w:color="auto"/>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single" w:sz="4" w:space="0" w:color="auto"/>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2008-09</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2009-10</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2010-11</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2011-12</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2012-13</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2013-14</w:t>
            </w:r>
          </w:p>
        </w:tc>
      </w:tr>
      <w:tr w:rsidR="00C278E6" w:rsidRPr="00C700C1" w:rsidTr="00C700C1">
        <w:trPr>
          <w:trHeight w:val="300"/>
          <w:jc w:val="center"/>
        </w:trPr>
        <w:tc>
          <w:tcPr>
            <w:tcW w:w="3839" w:type="dxa"/>
            <w:tcBorders>
              <w:top w:val="nil"/>
              <w:left w:val="single" w:sz="4" w:space="0" w:color="auto"/>
              <w:bottom w:val="single" w:sz="4" w:space="0" w:color="auto"/>
              <w:right w:val="nil"/>
            </w:tcBorders>
            <w:shd w:val="clear" w:color="auto" w:fill="auto"/>
            <w:vAlign w:val="bottom"/>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Teachers In State</w:t>
            </w:r>
          </w:p>
        </w:tc>
        <w:tc>
          <w:tcPr>
            <w:tcW w:w="1046" w:type="dxa"/>
            <w:tcBorders>
              <w:top w:val="single" w:sz="4" w:space="0" w:color="auto"/>
              <w:left w:val="single" w:sz="4" w:space="0" w:color="auto"/>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1465</w:t>
            </w:r>
          </w:p>
        </w:tc>
        <w:tc>
          <w:tcPr>
            <w:tcW w:w="1046" w:type="dxa"/>
            <w:tcBorders>
              <w:top w:val="single" w:sz="4" w:space="0" w:color="auto"/>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1446</w:t>
            </w:r>
          </w:p>
        </w:tc>
        <w:tc>
          <w:tcPr>
            <w:tcW w:w="1046" w:type="dxa"/>
            <w:tcBorders>
              <w:top w:val="single" w:sz="4" w:space="0" w:color="auto"/>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1414</w:t>
            </w:r>
          </w:p>
        </w:tc>
        <w:tc>
          <w:tcPr>
            <w:tcW w:w="1046" w:type="dxa"/>
            <w:tcBorders>
              <w:top w:val="single" w:sz="4" w:space="0" w:color="auto"/>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1349</w:t>
            </w:r>
          </w:p>
        </w:tc>
        <w:tc>
          <w:tcPr>
            <w:tcW w:w="1046" w:type="dxa"/>
            <w:tcBorders>
              <w:top w:val="single" w:sz="4" w:space="0" w:color="auto"/>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1211</w:t>
            </w:r>
          </w:p>
        </w:tc>
        <w:tc>
          <w:tcPr>
            <w:tcW w:w="1046" w:type="dxa"/>
            <w:tcBorders>
              <w:top w:val="single" w:sz="4" w:space="0" w:color="auto"/>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1258</w:t>
            </w:r>
          </w:p>
        </w:tc>
      </w:tr>
      <w:tr w:rsidR="00C278E6" w:rsidRPr="00C700C1" w:rsidTr="00C700C1">
        <w:trPr>
          <w:trHeight w:val="300"/>
          <w:jc w:val="center"/>
        </w:trPr>
        <w:tc>
          <w:tcPr>
            <w:tcW w:w="3839"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Teachers:</w:t>
            </w:r>
            <w:r w:rsidRPr="00C700C1">
              <w:rPr>
                <w:rFonts w:ascii="Calibri" w:eastAsia="Times New Roman" w:hAnsi="Calibri"/>
                <w:sz w:val="22"/>
              </w:rPr>
              <w:br/>
              <w:t>In State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1209</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1215</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1177</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1052</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958</w:t>
            </w:r>
          </w:p>
        </w:tc>
      </w:tr>
      <w:tr w:rsidR="00C278E6" w:rsidRPr="00C700C1" w:rsidTr="00C700C1">
        <w:trPr>
          <w:trHeight w:val="300"/>
          <w:jc w:val="center"/>
        </w:trPr>
        <w:tc>
          <w:tcPr>
            <w:tcW w:w="3839"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84%</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78%</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79%</w:t>
            </w:r>
          </w:p>
        </w:tc>
      </w:tr>
      <w:tr w:rsidR="00C278E6" w:rsidRPr="00C700C1" w:rsidTr="00C700C1">
        <w:trPr>
          <w:trHeight w:val="300"/>
          <w:jc w:val="center"/>
        </w:trPr>
        <w:tc>
          <w:tcPr>
            <w:tcW w:w="3839"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Teachers:</w:t>
            </w:r>
            <w:r w:rsidRPr="00C700C1">
              <w:rPr>
                <w:rFonts w:ascii="Calibri" w:eastAsia="Times New Roman" w:hAnsi="Calibri"/>
                <w:sz w:val="22"/>
              </w:rPr>
              <w:br/>
              <w:t>In Same District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1205</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1195</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1168</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1039</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950</w:t>
            </w:r>
          </w:p>
        </w:tc>
      </w:tr>
      <w:tr w:rsidR="00C278E6" w:rsidRPr="00C700C1" w:rsidTr="00C700C1">
        <w:trPr>
          <w:trHeight w:val="300"/>
          <w:jc w:val="center"/>
        </w:trPr>
        <w:tc>
          <w:tcPr>
            <w:tcW w:w="3839"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82%</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77%</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78%</w:t>
            </w:r>
          </w:p>
        </w:tc>
      </w:tr>
      <w:tr w:rsidR="00C278E6" w:rsidRPr="00C700C1" w:rsidTr="00C700C1">
        <w:trPr>
          <w:trHeight w:val="300"/>
          <w:jc w:val="center"/>
        </w:trPr>
        <w:tc>
          <w:tcPr>
            <w:tcW w:w="3839"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Pr="00C700C1">
              <w:rPr>
                <w:rFonts w:ascii="Calibri" w:eastAsia="Times New Roman" w:hAnsi="Calibri"/>
                <w:sz w:val="22"/>
              </w:rPr>
              <w:t xml:space="preserve">Teachers: </w:t>
            </w:r>
            <w:r w:rsidRPr="00C700C1">
              <w:rPr>
                <w:rFonts w:ascii="Calibri" w:eastAsia="Times New Roman" w:hAnsi="Calibri"/>
                <w:sz w:val="22"/>
              </w:rPr>
              <w:br/>
              <w:t>In Same School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1102</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990</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1044</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952</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868</w:t>
            </w:r>
          </w:p>
        </w:tc>
      </w:tr>
      <w:tr w:rsidR="00C278E6" w:rsidRPr="00C700C1" w:rsidTr="00C700C1">
        <w:trPr>
          <w:trHeight w:val="300"/>
          <w:jc w:val="center"/>
        </w:trPr>
        <w:tc>
          <w:tcPr>
            <w:tcW w:w="3839"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75%</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68%</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74%</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71%</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72%</w:t>
            </w:r>
          </w:p>
        </w:tc>
      </w:tr>
      <w:tr w:rsidR="00C278E6" w:rsidRPr="00C700C1" w:rsidTr="00C700C1">
        <w:trPr>
          <w:trHeight w:val="300"/>
          <w:jc w:val="center"/>
        </w:trPr>
        <w:tc>
          <w:tcPr>
            <w:tcW w:w="3839"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Teachers: In Same Subject(s) &amp; </w:t>
            </w:r>
            <w:r w:rsidRPr="00C700C1">
              <w:rPr>
                <w:rFonts w:ascii="Calibri" w:eastAsia="Times New Roman" w:hAnsi="Calibri"/>
                <w:sz w:val="22"/>
              </w:rPr>
              <w:t>School from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1026</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910</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965</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871</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796</w:t>
            </w:r>
          </w:p>
        </w:tc>
      </w:tr>
      <w:tr w:rsidR="00C278E6" w:rsidRPr="00C700C1" w:rsidTr="00C700C1">
        <w:trPr>
          <w:trHeight w:val="300"/>
          <w:jc w:val="center"/>
        </w:trPr>
        <w:tc>
          <w:tcPr>
            <w:tcW w:w="3839"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70%</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63%</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68%</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65%</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66%</w:t>
            </w:r>
          </w:p>
        </w:tc>
      </w:tr>
      <w:tr w:rsidR="00C278E6" w:rsidRPr="00C700C1" w:rsidTr="00C700C1">
        <w:trPr>
          <w:trHeight w:val="300"/>
          <w:jc w:val="center"/>
        </w:trPr>
        <w:tc>
          <w:tcPr>
            <w:tcW w:w="3839" w:type="dxa"/>
            <w:tcBorders>
              <w:top w:val="nil"/>
              <w:left w:val="single" w:sz="4" w:space="0" w:color="auto"/>
              <w:bottom w:val="single" w:sz="4" w:space="0" w:color="auto"/>
              <w:right w:val="nil"/>
            </w:tcBorders>
            <w:shd w:val="clear" w:color="auto" w:fill="auto"/>
            <w:vAlign w:val="bottom"/>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Science Teachers In State</w:t>
            </w:r>
          </w:p>
        </w:tc>
        <w:tc>
          <w:tcPr>
            <w:tcW w:w="1046" w:type="dxa"/>
            <w:tcBorders>
              <w:top w:val="nil"/>
              <w:left w:val="single" w:sz="4" w:space="0" w:color="auto"/>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847</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830</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827</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791</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697</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705</w:t>
            </w:r>
          </w:p>
        </w:tc>
      </w:tr>
      <w:tr w:rsidR="00C278E6" w:rsidRPr="00C700C1" w:rsidTr="00C700C1">
        <w:trPr>
          <w:trHeight w:val="300"/>
          <w:jc w:val="center"/>
        </w:trPr>
        <w:tc>
          <w:tcPr>
            <w:tcW w:w="3839"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Science Teacher Same School to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602</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530</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584</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516</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467</w:t>
            </w:r>
          </w:p>
        </w:tc>
      </w:tr>
      <w:tr w:rsidR="00C278E6" w:rsidRPr="00C700C1" w:rsidTr="00C700C1">
        <w:trPr>
          <w:trHeight w:val="300"/>
          <w:jc w:val="center"/>
        </w:trPr>
        <w:tc>
          <w:tcPr>
            <w:tcW w:w="3839" w:type="dxa"/>
            <w:vMerge/>
            <w:tcBorders>
              <w:top w:val="nil"/>
              <w:left w:val="single" w:sz="4" w:space="0" w:color="auto"/>
              <w:bottom w:val="single" w:sz="4" w:space="0" w:color="000000"/>
              <w:right w:val="single" w:sz="4" w:space="0" w:color="auto"/>
            </w:tcBorders>
            <w:vAlign w:val="center"/>
            <w:hideMark/>
          </w:tcPr>
          <w:p w:rsidR="00C278E6" w:rsidRPr="00C700C1" w:rsidRDefault="00C278E6"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71%</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64%</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71%</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65%</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b/>
                <w:bCs/>
                <w:sz w:val="22"/>
              </w:rPr>
            </w:pPr>
            <w:r w:rsidRPr="00C700C1">
              <w:rPr>
                <w:rFonts w:ascii="Calibri" w:eastAsia="Times New Roman" w:hAnsi="Calibri"/>
                <w:b/>
                <w:bCs/>
                <w:sz w:val="22"/>
              </w:rPr>
              <w:t>67%</w:t>
            </w:r>
          </w:p>
        </w:tc>
      </w:tr>
      <w:tr w:rsidR="00C278E6" w:rsidRPr="00C700C1" w:rsidTr="00C700C1">
        <w:trPr>
          <w:trHeight w:val="300"/>
          <w:jc w:val="center"/>
        </w:trPr>
        <w:tc>
          <w:tcPr>
            <w:tcW w:w="3839" w:type="dxa"/>
            <w:tcBorders>
              <w:top w:val="nil"/>
              <w:left w:val="single" w:sz="4" w:space="0" w:color="auto"/>
              <w:bottom w:val="single" w:sz="4" w:space="0" w:color="auto"/>
              <w:right w:val="nil"/>
            </w:tcBorders>
            <w:shd w:val="clear" w:color="auto" w:fill="auto"/>
            <w:vAlign w:val="bottom"/>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Math Teachers In State</w:t>
            </w:r>
          </w:p>
        </w:tc>
        <w:tc>
          <w:tcPr>
            <w:tcW w:w="1046" w:type="dxa"/>
            <w:tcBorders>
              <w:top w:val="nil"/>
              <w:left w:val="single" w:sz="4" w:space="0" w:color="auto"/>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892</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875</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863</w:t>
            </w:r>
          </w:p>
        </w:tc>
        <w:tc>
          <w:tcPr>
            <w:tcW w:w="1046" w:type="dxa"/>
            <w:tcBorders>
              <w:top w:val="nil"/>
              <w:left w:val="nil"/>
              <w:bottom w:val="single" w:sz="4" w:space="0" w:color="auto"/>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831</w:t>
            </w:r>
          </w:p>
        </w:tc>
        <w:tc>
          <w:tcPr>
            <w:tcW w:w="1046" w:type="dxa"/>
            <w:tcBorders>
              <w:top w:val="nil"/>
              <w:left w:val="nil"/>
              <w:bottom w:val="single" w:sz="4" w:space="0" w:color="auto"/>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760</w:t>
            </w:r>
          </w:p>
        </w:tc>
        <w:tc>
          <w:tcPr>
            <w:tcW w:w="1046" w:type="dxa"/>
            <w:tcBorders>
              <w:top w:val="nil"/>
              <w:left w:val="nil"/>
              <w:bottom w:val="single" w:sz="4" w:space="0" w:color="auto"/>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803</w:t>
            </w:r>
          </w:p>
        </w:tc>
      </w:tr>
      <w:tr w:rsidR="00C278E6" w:rsidRPr="00C700C1" w:rsidTr="00C700C1">
        <w:trPr>
          <w:trHeight w:val="300"/>
          <w:jc w:val="center"/>
        </w:trPr>
        <w:tc>
          <w:tcPr>
            <w:tcW w:w="3839" w:type="dxa"/>
            <w:vMerge w:val="restart"/>
            <w:tcBorders>
              <w:top w:val="nil"/>
              <w:left w:val="single" w:sz="4" w:space="0" w:color="auto"/>
              <w:bottom w:val="single" w:sz="4" w:space="0" w:color="000000"/>
              <w:right w:val="single" w:sz="4" w:space="0" w:color="auto"/>
            </w:tcBorders>
            <w:shd w:val="clear" w:color="auto" w:fill="auto"/>
            <w:vAlign w:val="center"/>
            <w:hideMark/>
          </w:tcPr>
          <w:p w:rsidR="00C278E6" w:rsidRPr="00C700C1" w:rsidRDefault="00C278E6" w:rsidP="00C31991">
            <w:pPr>
              <w:spacing w:line="240" w:lineRule="auto"/>
              <w:jc w:val="center"/>
              <w:rPr>
                <w:rFonts w:ascii="Calibri" w:eastAsia="Times New Roman" w:hAnsi="Calibri"/>
                <w:sz w:val="22"/>
              </w:rPr>
            </w:pPr>
            <w:r w:rsidRPr="00C700C1">
              <w:rPr>
                <w:rFonts w:ascii="Calibri" w:eastAsia="Times New Roman" w:hAnsi="Calibri"/>
                <w:sz w:val="22"/>
              </w:rPr>
              <w:t>Math Teacher Same School to Previous Year</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658</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584</w:t>
            </w:r>
          </w:p>
        </w:tc>
        <w:tc>
          <w:tcPr>
            <w:tcW w:w="1046" w:type="dxa"/>
            <w:tcBorders>
              <w:top w:val="nil"/>
              <w:left w:val="nil"/>
              <w:bottom w:val="nil"/>
              <w:right w:val="nil"/>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616</w:t>
            </w:r>
          </w:p>
        </w:tc>
        <w:tc>
          <w:tcPr>
            <w:tcW w:w="1046" w:type="dxa"/>
            <w:tcBorders>
              <w:top w:val="nil"/>
              <w:left w:val="nil"/>
              <w:bottom w:val="nil"/>
              <w:right w:val="nil"/>
            </w:tcBorders>
            <w:shd w:val="clear" w:color="000000" w:fill="F2F2F2"/>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582</w:t>
            </w:r>
          </w:p>
        </w:tc>
        <w:tc>
          <w:tcPr>
            <w:tcW w:w="1046" w:type="dxa"/>
            <w:tcBorders>
              <w:top w:val="nil"/>
              <w:left w:val="nil"/>
              <w:bottom w:val="nil"/>
              <w:right w:val="single" w:sz="4" w:space="0" w:color="auto"/>
            </w:tcBorders>
            <w:shd w:val="clear" w:color="auto" w:fill="auto"/>
            <w:noWrap/>
            <w:vAlign w:val="bottom"/>
            <w:hideMark/>
          </w:tcPr>
          <w:p w:rsidR="00C278E6" w:rsidRPr="00C700C1" w:rsidRDefault="00C278E6" w:rsidP="00C31991">
            <w:pPr>
              <w:spacing w:line="240" w:lineRule="auto"/>
              <w:jc w:val="right"/>
              <w:rPr>
                <w:rFonts w:ascii="Calibri" w:eastAsia="Times New Roman" w:hAnsi="Calibri"/>
                <w:sz w:val="22"/>
              </w:rPr>
            </w:pPr>
            <w:r w:rsidRPr="00C700C1">
              <w:rPr>
                <w:rFonts w:ascii="Calibri" w:eastAsia="Times New Roman" w:hAnsi="Calibri"/>
                <w:sz w:val="22"/>
              </w:rPr>
              <w:t>537</w:t>
            </w:r>
          </w:p>
        </w:tc>
      </w:tr>
      <w:tr w:rsidR="00C700C1" w:rsidRPr="00C700C1" w:rsidTr="00C700C1">
        <w:trPr>
          <w:trHeight w:val="300"/>
          <w:jc w:val="center"/>
        </w:trPr>
        <w:tc>
          <w:tcPr>
            <w:tcW w:w="3839" w:type="dxa"/>
            <w:vMerge/>
            <w:tcBorders>
              <w:top w:val="nil"/>
              <w:left w:val="single" w:sz="4" w:space="0" w:color="auto"/>
              <w:bottom w:val="single" w:sz="4" w:space="0" w:color="000000"/>
              <w:right w:val="single" w:sz="4" w:space="0" w:color="auto"/>
            </w:tcBorders>
            <w:vAlign w:val="center"/>
            <w:hideMark/>
          </w:tcPr>
          <w:p w:rsidR="00C700C1" w:rsidRPr="00C700C1" w:rsidRDefault="00C700C1"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74%</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67%</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71%</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70%</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71%</w:t>
            </w:r>
          </w:p>
        </w:tc>
      </w:tr>
    </w:tbl>
    <w:p w:rsidR="0045046B" w:rsidRPr="00C31991" w:rsidRDefault="0045046B" w:rsidP="00C31991">
      <w:pPr>
        <w:spacing w:line="240" w:lineRule="auto"/>
        <w:rPr>
          <w:b/>
          <w:sz w:val="8"/>
          <w:u w:val="single"/>
        </w:rPr>
      </w:pPr>
    </w:p>
    <w:tbl>
      <w:tblPr>
        <w:tblW w:w="10107" w:type="dxa"/>
        <w:jc w:val="center"/>
        <w:tblInd w:w="93" w:type="dxa"/>
        <w:tblLook w:val="04A0" w:firstRow="1" w:lastRow="0" w:firstColumn="1" w:lastColumn="0" w:noHBand="0" w:noVBand="1"/>
      </w:tblPr>
      <w:tblGrid>
        <w:gridCol w:w="3831"/>
        <w:gridCol w:w="1046"/>
        <w:gridCol w:w="1046"/>
        <w:gridCol w:w="1046"/>
        <w:gridCol w:w="1046"/>
        <w:gridCol w:w="1046"/>
        <w:gridCol w:w="1046"/>
      </w:tblGrid>
      <w:tr w:rsidR="00C700C1" w:rsidRPr="00C700C1" w:rsidTr="0055213A">
        <w:trPr>
          <w:trHeight w:val="300"/>
          <w:jc w:val="center"/>
        </w:trPr>
        <w:tc>
          <w:tcPr>
            <w:tcW w:w="10107"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700C1" w:rsidRPr="00C700C1" w:rsidRDefault="00C31991" w:rsidP="00C31991">
            <w:pPr>
              <w:spacing w:line="240" w:lineRule="auto"/>
              <w:jc w:val="center"/>
              <w:rPr>
                <w:rFonts w:ascii="Calibri" w:eastAsia="Times New Roman" w:hAnsi="Calibri"/>
                <w:b/>
                <w:bCs/>
                <w:sz w:val="22"/>
              </w:rPr>
            </w:pPr>
            <w:r>
              <w:rPr>
                <w:rFonts w:ascii="Calibri" w:eastAsia="Times New Roman" w:hAnsi="Calibri"/>
                <w:b/>
                <w:bCs/>
                <w:sz w:val="22"/>
              </w:rPr>
              <w:t xml:space="preserve">(5) </w:t>
            </w:r>
            <w:r w:rsidR="00C700C1" w:rsidRPr="00C700C1">
              <w:rPr>
                <w:rFonts w:ascii="Calibri" w:eastAsia="Times New Roman" w:hAnsi="Calibri"/>
                <w:b/>
                <w:bCs/>
                <w:sz w:val="22"/>
              </w:rPr>
              <w:t>Public Non-Charter High Schools outside of 5 Largest Cities</w:t>
            </w:r>
          </w:p>
        </w:tc>
      </w:tr>
      <w:tr w:rsidR="00C700C1" w:rsidRPr="00C700C1" w:rsidTr="0055213A">
        <w:trPr>
          <w:trHeight w:val="300"/>
          <w:jc w:val="center"/>
        </w:trPr>
        <w:tc>
          <w:tcPr>
            <w:tcW w:w="3831" w:type="dxa"/>
            <w:tcBorders>
              <w:top w:val="nil"/>
              <w:left w:val="single" w:sz="4" w:space="0" w:color="auto"/>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single" w:sz="4" w:space="0" w:color="auto"/>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2008-09</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2009-10</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2010-11</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2011-12</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2012-13</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2013-14</w:t>
            </w:r>
          </w:p>
        </w:tc>
      </w:tr>
      <w:tr w:rsidR="00C700C1" w:rsidRPr="00C700C1" w:rsidTr="0055213A">
        <w:trPr>
          <w:trHeight w:val="300"/>
          <w:jc w:val="center"/>
        </w:trPr>
        <w:tc>
          <w:tcPr>
            <w:tcW w:w="3831" w:type="dxa"/>
            <w:tcBorders>
              <w:top w:val="nil"/>
              <w:left w:val="single" w:sz="4" w:space="0" w:color="auto"/>
              <w:bottom w:val="single" w:sz="4" w:space="0" w:color="auto"/>
              <w:right w:val="nil"/>
            </w:tcBorders>
            <w:shd w:val="clear" w:color="auto" w:fill="auto"/>
            <w:vAlign w:val="bottom"/>
            <w:hideMark/>
          </w:tcPr>
          <w:p w:rsidR="00C700C1"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00C700C1" w:rsidRPr="00C700C1">
              <w:rPr>
                <w:rFonts w:ascii="Calibri" w:eastAsia="Times New Roman" w:hAnsi="Calibri"/>
                <w:sz w:val="22"/>
              </w:rPr>
              <w:t>Teachers In State</w:t>
            </w:r>
          </w:p>
        </w:tc>
        <w:tc>
          <w:tcPr>
            <w:tcW w:w="1046" w:type="dxa"/>
            <w:tcBorders>
              <w:top w:val="single" w:sz="4" w:space="0" w:color="auto"/>
              <w:left w:val="single" w:sz="4" w:space="0" w:color="auto"/>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9888</w:t>
            </w:r>
          </w:p>
        </w:tc>
        <w:tc>
          <w:tcPr>
            <w:tcW w:w="1046" w:type="dxa"/>
            <w:tcBorders>
              <w:top w:val="single" w:sz="4" w:space="0" w:color="auto"/>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9860</w:t>
            </w:r>
          </w:p>
        </w:tc>
        <w:tc>
          <w:tcPr>
            <w:tcW w:w="1046" w:type="dxa"/>
            <w:tcBorders>
              <w:top w:val="single" w:sz="4" w:space="0" w:color="auto"/>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9654</w:t>
            </w:r>
          </w:p>
        </w:tc>
        <w:tc>
          <w:tcPr>
            <w:tcW w:w="1046" w:type="dxa"/>
            <w:tcBorders>
              <w:top w:val="single" w:sz="4" w:space="0" w:color="auto"/>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9328</w:t>
            </w:r>
          </w:p>
        </w:tc>
        <w:tc>
          <w:tcPr>
            <w:tcW w:w="1046" w:type="dxa"/>
            <w:tcBorders>
              <w:top w:val="single" w:sz="4" w:space="0" w:color="auto"/>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9318</w:t>
            </w:r>
          </w:p>
        </w:tc>
        <w:tc>
          <w:tcPr>
            <w:tcW w:w="1046" w:type="dxa"/>
            <w:tcBorders>
              <w:top w:val="single" w:sz="4" w:space="0" w:color="auto"/>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9394</w:t>
            </w:r>
          </w:p>
        </w:tc>
      </w:tr>
      <w:tr w:rsidR="00C700C1" w:rsidRPr="00C700C1" w:rsidTr="0055213A">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700C1"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00C700C1" w:rsidRPr="00C700C1">
              <w:rPr>
                <w:rFonts w:ascii="Calibri" w:eastAsia="Times New Roman" w:hAnsi="Calibri"/>
                <w:sz w:val="22"/>
              </w:rPr>
              <w:t>Teachers:</w:t>
            </w:r>
            <w:r w:rsidR="00C700C1" w:rsidRPr="00C700C1">
              <w:rPr>
                <w:rFonts w:ascii="Calibri" w:eastAsia="Times New Roman" w:hAnsi="Calibri"/>
                <w:sz w:val="22"/>
              </w:rPr>
              <w:br/>
              <w:t>In State from Previous Year</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8745</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8665</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8380</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8135</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8084</w:t>
            </w:r>
          </w:p>
        </w:tc>
      </w:tr>
      <w:tr w:rsidR="00C700C1" w:rsidRPr="00C700C1" w:rsidTr="0055213A">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700C1" w:rsidRPr="00C700C1" w:rsidRDefault="00C700C1"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88%</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88%</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87%</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87%</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87%</w:t>
            </w:r>
          </w:p>
        </w:tc>
      </w:tr>
      <w:tr w:rsidR="00C700C1" w:rsidRPr="00C700C1" w:rsidTr="0055213A">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700C1"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00C700C1" w:rsidRPr="00C700C1">
              <w:rPr>
                <w:rFonts w:ascii="Calibri" w:eastAsia="Times New Roman" w:hAnsi="Calibri"/>
                <w:sz w:val="22"/>
              </w:rPr>
              <w:t>Teachers:</w:t>
            </w:r>
            <w:r w:rsidR="00C700C1" w:rsidRPr="00C700C1">
              <w:rPr>
                <w:rFonts w:ascii="Calibri" w:eastAsia="Times New Roman" w:hAnsi="Calibri"/>
                <w:sz w:val="22"/>
              </w:rPr>
              <w:br/>
              <w:t>In Same District from Previous Year</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8599</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8512</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8230</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7973</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7871</w:t>
            </w:r>
          </w:p>
        </w:tc>
      </w:tr>
      <w:tr w:rsidR="00C700C1" w:rsidRPr="00C700C1" w:rsidTr="0055213A">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700C1" w:rsidRPr="00C700C1" w:rsidRDefault="00C700C1"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87%</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86%</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85%</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85%</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84%</w:t>
            </w:r>
          </w:p>
        </w:tc>
      </w:tr>
      <w:tr w:rsidR="00C700C1" w:rsidRPr="00C700C1" w:rsidTr="0055213A">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700C1"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w:t>
            </w:r>
            <w:r w:rsidR="00C700C1" w:rsidRPr="00C700C1">
              <w:rPr>
                <w:rFonts w:ascii="Calibri" w:eastAsia="Times New Roman" w:hAnsi="Calibri"/>
                <w:sz w:val="22"/>
              </w:rPr>
              <w:t xml:space="preserve">Teachers: </w:t>
            </w:r>
            <w:r w:rsidR="00C700C1" w:rsidRPr="00C700C1">
              <w:rPr>
                <w:rFonts w:ascii="Calibri" w:eastAsia="Times New Roman" w:hAnsi="Calibri"/>
                <w:sz w:val="22"/>
              </w:rPr>
              <w:br/>
              <w:t>In Same School from Previous Year</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8477</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8345</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8073</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7866</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7714</w:t>
            </w:r>
          </w:p>
        </w:tc>
      </w:tr>
      <w:tr w:rsidR="00C700C1" w:rsidRPr="00C700C1" w:rsidTr="0055213A">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700C1" w:rsidRPr="00C700C1" w:rsidRDefault="00C700C1"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86%</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85%</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84%</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84%</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r>
      <w:tr w:rsidR="00C700C1" w:rsidRPr="00C700C1" w:rsidTr="0055213A">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700C1" w:rsidRPr="00C700C1" w:rsidRDefault="00C278E6" w:rsidP="00C31991">
            <w:pPr>
              <w:spacing w:line="240" w:lineRule="auto"/>
              <w:jc w:val="center"/>
              <w:rPr>
                <w:rFonts w:ascii="Calibri" w:eastAsia="Times New Roman" w:hAnsi="Calibri"/>
                <w:sz w:val="22"/>
              </w:rPr>
            </w:pPr>
            <w:r>
              <w:rPr>
                <w:rFonts w:ascii="Calibri" w:eastAsia="Times New Roman" w:hAnsi="Calibri"/>
                <w:sz w:val="22"/>
              </w:rPr>
              <w:t xml:space="preserve">Math and Science Teachers: In Same Subject(s) &amp; </w:t>
            </w:r>
            <w:r w:rsidR="00C700C1" w:rsidRPr="00C700C1">
              <w:rPr>
                <w:rFonts w:ascii="Calibri" w:eastAsia="Times New Roman" w:hAnsi="Calibri"/>
                <w:sz w:val="22"/>
              </w:rPr>
              <w:t>School from Previous Year</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8212</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8078</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7834</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7617</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7443</w:t>
            </w:r>
          </w:p>
        </w:tc>
      </w:tr>
      <w:tr w:rsidR="00C700C1" w:rsidRPr="00C700C1" w:rsidTr="0055213A">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700C1" w:rsidRPr="00C700C1" w:rsidRDefault="00C700C1"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82%</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81%</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82%</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80%</w:t>
            </w:r>
          </w:p>
        </w:tc>
      </w:tr>
      <w:tr w:rsidR="00C700C1" w:rsidRPr="00C700C1" w:rsidTr="0055213A">
        <w:trPr>
          <w:trHeight w:val="300"/>
          <w:jc w:val="center"/>
        </w:trPr>
        <w:tc>
          <w:tcPr>
            <w:tcW w:w="3831" w:type="dxa"/>
            <w:tcBorders>
              <w:top w:val="nil"/>
              <w:left w:val="single" w:sz="4" w:space="0" w:color="auto"/>
              <w:bottom w:val="single" w:sz="4" w:space="0" w:color="auto"/>
              <w:right w:val="nil"/>
            </w:tcBorders>
            <w:shd w:val="clear" w:color="auto" w:fill="auto"/>
            <w:vAlign w:val="bottom"/>
            <w:hideMark/>
          </w:tcPr>
          <w:p w:rsidR="00C700C1" w:rsidRPr="00C700C1" w:rsidRDefault="00C700C1" w:rsidP="00C31991">
            <w:pPr>
              <w:spacing w:line="240" w:lineRule="auto"/>
              <w:jc w:val="center"/>
              <w:rPr>
                <w:rFonts w:ascii="Calibri" w:eastAsia="Times New Roman" w:hAnsi="Calibri"/>
                <w:sz w:val="22"/>
              </w:rPr>
            </w:pPr>
            <w:r w:rsidRPr="00C700C1">
              <w:rPr>
                <w:rFonts w:ascii="Calibri" w:eastAsia="Times New Roman" w:hAnsi="Calibri"/>
                <w:sz w:val="22"/>
              </w:rPr>
              <w:t>Science Teachers In State</w:t>
            </w:r>
          </w:p>
        </w:tc>
        <w:tc>
          <w:tcPr>
            <w:tcW w:w="1046" w:type="dxa"/>
            <w:tcBorders>
              <w:top w:val="nil"/>
              <w:left w:val="single" w:sz="4" w:space="0" w:color="auto"/>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5179</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5200</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5070</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4923</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4886</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4861</w:t>
            </w:r>
          </w:p>
        </w:tc>
      </w:tr>
      <w:tr w:rsidR="00C700C1" w:rsidRPr="00C700C1" w:rsidTr="0055213A">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700C1" w:rsidRPr="00C700C1" w:rsidRDefault="00C700C1" w:rsidP="00C31991">
            <w:pPr>
              <w:spacing w:line="240" w:lineRule="auto"/>
              <w:jc w:val="center"/>
              <w:rPr>
                <w:rFonts w:ascii="Calibri" w:eastAsia="Times New Roman" w:hAnsi="Calibri"/>
                <w:sz w:val="22"/>
              </w:rPr>
            </w:pPr>
            <w:r w:rsidRPr="00C700C1">
              <w:rPr>
                <w:rFonts w:ascii="Calibri" w:eastAsia="Times New Roman" w:hAnsi="Calibri"/>
                <w:sz w:val="22"/>
              </w:rPr>
              <w:t>Science Teacher Same School to Previous Year</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4378</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4316</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4189</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4080</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3949</w:t>
            </w:r>
          </w:p>
        </w:tc>
      </w:tr>
      <w:tr w:rsidR="00C700C1" w:rsidRPr="00C700C1" w:rsidTr="0055213A">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700C1" w:rsidRPr="00C700C1" w:rsidRDefault="00C700C1"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85%</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83%</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81%</w:t>
            </w:r>
          </w:p>
        </w:tc>
      </w:tr>
      <w:tr w:rsidR="00C700C1" w:rsidRPr="00C700C1" w:rsidTr="0055213A">
        <w:trPr>
          <w:trHeight w:val="300"/>
          <w:jc w:val="center"/>
        </w:trPr>
        <w:tc>
          <w:tcPr>
            <w:tcW w:w="3831" w:type="dxa"/>
            <w:tcBorders>
              <w:top w:val="nil"/>
              <w:left w:val="single" w:sz="4" w:space="0" w:color="auto"/>
              <w:bottom w:val="single" w:sz="4" w:space="0" w:color="auto"/>
              <w:right w:val="nil"/>
            </w:tcBorders>
            <w:shd w:val="clear" w:color="auto" w:fill="auto"/>
            <w:vAlign w:val="bottom"/>
            <w:hideMark/>
          </w:tcPr>
          <w:p w:rsidR="00C700C1" w:rsidRPr="00C700C1" w:rsidRDefault="00C700C1" w:rsidP="00C31991">
            <w:pPr>
              <w:spacing w:line="240" w:lineRule="auto"/>
              <w:jc w:val="center"/>
              <w:rPr>
                <w:rFonts w:ascii="Calibri" w:eastAsia="Times New Roman" w:hAnsi="Calibri"/>
                <w:sz w:val="22"/>
              </w:rPr>
            </w:pPr>
            <w:r w:rsidRPr="00C700C1">
              <w:rPr>
                <w:rFonts w:ascii="Calibri" w:eastAsia="Times New Roman" w:hAnsi="Calibri"/>
                <w:sz w:val="22"/>
              </w:rPr>
              <w:t>Math Teachers In State</w:t>
            </w:r>
          </w:p>
        </w:tc>
        <w:tc>
          <w:tcPr>
            <w:tcW w:w="1046" w:type="dxa"/>
            <w:tcBorders>
              <w:top w:val="nil"/>
              <w:left w:val="single" w:sz="4" w:space="0" w:color="auto"/>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5591</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5548</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5391</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5232</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5238</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5353</w:t>
            </w:r>
          </w:p>
        </w:tc>
      </w:tr>
      <w:tr w:rsidR="00C700C1" w:rsidRPr="00C700C1" w:rsidTr="0055213A">
        <w:trPr>
          <w:trHeight w:val="300"/>
          <w:jc w:val="center"/>
        </w:trPr>
        <w:tc>
          <w:tcPr>
            <w:tcW w:w="3831" w:type="dxa"/>
            <w:vMerge w:val="restart"/>
            <w:tcBorders>
              <w:top w:val="nil"/>
              <w:left w:val="single" w:sz="4" w:space="0" w:color="auto"/>
              <w:bottom w:val="single" w:sz="4" w:space="0" w:color="000000"/>
              <w:right w:val="single" w:sz="4" w:space="0" w:color="auto"/>
            </w:tcBorders>
            <w:shd w:val="clear" w:color="auto" w:fill="auto"/>
            <w:vAlign w:val="center"/>
            <w:hideMark/>
          </w:tcPr>
          <w:p w:rsidR="00C700C1" w:rsidRPr="00C700C1" w:rsidRDefault="00C700C1" w:rsidP="00C31991">
            <w:pPr>
              <w:spacing w:line="240" w:lineRule="auto"/>
              <w:jc w:val="center"/>
              <w:rPr>
                <w:rFonts w:ascii="Calibri" w:eastAsia="Times New Roman" w:hAnsi="Calibri"/>
                <w:sz w:val="22"/>
              </w:rPr>
            </w:pPr>
            <w:r w:rsidRPr="00C700C1">
              <w:rPr>
                <w:rFonts w:ascii="Calibri" w:eastAsia="Times New Roman" w:hAnsi="Calibri"/>
                <w:sz w:val="22"/>
              </w:rPr>
              <w:t>Math Teacher Same School to Previous Year</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sz w:val="22"/>
              </w:rPr>
            </w:pPr>
            <w:r w:rsidRPr="00C700C1">
              <w:rPr>
                <w:rFonts w:ascii="Calibri" w:eastAsia="Times New Roman" w:hAnsi="Calibri"/>
                <w:sz w:val="22"/>
              </w:rPr>
              <w:t> </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4612</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4522</w:t>
            </w:r>
          </w:p>
        </w:tc>
        <w:tc>
          <w:tcPr>
            <w:tcW w:w="1046" w:type="dxa"/>
            <w:tcBorders>
              <w:top w:val="nil"/>
              <w:left w:val="nil"/>
              <w:bottom w:val="nil"/>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4373</w:t>
            </w:r>
          </w:p>
        </w:tc>
        <w:tc>
          <w:tcPr>
            <w:tcW w:w="1046" w:type="dxa"/>
            <w:tcBorders>
              <w:top w:val="nil"/>
              <w:left w:val="nil"/>
              <w:bottom w:val="nil"/>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4291</w:t>
            </w:r>
          </w:p>
        </w:tc>
        <w:tc>
          <w:tcPr>
            <w:tcW w:w="1046" w:type="dxa"/>
            <w:tcBorders>
              <w:top w:val="nil"/>
              <w:left w:val="nil"/>
              <w:bottom w:val="nil"/>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sz w:val="22"/>
              </w:rPr>
            </w:pPr>
            <w:r w:rsidRPr="00C700C1">
              <w:rPr>
                <w:rFonts w:ascii="Calibri" w:eastAsia="Times New Roman" w:hAnsi="Calibri"/>
                <w:sz w:val="22"/>
              </w:rPr>
              <w:t>4217</w:t>
            </w:r>
          </w:p>
        </w:tc>
      </w:tr>
      <w:tr w:rsidR="00C700C1" w:rsidRPr="00C700C1" w:rsidTr="0055213A">
        <w:trPr>
          <w:trHeight w:val="300"/>
          <w:jc w:val="center"/>
        </w:trPr>
        <w:tc>
          <w:tcPr>
            <w:tcW w:w="3831" w:type="dxa"/>
            <w:vMerge/>
            <w:tcBorders>
              <w:top w:val="nil"/>
              <w:left w:val="single" w:sz="4" w:space="0" w:color="auto"/>
              <w:bottom w:val="single" w:sz="4" w:space="0" w:color="000000"/>
              <w:right w:val="single" w:sz="4" w:space="0" w:color="auto"/>
            </w:tcBorders>
            <w:vAlign w:val="center"/>
            <w:hideMark/>
          </w:tcPr>
          <w:p w:rsidR="00C700C1" w:rsidRPr="00C700C1" w:rsidRDefault="00C700C1" w:rsidP="00C31991">
            <w:pPr>
              <w:spacing w:line="240" w:lineRule="auto"/>
              <w:rPr>
                <w:rFonts w:ascii="Calibri" w:eastAsia="Times New Roman" w:hAnsi="Calibri"/>
                <w:sz w:val="22"/>
              </w:rPr>
            </w:pP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rPr>
                <w:rFonts w:ascii="Calibri" w:eastAsia="Times New Roman" w:hAnsi="Calibri"/>
                <w:b/>
                <w:bCs/>
                <w:sz w:val="22"/>
              </w:rPr>
            </w:pPr>
            <w:r w:rsidRPr="00C700C1">
              <w:rPr>
                <w:rFonts w:ascii="Calibri" w:eastAsia="Times New Roman" w:hAnsi="Calibri"/>
                <w:b/>
                <w:bCs/>
                <w:sz w:val="22"/>
              </w:rPr>
              <w:t> </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82%</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82%</w:t>
            </w:r>
          </w:p>
        </w:tc>
        <w:tc>
          <w:tcPr>
            <w:tcW w:w="1046" w:type="dxa"/>
            <w:tcBorders>
              <w:top w:val="nil"/>
              <w:left w:val="nil"/>
              <w:bottom w:val="single" w:sz="4" w:space="0" w:color="auto"/>
              <w:right w:val="nil"/>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81%</w:t>
            </w:r>
          </w:p>
        </w:tc>
        <w:tc>
          <w:tcPr>
            <w:tcW w:w="1046" w:type="dxa"/>
            <w:tcBorders>
              <w:top w:val="nil"/>
              <w:left w:val="nil"/>
              <w:bottom w:val="single" w:sz="4" w:space="0" w:color="auto"/>
              <w:right w:val="nil"/>
            </w:tcBorders>
            <w:shd w:val="clear" w:color="000000" w:fill="F2F2F2"/>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82%</w:t>
            </w:r>
          </w:p>
        </w:tc>
        <w:tc>
          <w:tcPr>
            <w:tcW w:w="1046" w:type="dxa"/>
            <w:tcBorders>
              <w:top w:val="nil"/>
              <w:left w:val="nil"/>
              <w:bottom w:val="single" w:sz="4" w:space="0" w:color="auto"/>
              <w:right w:val="single" w:sz="4" w:space="0" w:color="auto"/>
            </w:tcBorders>
            <w:shd w:val="clear" w:color="auto" w:fill="auto"/>
            <w:noWrap/>
            <w:vAlign w:val="bottom"/>
            <w:hideMark/>
          </w:tcPr>
          <w:p w:rsidR="00C700C1" w:rsidRPr="00C700C1" w:rsidRDefault="00C700C1" w:rsidP="00C31991">
            <w:pPr>
              <w:spacing w:line="240" w:lineRule="auto"/>
              <w:jc w:val="right"/>
              <w:rPr>
                <w:rFonts w:ascii="Calibri" w:eastAsia="Times New Roman" w:hAnsi="Calibri"/>
                <w:b/>
                <w:bCs/>
                <w:sz w:val="22"/>
              </w:rPr>
            </w:pPr>
            <w:r w:rsidRPr="00C700C1">
              <w:rPr>
                <w:rFonts w:ascii="Calibri" w:eastAsia="Times New Roman" w:hAnsi="Calibri"/>
                <w:b/>
                <w:bCs/>
                <w:sz w:val="22"/>
              </w:rPr>
              <w:t>81%</w:t>
            </w:r>
          </w:p>
        </w:tc>
      </w:tr>
    </w:tbl>
    <w:p w:rsidR="00C700C1" w:rsidRDefault="00C700C1" w:rsidP="0045046B">
      <w:pPr>
        <w:rPr>
          <w:b/>
          <w:u w:val="single"/>
        </w:rPr>
      </w:pPr>
    </w:p>
    <w:sectPr w:rsidR="00C700C1" w:rsidSect="00DA702B">
      <w:headerReference w:type="even" r:id="rId10"/>
      <w:headerReference w:type="default" r:id="rId11"/>
      <w:footerReference w:type="even" r:id="rId12"/>
      <w:footerReference w:type="default" r:id="rId13"/>
      <w:headerReference w:type="first" r:id="rId14"/>
      <w:footerReference w:type="first" r:id="rId15"/>
      <w:type w:val="continuous"/>
      <w:pgSz w:w="12240" w:h="15840"/>
      <w:pgMar w:top="720" w:right="1080" w:bottom="576"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2505" w:rsidRDefault="00C92505" w:rsidP="00C03FCC">
      <w:pPr>
        <w:spacing w:line="240" w:lineRule="auto"/>
      </w:pPr>
      <w:r>
        <w:separator/>
      </w:r>
    </w:p>
  </w:endnote>
  <w:endnote w:type="continuationSeparator" w:id="0">
    <w:p w:rsidR="00C92505" w:rsidRDefault="00C92505" w:rsidP="00C03FCC">
      <w:pPr>
        <w:spacing w:line="240" w:lineRule="auto"/>
      </w:pPr>
      <w:r>
        <w:continuationSeparator/>
      </w:r>
    </w:p>
  </w:endnote>
  <w:endnote w:id="1">
    <w:p w:rsidR="00A65C39" w:rsidRDefault="00A65C39">
      <w:pPr>
        <w:pStyle w:val="EndnoteText"/>
      </w:pPr>
      <w:r>
        <w:rPr>
          <w:rStyle w:val="EndnoteReference"/>
        </w:rPr>
        <w:endnoteRef/>
      </w:r>
      <w:r>
        <w:t xml:space="preserve"> 21</w:t>
      </w:r>
      <w:r w:rsidRPr="00A65C39">
        <w:rPr>
          <w:vertAlign w:val="superscript"/>
        </w:rPr>
        <w:t>st</w:t>
      </w:r>
      <w:r>
        <w:t xml:space="preserve"> Century Center for Research and Development in Cognition and Science Instruction (IES award# </w:t>
      </w:r>
      <w:r w:rsidRPr="00A65C39">
        <w:t>R305C080009</w:t>
      </w:r>
      <w:r>
        <w:t>)</w:t>
      </w:r>
    </w:p>
  </w:endnote>
  <w:endnote w:id="2">
    <w:p w:rsidR="00C278E6" w:rsidRPr="00C278E6" w:rsidRDefault="00C278E6">
      <w:pPr>
        <w:pStyle w:val="EndnoteText"/>
        <w:rPr>
          <w:i/>
        </w:rPr>
      </w:pPr>
      <w:r>
        <w:rPr>
          <w:rStyle w:val="EndnoteReference"/>
        </w:rPr>
        <w:endnoteRef/>
      </w:r>
      <w:r>
        <w:t xml:space="preserve"> </w:t>
      </w:r>
      <w:r w:rsidRPr="00C278E6">
        <w:t>Boruch</w:t>
      </w:r>
      <w:r>
        <w:t xml:space="preserve">, Merlino, Baker, Bowden, Chao, Park, &amp; Porter, </w:t>
      </w:r>
      <w:r>
        <w:rPr>
          <w:i/>
        </w:rPr>
        <w:t>in review</w:t>
      </w:r>
    </w:p>
  </w:endnote>
  <w:endnote w:id="3">
    <w:p w:rsidR="00591D9E" w:rsidRDefault="00591D9E">
      <w:pPr>
        <w:pStyle w:val="EndnoteText"/>
      </w:pPr>
      <w:r>
        <w:rPr>
          <w:rStyle w:val="EndnoteReference"/>
        </w:rPr>
        <w:endnoteRef/>
      </w:r>
      <w:r>
        <w:t xml:space="preserve"> Elementary teachers are identified as both math and science teachers.</w:t>
      </w:r>
    </w:p>
  </w:endnote>
  <w:endnote w:id="4">
    <w:p w:rsidR="00A22DD8" w:rsidRDefault="00A22DD8">
      <w:pPr>
        <w:pStyle w:val="EndnoteText"/>
      </w:pPr>
      <w:r>
        <w:rPr>
          <w:rStyle w:val="EndnoteReference"/>
        </w:rPr>
        <w:endnoteRef/>
      </w:r>
      <w:r>
        <w:t xml:space="preserve"> Ohio charter school</w:t>
      </w:r>
      <w:r w:rsidR="00C31991">
        <w:t>s</w:t>
      </w:r>
      <w:r>
        <w:t xml:space="preserve"> are referred to as both “charter” and community” schools. For simplicity, we will refer to both types of schools as charter schools.</w:t>
      </w:r>
    </w:p>
  </w:endnote>
  <w:endnote w:id="5">
    <w:p w:rsidR="00591D9E" w:rsidRDefault="00591D9E">
      <w:pPr>
        <w:pStyle w:val="EndnoteText"/>
      </w:pPr>
      <w:r>
        <w:rPr>
          <w:rStyle w:val="EndnoteReference"/>
        </w:rPr>
        <w:endnoteRef/>
      </w:r>
      <w:r>
        <w:t xml:space="preserve"> “No replacement” means that once a teacher transfers schools</w:t>
      </w:r>
      <w:r w:rsidR="00C31991">
        <w:t xml:space="preserve"> or districts</w:t>
      </w:r>
      <w:r>
        <w:t>, he/she</w:t>
      </w:r>
      <w:r w:rsidR="00C31991">
        <w:t xml:space="preserve"> cannot re-enter the database at</w:t>
      </w:r>
      <w:r>
        <w:t xml:space="preserve"> </w:t>
      </w:r>
      <w:r w:rsidR="00C31991">
        <w:t xml:space="preserve">that school or district at </w:t>
      </w:r>
      <w:r>
        <w:t>a later date.</w:t>
      </w:r>
    </w:p>
  </w:endnote>
  <w:endnote w:id="6">
    <w:p w:rsidR="00591D9E" w:rsidRDefault="00591D9E">
      <w:pPr>
        <w:pStyle w:val="EndnoteText"/>
      </w:pPr>
      <w:r>
        <w:rPr>
          <w:rStyle w:val="EndnoteReference"/>
        </w:rPr>
        <w:endnoteRef/>
      </w:r>
      <w:r>
        <w:t xml:space="preserve"> “With replacement” means that a teacher can reenter the database if he/she returns to his/her original school</w:t>
      </w:r>
      <w:r w:rsidR="00C31991">
        <w:t>/district</w:t>
      </w:r>
      <w:r>
        <w:t xml:space="preserve"> after leaving.</w:t>
      </w:r>
    </w:p>
  </w:endnote>
  <w:endnote w:id="7">
    <w:p w:rsidR="00591D9E" w:rsidRDefault="00591D9E">
      <w:pPr>
        <w:pStyle w:val="EndnoteText"/>
      </w:pPr>
      <w:r>
        <w:rPr>
          <w:rStyle w:val="EndnoteReference"/>
        </w:rPr>
        <w:endnoteRef/>
      </w:r>
      <w:r>
        <w:t xml:space="preserve"> </w:t>
      </w:r>
      <w:r w:rsidR="00C31991">
        <w:t>Year-to-year</w:t>
      </w:r>
      <w:r>
        <w:t xml:space="preserve"> analysis includes all available teachers from one year and reports retention in the following year.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F8E" w:rsidRDefault="00E32F8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3200202"/>
      <w:docPartObj>
        <w:docPartGallery w:val="Page Numbers (Bottom of Page)"/>
        <w:docPartUnique/>
      </w:docPartObj>
    </w:sdtPr>
    <w:sdtEndPr>
      <w:rPr>
        <w:noProof/>
      </w:rPr>
    </w:sdtEndPr>
    <w:sdtContent>
      <w:p w:rsidR="00E32F8E" w:rsidRDefault="00E32F8E">
        <w:pPr>
          <w:pStyle w:val="Footer"/>
          <w:jc w:val="center"/>
        </w:pPr>
        <w:r>
          <w:fldChar w:fldCharType="begin"/>
        </w:r>
        <w:r>
          <w:instrText xml:space="preserve"> PAGE   \* MERGEFORMAT </w:instrText>
        </w:r>
        <w:r>
          <w:fldChar w:fldCharType="separate"/>
        </w:r>
        <w:r w:rsidR="00FB0DA8">
          <w:rPr>
            <w:noProof/>
          </w:rPr>
          <w:t>2</w:t>
        </w:r>
        <w:r>
          <w:rPr>
            <w:noProof/>
          </w:rPr>
          <w:fldChar w:fldCharType="end"/>
        </w:r>
      </w:p>
    </w:sdtContent>
  </w:sdt>
  <w:p w:rsidR="00591D9E" w:rsidRDefault="00591D9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F8E" w:rsidRDefault="00E32F8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2505" w:rsidRDefault="00C92505" w:rsidP="00C03FCC">
      <w:pPr>
        <w:spacing w:line="240" w:lineRule="auto"/>
      </w:pPr>
      <w:r>
        <w:separator/>
      </w:r>
    </w:p>
  </w:footnote>
  <w:footnote w:type="continuationSeparator" w:id="0">
    <w:p w:rsidR="00C92505" w:rsidRDefault="00C92505" w:rsidP="00C03FC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F8E" w:rsidRDefault="00E32F8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F8E" w:rsidRDefault="00E32F8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2F8E" w:rsidRDefault="00E32F8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B002AC"/>
    <w:multiLevelType w:val="hybridMultilevel"/>
    <w:tmpl w:val="D430CD72"/>
    <w:lvl w:ilvl="0" w:tplc="5210CA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B2666B1"/>
    <w:multiLevelType w:val="hybridMultilevel"/>
    <w:tmpl w:val="DCCC0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2E57EA0"/>
    <w:multiLevelType w:val="hybridMultilevel"/>
    <w:tmpl w:val="43BA8FEC"/>
    <w:lvl w:ilvl="0" w:tplc="E82EBF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ECF"/>
    <w:rsid w:val="0001248E"/>
    <w:rsid w:val="00023529"/>
    <w:rsid w:val="000A792E"/>
    <w:rsid w:val="000F484C"/>
    <w:rsid w:val="001137BC"/>
    <w:rsid w:val="00142C6C"/>
    <w:rsid w:val="0014648A"/>
    <w:rsid w:val="001B1671"/>
    <w:rsid w:val="001D7F55"/>
    <w:rsid w:val="001E1AC0"/>
    <w:rsid w:val="00227617"/>
    <w:rsid w:val="00272D3A"/>
    <w:rsid w:val="002B249E"/>
    <w:rsid w:val="002D6DEA"/>
    <w:rsid w:val="00336A9D"/>
    <w:rsid w:val="0034424D"/>
    <w:rsid w:val="003554F0"/>
    <w:rsid w:val="003902C6"/>
    <w:rsid w:val="003F5CBE"/>
    <w:rsid w:val="0045046B"/>
    <w:rsid w:val="004C6079"/>
    <w:rsid w:val="00515358"/>
    <w:rsid w:val="005516AB"/>
    <w:rsid w:val="0055213A"/>
    <w:rsid w:val="00564F41"/>
    <w:rsid w:val="00565F5B"/>
    <w:rsid w:val="00584788"/>
    <w:rsid w:val="00591D9E"/>
    <w:rsid w:val="00597102"/>
    <w:rsid w:val="005A07C2"/>
    <w:rsid w:val="005B4423"/>
    <w:rsid w:val="005C1A73"/>
    <w:rsid w:val="005F7ECF"/>
    <w:rsid w:val="00661B45"/>
    <w:rsid w:val="006963BA"/>
    <w:rsid w:val="006A6141"/>
    <w:rsid w:val="00702F83"/>
    <w:rsid w:val="007205DC"/>
    <w:rsid w:val="00736058"/>
    <w:rsid w:val="007C404D"/>
    <w:rsid w:val="00833E7F"/>
    <w:rsid w:val="00851337"/>
    <w:rsid w:val="00851D3E"/>
    <w:rsid w:val="008605F7"/>
    <w:rsid w:val="00893A94"/>
    <w:rsid w:val="008C26EB"/>
    <w:rsid w:val="008C7108"/>
    <w:rsid w:val="009152B4"/>
    <w:rsid w:val="00975D26"/>
    <w:rsid w:val="009967B0"/>
    <w:rsid w:val="00A22DD8"/>
    <w:rsid w:val="00A65C39"/>
    <w:rsid w:val="00A90E16"/>
    <w:rsid w:val="00AA1894"/>
    <w:rsid w:val="00AA7204"/>
    <w:rsid w:val="00AE19F3"/>
    <w:rsid w:val="00B116EE"/>
    <w:rsid w:val="00B1304C"/>
    <w:rsid w:val="00B1743A"/>
    <w:rsid w:val="00BB3CF8"/>
    <w:rsid w:val="00BC7E6B"/>
    <w:rsid w:val="00BE03F7"/>
    <w:rsid w:val="00BF2924"/>
    <w:rsid w:val="00C03FCC"/>
    <w:rsid w:val="00C12354"/>
    <w:rsid w:val="00C278E6"/>
    <w:rsid w:val="00C31991"/>
    <w:rsid w:val="00C361D6"/>
    <w:rsid w:val="00C36EA9"/>
    <w:rsid w:val="00C63909"/>
    <w:rsid w:val="00C67B00"/>
    <w:rsid w:val="00C700C1"/>
    <w:rsid w:val="00C83C05"/>
    <w:rsid w:val="00C92505"/>
    <w:rsid w:val="00C94926"/>
    <w:rsid w:val="00D12B24"/>
    <w:rsid w:val="00DA26B0"/>
    <w:rsid w:val="00DA702B"/>
    <w:rsid w:val="00DD052D"/>
    <w:rsid w:val="00DE0B17"/>
    <w:rsid w:val="00DE6718"/>
    <w:rsid w:val="00E20425"/>
    <w:rsid w:val="00E32CDE"/>
    <w:rsid w:val="00E32F8E"/>
    <w:rsid w:val="00E42BC2"/>
    <w:rsid w:val="00E7624D"/>
    <w:rsid w:val="00EB31AB"/>
    <w:rsid w:val="00ED5DB7"/>
    <w:rsid w:val="00F146BE"/>
    <w:rsid w:val="00F63175"/>
    <w:rsid w:val="00F93C8E"/>
    <w:rsid w:val="00FB0DA8"/>
    <w:rsid w:val="00FC13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37BC"/>
    <w:rPr>
      <w:color w:val="0000FF" w:themeColor="hyperlink"/>
      <w:u w:val="single"/>
    </w:rPr>
  </w:style>
  <w:style w:type="paragraph" w:styleId="BalloonText">
    <w:name w:val="Balloon Text"/>
    <w:basedOn w:val="Normal"/>
    <w:link w:val="BalloonTextChar"/>
    <w:uiPriority w:val="99"/>
    <w:semiHidden/>
    <w:unhideWhenUsed/>
    <w:rsid w:val="00C03F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3FCC"/>
    <w:rPr>
      <w:rFonts w:ascii="Tahoma" w:hAnsi="Tahoma" w:cs="Tahoma"/>
      <w:sz w:val="16"/>
      <w:szCs w:val="16"/>
    </w:rPr>
  </w:style>
  <w:style w:type="paragraph" w:styleId="FootnoteText">
    <w:name w:val="footnote text"/>
    <w:basedOn w:val="Normal"/>
    <w:link w:val="FootnoteTextChar"/>
    <w:uiPriority w:val="99"/>
    <w:semiHidden/>
    <w:unhideWhenUsed/>
    <w:rsid w:val="00C03FCC"/>
    <w:pPr>
      <w:spacing w:line="240" w:lineRule="auto"/>
    </w:pPr>
    <w:rPr>
      <w:sz w:val="20"/>
      <w:szCs w:val="20"/>
    </w:rPr>
  </w:style>
  <w:style w:type="character" w:customStyle="1" w:styleId="FootnoteTextChar">
    <w:name w:val="Footnote Text Char"/>
    <w:basedOn w:val="DefaultParagraphFont"/>
    <w:link w:val="FootnoteText"/>
    <w:uiPriority w:val="99"/>
    <w:semiHidden/>
    <w:rsid w:val="00C03FCC"/>
    <w:rPr>
      <w:sz w:val="20"/>
      <w:szCs w:val="20"/>
    </w:rPr>
  </w:style>
  <w:style w:type="character" w:styleId="FootnoteReference">
    <w:name w:val="footnote reference"/>
    <w:basedOn w:val="DefaultParagraphFont"/>
    <w:uiPriority w:val="99"/>
    <w:semiHidden/>
    <w:unhideWhenUsed/>
    <w:rsid w:val="00C03FCC"/>
    <w:rPr>
      <w:vertAlign w:val="superscript"/>
    </w:rPr>
  </w:style>
  <w:style w:type="paragraph" w:styleId="EndnoteText">
    <w:name w:val="endnote text"/>
    <w:basedOn w:val="Normal"/>
    <w:link w:val="EndnoteTextChar"/>
    <w:uiPriority w:val="99"/>
    <w:unhideWhenUsed/>
    <w:rsid w:val="00C03FCC"/>
    <w:pPr>
      <w:spacing w:line="240" w:lineRule="auto"/>
    </w:pPr>
    <w:rPr>
      <w:sz w:val="20"/>
      <w:szCs w:val="20"/>
    </w:rPr>
  </w:style>
  <w:style w:type="character" w:customStyle="1" w:styleId="EndnoteTextChar">
    <w:name w:val="Endnote Text Char"/>
    <w:basedOn w:val="DefaultParagraphFont"/>
    <w:link w:val="EndnoteText"/>
    <w:uiPriority w:val="99"/>
    <w:rsid w:val="00C03FCC"/>
    <w:rPr>
      <w:sz w:val="20"/>
      <w:szCs w:val="20"/>
    </w:rPr>
  </w:style>
  <w:style w:type="character" w:styleId="EndnoteReference">
    <w:name w:val="endnote reference"/>
    <w:basedOn w:val="DefaultParagraphFont"/>
    <w:uiPriority w:val="99"/>
    <w:semiHidden/>
    <w:unhideWhenUsed/>
    <w:rsid w:val="00C03FCC"/>
    <w:rPr>
      <w:vertAlign w:val="superscript"/>
    </w:rPr>
  </w:style>
  <w:style w:type="paragraph" w:styleId="Header">
    <w:name w:val="header"/>
    <w:basedOn w:val="Normal"/>
    <w:link w:val="HeaderChar"/>
    <w:uiPriority w:val="99"/>
    <w:unhideWhenUsed/>
    <w:rsid w:val="006A6141"/>
    <w:pPr>
      <w:tabs>
        <w:tab w:val="center" w:pos="4680"/>
        <w:tab w:val="right" w:pos="9360"/>
      </w:tabs>
      <w:spacing w:line="240" w:lineRule="auto"/>
    </w:pPr>
  </w:style>
  <w:style w:type="character" w:customStyle="1" w:styleId="HeaderChar">
    <w:name w:val="Header Char"/>
    <w:basedOn w:val="DefaultParagraphFont"/>
    <w:link w:val="Header"/>
    <w:uiPriority w:val="99"/>
    <w:rsid w:val="006A6141"/>
  </w:style>
  <w:style w:type="paragraph" w:styleId="Footer">
    <w:name w:val="footer"/>
    <w:basedOn w:val="Normal"/>
    <w:link w:val="FooterChar"/>
    <w:uiPriority w:val="99"/>
    <w:unhideWhenUsed/>
    <w:rsid w:val="006A6141"/>
    <w:pPr>
      <w:tabs>
        <w:tab w:val="center" w:pos="4680"/>
        <w:tab w:val="right" w:pos="9360"/>
      </w:tabs>
      <w:spacing w:line="240" w:lineRule="auto"/>
    </w:pPr>
  </w:style>
  <w:style w:type="character" w:customStyle="1" w:styleId="FooterChar">
    <w:name w:val="Footer Char"/>
    <w:basedOn w:val="DefaultParagraphFont"/>
    <w:link w:val="Footer"/>
    <w:uiPriority w:val="99"/>
    <w:rsid w:val="006A6141"/>
  </w:style>
  <w:style w:type="character" w:styleId="FollowedHyperlink">
    <w:name w:val="FollowedHyperlink"/>
    <w:basedOn w:val="DefaultParagraphFont"/>
    <w:uiPriority w:val="99"/>
    <w:semiHidden/>
    <w:unhideWhenUsed/>
    <w:rsid w:val="00C700C1"/>
    <w:rPr>
      <w:color w:val="800080" w:themeColor="followedHyperlink"/>
      <w:u w:val="single"/>
    </w:rPr>
  </w:style>
  <w:style w:type="character" w:styleId="CommentReference">
    <w:name w:val="annotation reference"/>
    <w:basedOn w:val="DefaultParagraphFont"/>
    <w:uiPriority w:val="99"/>
    <w:semiHidden/>
    <w:unhideWhenUsed/>
    <w:rsid w:val="00597102"/>
    <w:rPr>
      <w:sz w:val="16"/>
      <w:szCs w:val="16"/>
    </w:rPr>
  </w:style>
  <w:style w:type="paragraph" w:styleId="CommentText">
    <w:name w:val="annotation text"/>
    <w:basedOn w:val="Normal"/>
    <w:link w:val="CommentTextChar"/>
    <w:uiPriority w:val="99"/>
    <w:semiHidden/>
    <w:unhideWhenUsed/>
    <w:rsid w:val="00597102"/>
    <w:pPr>
      <w:spacing w:line="240" w:lineRule="auto"/>
    </w:pPr>
    <w:rPr>
      <w:sz w:val="20"/>
      <w:szCs w:val="20"/>
    </w:rPr>
  </w:style>
  <w:style w:type="character" w:customStyle="1" w:styleId="CommentTextChar">
    <w:name w:val="Comment Text Char"/>
    <w:basedOn w:val="DefaultParagraphFont"/>
    <w:link w:val="CommentText"/>
    <w:uiPriority w:val="99"/>
    <w:semiHidden/>
    <w:rsid w:val="00597102"/>
    <w:rPr>
      <w:sz w:val="20"/>
      <w:szCs w:val="20"/>
    </w:rPr>
  </w:style>
  <w:style w:type="paragraph" w:styleId="CommentSubject">
    <w:name w:val="annotation subject"/>
    <w:basedOn w:val="CommentText"/>
    <w:next w:val="CommentText"/>
    <w:link w:val="CommentSubjectChar"/>
    <w:uiPriority w:val="99"/>
    <w:semiHidden/>
    <w:unhideWhenUsed/>
    <w:rsid w:val="00597102"/>
    <w:rPr>
      <w:b/>
      <w:bCs/>
    </w:rPr>
  </w:style>
  <w:style w:type="character" w:customStyle="1" w:styleId="CommentSubjectChar">
    <w:name w:val="Comment Subject Char"/>
    <w:basedOn w:val="CommentTextChar"/>
    <w:link w:val="CommentSubject"/>
    <w:uiPriority w:val="99"/>
    <w:semiHidden/>
    <w:rsid w:val="00597102"/>
    <w:rPr>
      <w:b/>
      <w:bCs/>
      <w:sz w:val="20"/>
      <w:szCs w:val="20"/>
    </w:rPr>
  </w:style>
  <w:style w:type="paragraph" w:styleId="ListParagraph">
    <w:name w:val="List Paragraph"/>
    <w:basedOn w:val="Normal"/>
    <w:uiPriority w:val="34"/>
    <w:qFormat/>
    <w:rsid w:val="00C67B0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37BC"/>
    <w:rPr>
      <w:color w:val="0000FF" w:themeColor="hyperlink"/>
      <w:u w:val="single"/>
    </w:rPr>
  </w:style>
  <w:style w:type="paragraph" w:styleId="BalloonText">
    <w:name w:val="Balloon Text"/>
    <w:basedOn w:val="Normal"/>
    <w:link w:val="BalloonTextChar"/>
    <w:uiPriority w:val="99"/>
    <w:semiHidden/>
    <w:unhideWhenUsed/>
    <w:rsid w:val="00C03F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3FCC"/>
    <w:rPr>
      <w:rFonts w:ascii="Tahoma" w:hAnsi="Tahoma" w:cs="Tahoma"/>
      <w:sz w:val="16"/>
      <w:szCs w:val="16"/>
    </w:rPr>
  </w:style>
  <w:style w:type="paragraph" w:styleId="FootnoteText">
    <w:name w:val="footnote text"/>
    <w:basedOn w:val="Normal"/>
    <w:link w:val="FootnoteTextChar"/>
    <w:uiPriority w:val="99"/>
    <w:semiHidden/>
    <w:unhideWhenUsed/>
    <w:rsid w:val="00C03FCC"/>
    <w:pPr>
      <w:spacing w:line="240" w:lineRule="auto"/>
    </w:pPr>
    <w:rPr>
      <w:sz w:val="20"/>
      <w:szCs w:val="20"/>
    </w:rPr>
  </w:style>
  <w:style w:type="character" w:customStyle="1" w:styleId="FootnoteTextChar">
    <w:name w:val="Footnote Text Char"/>
    <w:basedOn w:val="DefaultParagraphFont"/>
    <w:link w:val="FootnoteText"/>
    <w:uiPriority w:val="99"/>
    <w:semiHidden/>
    <w:rsid w:val="00C03FCC"/>
    <w:rPr>
      <w:sz w:val="20"/>
      <w:szCs w:val="20"/>
    </w:rPr>
  </w:style>
  <w:style w:type="character" w:styleId="FootnoteReference">
    <w:name w:val="footnote reference"/>
    <w:basedOn w:val="DefaultParagraphFont"/>
    <w:uiPriority w:val="99"/>
    <w:semiHidden/>
    <w:unhideWhenUsed/>
    <w:rsid w:val="00C03FCC"/>
    <w:rPr>
      <w:vertAlign w:val="superscript"/>
    </w:rPr>
  </w:style>
  <w:style w:type="paragraph" w:styleId="EndnoteText">
    <w:name w:val="endnote text"/>
    <w:basedOn w:val="Normal"/>
    <w:link w:val="EndnoteTextChar"/>
    <w:uiPriority w:val="99"/>
    <w:unhideWhenUsed/>
    <w:rsid w:val="00C03FCC"/>
    <w:pPr>
      <w:spacing w:line="240" w:lineRule="auto"/>
    </w:pPr>
    <w:rPr>
      <w:sz w:val="20"/>
      <w:szCs w:val="20"/>
    </w:rPr>
  </w:style>
  <w:style w:type="character" w:customStyle="1" w:styleId="EndnoteTextChar">
    <w:name w:val="Endnote Text Char"/>
    <w:basedOn w:val="DefaultParagraphFont"/>
    <w:link w:val="EndnoteText"/>
    <w:uiPriority w:val="99"/>
    <w:rsid w:val="00C03FCC"/>
    <w:rPr>
      <w:sz w:val="20"/>
      <w:szCs w:val="20"/>
    </w:rPr>
  </w:style>
  <w:style w:type="character" w:styleId="EndnoteReference">
    <w:name w:val="endnote reference"/>
    <w:basedOn w:val="DefaultParagraphFont"/>
    <w:uiPriority w:val="99"/>
    <w:semiHidden/>
    <w:unhideWhenUsed/>
    <w:rsid w:val="00C03FCC"/>
    <w:rPr>
      <w:vertAlign w:val="superscript"/>
    </w:rPr>
  </w:style>
  <w:style w:type="paragraph" w:styleId="Header">
    <w:name w:val="header"/>
    <w:basedOn w:val="Normal"/>
    <w:link w:val="HeaderChar"/>
    <w:uiPriority w:val="99"/>
    <w:unhideWhenUsed/>
    <w:rsid w:val="006A6141"/>
    <w:pPr>
      <w:tabs>
        <w:tab w:val="center" w:pos="4680"/>
        <w:tab w:val="right" w:pos="9360"/>
      </w:tabs>
      <w:spacing w:line="240" w:lineRule="auto"/>
    </w:pPr>
  </w:style>
  <w:style w:type="character" w:customStyle="1" w:styleId="HeaderChar">
    <w:name w:val="Header Char"/>
    <w:basedOn w:val="DefaultParagraphFont"/>
    <w:link w:val="Header"/>
    <w:uiPriority w:val="99"/>
    <w:rsid w:val="006A6141"/>
  </w:style>
  <w:style w:type="paragraph" w:styleId="Footer">
    <w:name w:val="footer"/>
    <w:basedOn w:val="Normal"/>
    <w:link w:val="FooterChar"/>
    <w:uiPriority w:val="99"/>
    <w:unhideWhenUsed/>
    <w:rsid w:val="006A6141"/>
    <w:pPr>
      <w:tabs>
        <w:tab w:val="center" w:pos="4680"/>
        <w:tab w:val="right" w:pos="9360"/>
      </w:tabs>
      <w:spacing w:line="240" w:lineRule="auto"/>
    </w:pPr>
  </w:style>
  <w:style w:type="character" w:customStyle="1" w:styleId="FooterChar">
    <w:name w:val="Footer Char"/>
    <w:basedOn w:val="DefaultParagraphFont"/>
    <w:link w:val="Footer"/>
    <w:uiPriority w:val="99"/>
    <w:rsid w:val="006A6141"/>
  </w:style>
  <w:style w:type="character" w:styleId="FollowedHyperlink">
    <w:name w:val="FollowedHyperlink"/>
    <w:basedOn w:val="DefaultParagraphFont"/>
    <w:uiPriority w:val="99"/>
    <w:semiHidden/>
    <w:unhideWhenUsed/>
    <w:rsid w:val="00C700C1"/>
    <w:rPr>
      <w:color w:val="800080" w:themeColor="followedHyperlink"/>
      <w:u w:val="single"/>
    </w:rPr>
  </w:style>
  <w:style w:type="character" w:styleId="CommentReference">
    <w:name w:val="annotation reference"/>
    <w:basedOn w:val="DefaultParagraphFont"/>
    <w:uiPriority w:val="99"/>
    <w:semiHidden/>
    <w:unhideWhenUsed/>
    <w:rsid w:val="00597102"/>
    <w:rPr>
      <w:sz w:val="16"/>
      <w:szCs w:val="16"/>
    </w:rPr>
  </w:style>
  <w:style w:type="paragraph" w:styleId="CommentText">
    <w:name w:val="annotation text"/>
    <w:basedOn w:val="Normal"/>
    <w:link w:val="CommentTextChar"/>
    <w:uiPriority w:val="99"/>
    <w:semiHidden/>
    <w:unhideWhenUsed/>
    <w:rsid w:val="00597102"/>
    <w:pPr>
      <w:spacing w:line="240" w:lineRule="auto"/>
    </w:pPr>
    <w:rPr>
      <w:sz w:val="20"/>
      <w:szCs w:val="20"/>
    </w:rPr>
  </w:style>
  <w:style w:type="character" w:customStyle="1" w:styleId="CommentTextChar">
    <w:name w:val="Comment Text Char"/>
    <w:basedOn w:val="DefaultParagraphFont"/>
    <w:link w:val="CommentText"/>
    <w:uiPriority w:val="99"/>
    <w:semiHidden/>
    <w:rsid w:val="00597102"/>
    <w:rPr>
      <w:sz w:val="20"/>
      <w:szCs w:val="20"/>
    </w:rPr>
  </w:style>
  <w:style w:type="paragraph" w:styleId="CommentSubject">
    <w:name w:val="annotation subject"/>
    <w:basedOn w:val="CommentText"/>
    <w:next w:val="CommentText"/>
    <w:link w:val="CommentSubjectChar"/>
    <w:uiPriority w:val="99"/>
    <w:semiHidden/>
    <w:unhideWhenUsed/>
    <w:rsid w:val="00597102"/>
    <w:rPr>
      <w:b/>
      <w:bCs/>
    </w:rPr>
  </w:style>
  <w:style w:type="character" w:customStyle="1" w:styleId="CommentSubjectChar">
    <w:name w:val="Comment Subject Char"/>
    <w:basedOn w:val="CommentTextChar"/>
    <w:link w:val="CommentSubject"/>
    <w:uiPriority w:val="99"/>
    <w:semiHidden/>
    <w:rsid w:val="00597102"/>
    <w:rPr>
      <w:b/>
      <w:bCs/>
      <w:sz w:val="20"/>
      <w:szCs w:val="20"/>
    </w:rPr>
  </w:style>
  <w:style w:type="paragraph" w:styleId="ListParagraph">
    <w:name w:val="List Paragraph"/>
    <w:basedOn w:val="Normal"/>
    <w:uiPriority w:val="34"/>
    <w:qFormat/>
    <w:rsid w:val="00C67B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45684">
      <w:bodyDiv w:val="1"/>
      <w:marLeft w:val="0"/>
      <w:marRight w:val="0"/>
      <w:marTop w:val="0"/>
      <w:marBottom w:val="0"/>
      <w:divBdr>
        <w:top w:val="none" w:sz="0" w:space="0" w:color="auto"/>
        <w:left w:val="none" w:sz="0" w:space="0" w:color="auto"/>
        <w:bottom w:val="none" w:sz="0" w:space="0" w:color="auto"/>
        <w:right w:val="none" w:sz="0" w:space="0" w:color="auto"/>
      </w:divBdr>
    </w:div>
    <w:div w:id="71389967">
      <w:bodyDiv w:val="1"/>
      <w:marLeft w:val="0"/>
      <w:marRight w:val="0"/>
      <w:marTop w:val="0"/>
      <w:marBottom w:val="0"/>
      <w:divBdr>
        <w:top w:val="none" w:sz="0" w:space="0" w:color="auto"/>
        <w:left w:val="none" w:sz="0" w:space="0" w:color="auto"/>
        <w:bottom w:val="none" w:sz="0" w:space="0" w:color="auto"/>
        <w:right w:val="none" w:sz="0" w:space="0" w:color="auto"/>
      </w:divBdr>
    </w:div>
    <w:div w:id="83308128">
      <w:bodyDiv w:val="1"/>
      <w:marLeft w:val="0"/>
      <w:marRight w:val="0"/>
      <w:marTop w:val="0"/>
      <w:marBottom w:val="0"/>
      <w:divBdr>
        <w:top w:val="none" w:sz="0" w:space="0" w:color="auto"/>
        <w:left w:val="none" w:sz="0" w:space="0" w:color="auto"/>
        <w:bottom w:val="none" w:sz="0" w:space="0" w:color="auto"/>
        <w:right w:val="none" w:sz="0" w:space="0" w:color="auto"/>
      </w:divBdr>
    </w:div>
    <w:div w:id="183373003">
      <w:bodyDiv w:val="1"/>
      <w:marLeft w:val="0"/>
      <w:marRight w:val="0"/>
      <w:marTop w:val="0"/>
      <w:marBottom w:val="0"/>
      <w:divBdr>
        <w:top w:val="none" w:sz="0" w:space="0" w:color="auto"/>
        <w:left w:val="none" w:sz="0" w:space="0" w:color="auto"/>
        <w:bottom w:val="none" w:sz="0" w:space="0" w:color="auto"/>
        <w:right w:val="none" w:sz="0" w:space="0" w:color="auto"/>
      </w:divBdr>
    </w:div>
    <w:div w:id="216819545">
      <w:bodyDiv w:val="1"/>
      <w:marLeft w:val="0"/>
      <w:marRight w:val="0"/>
      <w:marTop w:val="0"/>
      <w:marBottom w:val="0"/>
      <w:divBdr>
        <w:top w:val="none" w:sz="0" w:space="0" w:color="auto"/>
        <w:left w:val="none" w:sz="0" w:space="0" w:color="auto"/>
        <w:bottom w:val="none" w:sz="0" w:space="0" w:color="auto"/>
        <w:right w:val="none" w:sz="0" w:space="0" w:color="auto"/>
      </w:divBdr>
    </w:div>
    <w:div w:id="243034149">
      <w:bodyDiv w:val="1"/>
      <w:marLeft w:val="0"/>
      <w:marRight w:val="0"/>
      <w:marTop w:val="0"/>
      <w:marBottom w:val="0"/>
      <w:divBdr>
        <w:top w:val="none" w:sz="0" w:space="0" w:color="auto"/>
        <w:left w:val="none" w:sz="0" w:space="0" w:color="auto"/>
        <w:bottom w:val="none" w:sz="0" w:space="0" w:color="auto"/>
        <w:right w:val="none" w:sz="0" w:space="0" w:color="auto"/>
      </w:divBdr>
    </w:div>
    <w:div w:id="282737966">
      <w:bodyDiv w:val="1"/>
      <w:marLeft w:val="0"/>
      <w:marRight w:val="0"/>
      <w:marTop w:val="0"/>
      <w:marBottom w:val="0"/>
      <w:divBdr>
        <w:top w:val="none" w:sz="0" w:space="0" w:color="auto"/>
        <w:left w:val="none" w:sz="0" w:space="0" w:color="auto"/>
        <w:bottom w:val="none" w:sz="0" w:space="0" w:color="auto"/>
        <w:right w:val="none" w:sz="0" w:space="0" w:color="auto"/>
      </w:divBdr>
    </w:div>
    <w:div w:id="290749475">
      <w:bodyDiv w:val="1"/>
      <w:marLeft w:val="0"/>
      <w:marRight w:val="0"/>
      <w:marTop w:val="0"/>
      <w:marBottom w:val="0"/>
      <w:divBdr>
        <w:top w:val="none" w:sz="0" w:space="0" w:color="auto"/>
        <w:left w:val="none" w:sz="0" w:space="0" w:color="auto"/>
        <w:bottom w:val="none" w:sz="0" w:space="0" w:color="auto"/>
        <w:right w:val="none" w:sz="0" w:space="0" w:color="auto"/>
      </w:divBdr>
    </w:div>
    <w:div w:id="319037880">
      <w:bodyDiv w:val="1"/>
      <w:marLeft w:val="0"/>
      <w:marRight w:val="0"/>
      <w:marTop w:val="0"/>
      <w:marBottom w:val="0"/>
      <w:divBdr>
        <w:top w:val="none" w:sz="0" w:space="0" w:color="auto"/>
        <w:left w:val="none" w:sz="0" w:space="0" w:color="auto"/>
        <w:bottom w:val="none" w:sz="0" w:space="0" w:color="auto"/>
        <w:right w:val="none" w:sz="0" w:space="0" w:color="auto"/>
      </w:divBdr>
    </w:div>
    <w:div w:id="350452787">
      <w:bodyDiv w:val="1"/>
      <w:marLeft w:val="0"/>
      <w:marRight w:val="0"/>
      <w:marTop w:val="0"/>
      <w:marBottom w:val="0"/>
      <w:divBdr>
        <w:top w:val="none" w:sz="0" w:space="0" w:color="auto"/>
        <w:left w:val="none" w:sz="0" w:space="0" w:color="auto"/>
        <w:bottom w:val="none" w:sz="0" w:space="0" w:color="auto"/>
        <w:right w:val="none" w:sz="0" w:space="0" w:color="auto"/>
      </w:divBdr>
    </w:div>
    <w:div w:id="364143152">
      <w:bodyDiv w:val="1"/>
      <w:marLeft w:val="0"/>
      <w:marRight w:val="0"/>
      <w:marTop w:val="0"/>
      <w:marBottom w:val="0"/>
      <w:divBdr>
        <w:top w:val="none" w:sz="0" w:space="0" w:color="auto"/>
        <w:left w:val="none" w:sz="0" w:space="0" w:color="auto"/>
        <w:bottom w:val="none" w:sz="0" w:space="0" w:color="auto"/>
        <w:right w:val="none" w:sz="0" w:space="0" w:color="auto"/>
      </w:divBdr>
    </w:div>
    <w:div w:id="388654470">
      <w:bodyDiv w:val="1"/>
      <w:marLeft w:val="0"/>
      <w:marRight w:val="0"/>
      <w:marTop w:val="0"/>
      <w:marBottom w:val="0"/>
      <w:divBdr>
        <w:top w:val="none" w:sz="0" w:space="0" w:color="auto"/>
        <w:left w:val="none" w:sz="0" w:space="0" w:color="auto"/>
        <w:bottom w:val="none" w:sz="0" w:space="0" w:color="auto"/>
        <w:right w:val="none" w:sz="0" w:space="0" w:color="auto"/>
      </w:divBdr>
    </w:div>
    <w:div w:id="429274140">
      <w:bodyDiv w:val="1"/>
      <w:marLeft w:val="0"/>
      <w:marRight w:val="0"/>
      <w:marTop w:val="0"/>
      <w:marBottom w:val="0"/>
      <w:divBdr>
        <w:top w:val="none" w:sz="0" w:space="0" w:color="auto"/>
        <w:left w:val="none" w:sz="0" w:space="0" w:color="auto"/>
        <w:bottom w:val="none" w:sz="0" w:space="0" w:color="auto"/>
        <w:right w:val="none" w:sz="0" w:space="0" w:color="auto"/>
      </w:divBdr>
    </w:div>
    <w:div w:id="445396085">
      <w:bodyDiv w:val="1"/>
      <w:marLeft w:val="0"/>
      <w:marRight w:val="0"/>
      <w:marTop w:val="0"/>
      <w:marBottom w:val="0"/>
      <w:divBdr>
        <w:top w:val="none" w:sz="0" w:space="0" w:color="auto"/>
        <w:left w:val="none" w:sz="0" w:space="0" w:color="auto"/>
        <w:bottom w:val="none" w:sz="0" w:space="0" w:color="auto"/>
        <w:right w:val="none" w:sz="0" w:space="0" w:color="auto"/>
      </w:divBdr>
    </w:div>
    <w:div w:id="554898764">
      <w:bodyDiv w:val="1"/>
      <w:marLeft w:val="0"/>
      <w:marRight w:val="0"/>
      <w:marTop w:val="0"/>
      <w:marBottom w:val="0"/>
      <w:divBdr>
        <w:top w:val="none" w:sz="0" w:space="0" w:color="auto"/>
        <w:left w:val="none" w:sz="0" w:space="0" w:color="auto"/>
        <w:bottom w:val="none" w:sz="0" w:space="0" w:color="auto"/>
        <w:right w:val="none" w:sz="0" w:space="0" w:color="auto"/>
      </w:divBdr>
    </w:div>
    <w:div w:id="597254191">
      <w:bodyDiv w:val="1"/>
      <w:marLeft w:val="0"/>
      <w:marRight w:val="0"/>
      <w:marTop w:val="0"/>
      <w:marBottom w:val="0"/>
      <w:divBdr>
        <w:top w:val="none" w:sz="0" w:space="0" w:color="auto"/>
        <w:left w:val="none" w:sz="0" w:space="0" w:color="auto"/>
        <w:bottom w:val="none" w:sz="0" w:space="0" w:color="auto"/>
        <w:right w:val="none" w:sz="0" w:space="0" w:color="auto"/>
      </w:divBdr>
    </w:div>
    <w:div w:id="683438888">
      <w:bodyDiv w:val="1"/>
      <w:marLeft w:val="0"/>
      <w:marRight w:val="0"/>
      <w:marTop w:val="0"/>
      <w:marBottom w:val="0"/>
      <w:divBdr>
        <w:top w:val="none" w:sz="0" w:space="0" w:color="auto"/>
        <w:left w:val="none" w:sz="0" w:space="0" w:color="auto"/>
        <w:bottom w:val="none" w:sz="0" w:space="0" w:color="auto"/>
        <w:right w:val="none" w:sz="0" w:space="0" w:color="auto"/>
      </w:divBdr>
    </w:div>
    <w:div w:id="754716058">
      <w:bodyDiv w:val="1"/>
      <w:marLeft w:val="0"/>
      <w:marRight w:val="0"/>
      <w:marTop w:val="0"/>
      <w:marBottom w:val="0"/>
      <w:divBdr>
        <w:top w:val="none" w:sz="0" w:space="0" w:color="auto"/>
        <w:left w:val="none" w:sz="0" w:space="0" w:color="auto"/>
        <w:bottom w:val="none" w:sz="0" w:space="0" w:color="auto"/>
        <w:right w:val="none" w:sz="0" w:space="0" w:color="auto"/>
      </w:divBdr>
    </w:div>
    <w:div w:id="763888500">
      <w:bodyDiv w:val="1"/>
      <w:marLeft w:val="0"/>
      <w:marRight w:val="0"/>
      <w:marTop w:val="0"/>
      <w:marBottom w:val="0"/>
      <w:divBdr>
        <w:top w:val="none" w:sz="0" w:space="0" w:color="auto"/>
        <w:left w:val="none" w:sz="0" w:space="0" w:color="auto"/>
        <w:bottom w:val="none" w:sz="0" w:space="0" w:color="auto"/>
        <w:right w:val="none" w:sz="0" w:space="0" w:color="auto"/>
      </w:divBdr>
    </w:div>
    <w:div w:id="811798995">
      <w:bodyDiv w:val="1"/>
      <w:marLeft w:val="0"/>
      <w:marRight w:val="0"/>
      <w:marTop w:val="0"/>
      <w:marBottom w:val="0"/>
      <w:divBdr>
        <w:top w:val="none" w:sz="0" w:space="0" w:color="auto"/>
        <w:left w:val="none" w:sz="0" w:space="0" w:color="auto"/>
        <w:bottom w:val="none" w:sz="0" w:space="0" w:color="auto"/>
        <w:right w:val="none" w:sz="0" w:space="0" w:color="auto"/>
      </w:divBdr>
    </w:div>
    <w:div w:id="874780752">
      <w:bodyDiv w:val="1"/>
      <w:marLeft w:val="0"/>
      <w:marRight w:val="0"/>
      <w:marTop w:val="0"/>
      <w:marBottom w:val="0"/>
      <w:divBdr>
        <w:top w:val="none" w:sz="0" w:space="0" w:color="auto"/>
        <w:left w:val="none" w:sz="0" w:space="0" w:color="auto"/>
        <w:bottom w:val="none" w:sz="0" w:space="0" w:color="auto"/>
        <w:right w:val="none" w:sz="0" w:space="0" w:color="auto"/>
      </w:divBdr>
    </w:div>
    <w:div w:id="925579806">
      <w:bodyDiv w:val="1"/>
      <w:marLeft w:val="0"/>
      <w:marRight w:val="0"/>
      <w:marTop w:val="0"/>
      <w:marBottom w:val="0"/>
      <w:divBdr>
        <w:top w:val="none" w:sz="0" w:space="0" w:color="auto"/>
        <w:left w:val="none" w:sz="0" w:space="0" w:color="auto"/>
        <w:bottom w:val="none" w:sz="0" w:space="0" w:color="auto"/>
        <w:right w:val="none" w:sz="0" w:space="0" w:color="auto"/>
      </w:divBdr>
    </w:div>
    <w:div w:id="925841227">
      <w:bodyDiv w:val="1"/>
      <w:marLeft w:val="0"/>
      <w:marRight w:val="0"/>
      <w:marTop w:val="0"/>
      <w:marBottom w:val="0"/>
      <w:divBdr>
        <w:top w:val="none" w:sz="0" w:space="0" w:color="auto"/>
        <w:left w:val="none" w:sz="0" w:space="0" w:color="auto"/>
        <w:bottom w:val="none" w:sz="0" w:space="0" w:color="auto"/>
        <w:right w:val="none" w:sz="0" w:space="0" w:color="auto"/>
      </w:divBdr>
    </w:div>
    <w:div w:id="982347583">
      <w:bodyDiv w:val="1"/>
      <w:marLeft w:val="0"/>
      <w:marRight w:val="0"/>
      <w:marTop w:val="0"/>
      <w:marBottom w:val="0"/>
      <w:divBdr>
        <w:top w:val="none" w:sz="0" w:space="0" w:color="auto"/>
        <w:left w:val="none" w:sz="0" w:space="0" w:color="auto"/>
        <w:bottom w:val="none" w:sz="0" w:space="0" w:color="auto"/>
        <w:right w:val="none" w:sz="0" w:space="0" w:color="auto"/>
      </w:divBdr>
    </w:div>
    <w:div w:id="988824163">
      <w:bodyDiv w:val="1"/>
      <w:marLeft w:val="0"/>
      <w:marRight w:val="0"/>
      <w:marTop w:val="0"/>
      <w:marBottom w:val="0"/>
      <w:divBdr>
        <w:top w:val="none" w:sz="0" w:space="0" w:color="auto"/>
        <w:left w:val="none" w:sz="0" w:space="0" w:color="auto"/>
        <w:bottom w:val="none" w:sz="0" w:space="0" w:color="auto"/>
        <w:right w:val="none" w:sz="0" w:space="0" w:color="auto"/>
      </w:divBdr>
    </w:div>
    <w:div w:id="997923128">
      <w:bodyDiv w:val="1"/>
      <w:marLeft w:val="0"/>
      <w:marRight w:val="0"/>
      <w:marTop w:val="0"/>
      <w:marBottom w:val="0"/>
      <w:divBdr>
        <w:top w:val="none" w:sz="0" w:space="0" w:color="auto"/>
        <w:left w:val="none" w:sz="0" w:space="0" w:color="auto"/>
        <w:bottom w:val="none" w:sz="0" w:space="0" w:color="auto"/>
        <w:right w:val="none" w:sz="0" w:space="0" w:color="auto"/>
      </w:divBdr>
    </w:div>
    <w:div w:id="1081292277">
      <w:bodyDiv w:val="1"/>
      <w:marLeft w:val="0"/>
      <w:marRight w:val="0"/>
      <w:marTop w:val="0"/>
      <w:marBottom w:val="0"/>
      <w:divBdr>
        <w:top w:val="none" w:sz="0" w:space="0" w:color="auto"/>
        <w:left w:val="none" w:sz="0" w:space="0" w:color="auto"/>
        <w:bottom w:val="none" w:sz="0" w:space="0" w:color="auto"/>
        <w:right w:val="none" w:sz="0" w:space="0" w:color="auto"/>
      </w:divBdr>
    </w:div>
    <w:div w:id="1196701452">
      <w:bodyDiv w:val="1"/>
      <w:marLeft w:val="0"/>
      <w:marRight w:val="0"/>
      <w:marTop w:val="0"/>
      <w:marBottom w:val="0"/>
      <w:divBdr>
        <w:top w:val="none" w:sz="0" w:space="0" w:color="auto"/>
        <w:left w:val="none" w:sz="0" w:space="0" w:color="auto"/>
        <w:bottom w:val="none" w:sz="0" w:space="0" w:color="auto"/>
        <w:right w:val="none" w:sz="0" w:space="0" w:color="auto"/>
      </w:divBdr>
    </w:div>
    <w:div w:id="1256475988">
      <w:bodyDiv w:val="1"/>
      <w:marLeft w:val="0"/>
      <w:marRight w:val="0"/>
      <w:marTop w:val="0"/>
      <w:marBottom w:val="0"/>
      <w:divBdr>
        <w:top w:val="none" w:sz="0" w:space="0" w:color="auto"/>
        <w:left w:val="none" w:sz="0" w:space="0" w:color="auto"/>
        <w:bottom w:val="none" w:sz="0" w:space="0" w:color="auto"/>
        <w:right w:val="none" w:sz="0" w:space="0" w:color="auto"/>
      </w:divBdr>
    </w:div>
    <w:div w:id="1259825033">
      <w:bodyDiv w:val="1"/>
      <w:marLeft w:val="0"/>
      <w:marRight w:val="0"/>
      <w:marTop w:val="0"/>
      <w:marBottom w:val="0"/>
      <w:divBdr>
        <w:top w:val="none" w:sz="0" w:space="0" w:color="auto"/>
        <w:left w:val="none" w:sz="0" w:space="0" w:color="auto"/>
        <w:bottom w:val="none" w:sz="0" w:space="0" w:color="auto"/>
        <w:right w:val="none" w:sz="0" w:space="0" w:color="auto"/>
      </w:divBdr>
    </w:div>
    <w:div w:id="1277447719">
      <w:bodyDiv w:val="1"/>
      <w:marLeft w:val="0"/>
      <w:marRight w:val="0"/>
      <w:marTop w:val="0"/>
      <w:marBottom w:val="0"/>
      <w:divBdr>
        <w:top w:val="none" w:sz="0" w:space="0" w:color="auto"/>
        <w:left w:val="none" w:sz="0" w:space="0" w:color="auto"/>
        <w:bottom w:val="none" w:sz="0" w:space="0" w:color="auto"/>
        <w:right w:val="none" w:sz="0" w:space="0" w:color="auto"/>
      </w:divBdr>
    </w:div>
    <w:div w:id="1310131146">
      <w:bodyDiv w:val="1"/>
      <w:marLeft w:val="0"/>
      <w:marRight w:val="0"/>
      <w:marTop w:val="0"/>
      <w:marBottom w:val="0"/>
      <w:divBdr>
        <w:top w:val="none" w:sz="0" w:space="0" w:color="auto"/>
        <w:left w:val="none" w:sz="0" w:space="0" w:color="auto"/>
        <w:bottom w:val="none" w:sz="0" w:space="0" w:color="auto"/>
        <w:right w:val="none" w:sz="0" w:space="0" w:color="auto"/>
      </w:divBdr>
    </w:div>
    <w:div w:id="1328829440">
      <w:bodyDiv w:val="1"/>
      <w:marLeft w:val="0"/>
      <w:marRight w:val="0"/>
      <w:marTop w:val="0"/>
      <w:marBottom w:val="0"/>
      <w:divBdr>
        <w:top w:val="none" w:sz="0" w:space="0" w:color="auto"/>
        <w:left w:val="none" w:sz="0" w:space="0" w:color="auto"/>
        <w:bottom w:val="none" w:sz="0" w:space="0" w:color="auto"/>
        <w:right w:val="none" w:sz="0" w:space="0" w:color="auto"/>
      </w:divBdr>
    </w:div>
    <w:div w:id="1345933309">
      <w:bodyDiv w:val="1"/>
      <w:marLeft w:val="0"/>
      <w:marRight w:val="0"/>
      <w:marTop w:val="0"/>
      <w:marBottom w:val="0"/>
      <w:divBdr>
        <w:top w:val="none" w:sz="0" w:space="0" w:color="auto"/>
        <w:left w:val="none" w:sz="0" w:space="0" w:color="auto"/>
        <w:bottom w:val="none" w:sz="0" w:space="0" w:color="auto"/>
        <w:right w:val="none" w:sz="0" w:space="0" w:color="auto"/>
      </w:divBdr>
    </w:div>
    <w:div w:id="1414357449">
      <w:bodyDiv w:val="1"/>
      <w:marLeft w:val="0"/>
      <w:marRight w:val="0"/>
      <w:marTop w:val="0"/>
      <w:marBottom w:val="0"/>
      <w:divBdr>
        <w:top w:val="none" w:sz="0" w:space="0" w:color="auto"/>
        <w:left w:val="none" w:sz="0" w:space="0" w:color="auto"/>
        <w:bottom w:val="none" w:sz="0" w:space="0" w:color="auto"/>
        <w:right w:val="none" w:sz="0" w:space="0" w:color="auto"/>
      </w:divBdr>
    </w:div>
    <w:div w:id="1419138285">
      <w:bodyDiv w:val="1"/>
      <w:marLeft w:val="0"/>
      <w:marRight w:val="0"/>
      <w:marTop w:val="0"/>
      <w:marBottom w:val="0"/>
      <w:divBdr>
        <w:top w:val="none" w:sz="0" w:space="0" w:color="auto"/>
        <w:left w:val="none" w:sz="0" w:space="0" w:color="auto"/>
        <w:bottom w:val="none" w:sz="0" w:space="0" w:color="auto"/>
        <w:right w:val="none" w:sz="0" w:space="0" w:color="auto"/>
      </w:divBdr>
    </w:div>
    <w:div w:id="1533030182">
      <w:bodyDiv w:val="1"/>
      <w:marLeft w:val="0"/>
      <w:marRight w:val="0"/>
      <w:marTop w:val="0"/>
      <w:marBottom w:val="0"/>
      <w:divBdr>
        <w:top w:val="none" w:sz="0" w:space="0" w:color="auto"/>
        <w:left w:val="none" w:sz="0" w:space="0" w:color="auto"/>
        <w:bottom w:val="none" w:sz="0" w:space="0" w:color="auto"/>
        <w:right w:val="none" w:sz="0" w:space="0" w:color="auto"/>
      </w:divBdr>
    </w:div>
    <w:div w:id="1534077822">
      <w:bodyDiv w:val="1"/>
      <w:marLeft w:val="0"/>
      <w:marRight w:val="0"/>
      <w:marTop w:val="0"/>
      <w:marBottom w:val="0"/>
      <w:divBdr>
        <w:top w:val="none" w:sz="0" w:space="0" w:color="auto"/>
        <w:left w:val="none" w:sz="0" w:space="0" w:color="auto"/>
        <w:bottom w:val="none" w:sz="0" w:space="0" w:color="auto"/>
        <w:right w:val="none" w:sz="0" w:space="0" w:color="auto"/>
      </w:divBdr>
    </w:div>
    <w:div w:id="1565337638">
      <w:bodyDiv w:val="1"/>
      <w:marLeft w:val="0"/>
      <w:marRight w:val="0"/>
      <w:marTop w:val="0"/>
      <w:marBottom w:val="0"/>
      <w:divBdr>
        <w:top w:val="none" w:sz="0" w:space="0" w:color="auto"/>
        <w:left w:val="none" w:sz="0" w:space="0" w:color="auto"/>
        <w:bottom w:val="none" w:sz="0" w:space="0" w:color="auto"/>
        <w:right w:val="none" w:sz="0" w:space="0" w:color="auto"/>
      </w:divBdr>
    </w:div>
    <w:div w:id="1680690068">
      <w:bodyDiv w:val="1"/>
      <w:marLeft w:val="0"/>
      <w:marRight w:val="0"/>
      <w:marTop w:val="0"/>
      <w:marBottom w:val="0"/>
      <w:divBdr>
        <w:top w:val="none" w:sz="0" w:space="0" w:color="auto"/>
        <w:left w:val="none" w:sz="0" w:space="0" w:color="auto"/>
        <w:bottom w:val="none" w:sz="0" w:space="0" w:color="auto"/>
        <w:right w:val="none" w:sz="0" w:space="0" w:color="auto"/>
      </w:divBdr>
    </w:div>
    <w:div w:id="1936473485">
      <w:bodyDiv w:val="1"/>
      <w:marLeft w:val="0"/>
      <w:marRight w:val="0"/>
      <w:marTop w:val="0"/>
      <w:marBottom w:val="0"/>
      <w:divBdr>
        <w:top w:val="none" w:sz="0" w:space="0" w:color="auto"/>
        <w:left w:val="none" w:sz="0" w:space="0" w:color="auto"/>
        <w:bottom w:val="none" w:sz="0" w:space="0" w:color="auto"/>
        <w:right w:val="none" w:sz="0" w:space="0" w:color="auto"/>
      </w:divBdr>
    </w:div>
    <w:div w:id="1954283668">
      <w:bodyDiv w:val="1"/>
      <w:marLeft w:val="0"/>
      <w:marRight w:val="0"/>
      <w:marTop w:val="0"/>
      <w:marBottom w:val="0"/>
      <w:divBdr>
        <w:top w:val="none" w:sz="0" w:space="0" w:color="auto"/>
        <w:left w:val="none" w:sz="0" w:space="0" w:color="auto"/>
        <w:bottom w:val="none" w:sz="0" w:space="0" w:color="auto"/>
        <w:right w:val="none" w:sz="0" w:space="0" w:color="auto"/>
      </w:divBdr>
    </w:div>
    <w:div w:id="2043437958">
      <w:bodyDiv w:val="1"/>
      <w:marLeft w:val="0"/>
      <w:marRight w:val="0"/>
      <w:marTop w:val="0"/>
      <w:marBottom w:val="0"/>
      <w:divBdr>
        <w:top w:val="none" w:sz="0" w:space="0" w:color="auto"/>
        <w:left w:val="none" w:sz="0" w:space="0" w:color="auto"/>
        <w:bottom w:val="none" w:sz="0" w:space="0" w:color="auto"/>
        <w:right w:val="none" w:sz="0" w:space="0" w:color="auto"/>
      </w:divBdr>
    </w:div>
    <w:div w:id="2137335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reportcard.education.ohio.gov/Pages/Power-User-Reports.aspx"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30B91F-BCE8-4205-8C0D-1C8B258ABE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4248</Words>
  <Characters>24219</Characters>
  <Application>Microsoft Office Word</Application>
  <DocSecurity>4</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28411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Baker</dc:creator>
  <cp:lastModifiedBy>Linda Chandler</cp:lastModifiedBy>
  <cp:revision>2</cp:revision>
  <cp:lastPrinted>2015-04-08T16:30:00Z</cp:lastPrinted>
  <dcterms:created xsi:type="dcterms:W3CDTF">2015-05-20T15:42:00Z</dcterms:created>
  <dcterms:modified xsi:type="dcterms:W3CDTF">2015-05-20T15:42:00Z</dcterms:modified>
</cp:coreProperties>
</file>