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A5AA0" w:rsidRPr="00FA5AA0" w:rsidRDefault="00FA5AA0" w:rsidP="00627031">
      <w:pPr>
        <w:spacing w:line="240" w:lineRule="auto"/>
        <w:contextualSpacing/>
        <w:rPr>
          <w:rFonts w:asciiTheme="majorHAnsi" w:hAnsiTheme="majorHAnsi" w:cs="Times New Roman"/>
        </w:rPr>
      </w:pPr>
    </w:p>
    <w:p w:rsidR="00AF174D" w:rsidRDefault="00AF174D" w:rsidP="00627031">
      <w:pPr>
        <w:spacing w:line="240" w:lineRule="auto"/>
        <w:contextualSpacing/>
        <w:jc w:val="center"/>
        <w:rPr>
          <w:rFonts w:asciiTheme="majorHAnsi" w:hAnsiTheme="majorHAnsi"/>
          <w:b/>
        </w:rPr>
      </w:pPr>
      <w:r w:rsidRPr="00AF174D">
        <w:rPr>
          <w:rFonts w:asciiTheme="majorHAnsi" w:hAnsiTheme="majorHAnsi"/>
          <w:b/>
        </w:rPr>
        <w:t xml:space="preserve"> Sociological Perspectives on Ethnicity and Education in China: Views from Chinese and English Literatures</w:t>
      </w:r>
    </w:p>
    <w:p w:rsidR="00FA5AA0" w:rsidRPr="00FA5AA0" w:rsidRDefault="00FA5AA0" w:rsidP="00627031">
      <w:pPr>
        <w:spacing w:line="240" w:lineRule="auto"/>
        <w:contextualSpacing/>
        <w:jc w:val="center"/>
        <w:rPr>
          <w:rFonts w:asciiTheme="majorHAnsi" w:hAnsiTheme="majorHAnsi"/>
        </w:rPr>
      </w:pPr>
      <w:proofErr w:type="spellStart"/>
      <w:r w:rsidRPr="00FA5AA0">
        <w:rPr>
          <w:rFonts w:asciiTheme="majorHAnsi" w:hAnsiTheme="majorHAnsi"/>
        </w:rPr>
        <w:t>Hua</w:t>
      </w:r>
      <w:proofErr w:type="spellEnd"/>
      <w:r w:rsidRPr="00FA5AA0">
        <w:rPr>
          <w:rFonts w:asciiTheme="majorHAnsi" w:hAnsiTheme="majorHAnsi"/>
        </w:rPr>
        <w:t xml:space="preserve">-Yu Sebastian Cherng, Emily Hannum, and </w:t>
      </w:r>
      <w:proofErr w:type="spellStart"/>
      <w:r w:rsidRPr="00FA5AA0">
        <w:rPr>
          <w:rFonts w:asciiTheme="majorHAnsi" w:hAnsiTheme="majorHAnsi"/>
        </w:rPr>
        <w:t>Chunping</w:t>
      </w:r>
      <w:proofErr w:type="spellEnd"/>
      <w:r w:rsidRPr="00FA5AA0">
        <w:rPr>
          <w:rFonts w:asciiTheme="majorHAnsi" w:hAnsiTheme="majorHAnsi"/>
        </w:rPr>
        <w:t xml:space="preserve"> Lu</w:t>
      </w:r>
    </w:p>
    <w:p w:rsidR="00FA5AA0" w:rsidRPr="00FA5AA0" w:rsidRDefault="00FA5AA0" w:rsidP="00627031">
      <w:pPr>
        <w:pStyle w:val="Heading1"/>
        <w:contextualSpacing/>
        <w:rPr>
          <w:rFonts w:asciiTheme="majorHAnsi" w:hAnsiTheme="majorHAnsi"/>
          <w:sz w:val="22"/>
          <w:szCs w:val="22"/>
        </w:rPr>
      </w:pPr>
      <w:r w:rsidRPr="00FA5AA0">
        <w:rPr>
          <w:rFonts w:asciiTheme="majorHAnsi" w:hAnsiTheme="majorHAnsi"/>
          <w:sz w:val="22"/>
          <w:szCs w:val="22"/>
        </w:rPr>
        <w:t>Abstract</w:t>
      </w:r>
    </w:p>
    <w:p w:rsidR="00FA5AA0" w:rsidRPr="00FA5AA0" w:rsidRDefault="00FA5AA0" w:rsidP="00627031">
      <w:pPr>
        <w:spacing w:line="240" w:lineRule="auto"/>
        <w:ind w:firstLine="720"/>
        <w:contextualSpacing/>
        <w:rPr>
          <w:rFonts w:asciiTheme="majorHAnsi" w:hAnsiTheme="majorHAnsi" w:cs="Times New Roman"/>
          <w:shd w:val="clear" w:color="auto" w:fill="FFFFFF"/>
        </w:rPr>
      </w:pPr>
      <w:r w:rsidRPr="00FA5AA0">
        <w:rPr>
          <w:rFonts w:asciiTheme="majorHAnsi" w:hAnsiTheme="majorHAnsi" w:cs="Times New Roman"/>
          <w:shd w:val="clear" w:color="auto" w:fill="FFFFFF"/>
        </w:rPr>
        <w:t xml:space="preserve">This </w:t>
      </w:r>
      <w:r w:rsidR="00AA1D20">
        <w:rPr>
          <w:rFonts w:asciiTheme="majorHAnsi" w:hAnsiTheme="majorHAnsi" w:cs="Times New Roman"/>
          <w:shd w:val="clear" w:color="auto" w:fill="FFFFFF"/>
        </w:rPr>
        <w:t>paper</w:t>
      </w:r>
      <w:bookmarkStart w:id="0" w:name="_GoBack"/>
      <w:bookmarkEnd w:id="0"/>
      <w:r w:rsidRPr="00FA5AA0">
        <w:rPr>
          <w:rFonts w:asciiTheme="majorHAnsi" w:hAnsiTheme="majorHAnsi" w:cs="Times New Roman"/>
          <w:shd w:val="clear" w:color="auto" w:fill="FFFFFF"/>
        </w:rPr>
        <w:t xml:space="preserve"> reviews Chinese- and English-language literature on ethnic minorities and education in China.  Six major research topics emerge from the Chinese-language research: (1) Marxism and ethnic minority education; (2) patriotism and national unity in education for ethnic minority students; (3) multicultural education; (4) determinants of ethnic differences in education; (5) school facilities and teacher quality; and (6) preferential / affirmative action policies.  Four research themes are identified from the English-language literature: (1) policy overviews; (2) education and ethnic identity; (3) incentives and disincentives for buy-in to the education system; and (4) educational stratification.  The majority of quantitative research from both Chinese- and English-language literature investigates ethnic minorities as a collective group.  Qualitative research focuses on individual ethnic groups, although no one group is the focus of particular attention.  More qualitative studies currently exist, but the number of quantitative studies is growing, given the growing availability of survey and census data containing information on ethnic minorities.  </w:t>
      </w:r>
      <w:r w:rsidRPr="00FA5AA0">
        <w:rPr>
          <w:rFonts w:asciiTheme="majorHAnsi" w:hAnsiTheme="majorHAnsi" w:cs="Times New Roman"/>
        </w:rPr>
        <w:t>Both literatures focus on the complex interrelationships of ethnicity with cultural, policy, development, and language issues.  Yet, these literatures draw on different ideological starting points, conform to different norms of academic composition, and speak to different audiences in different sociopolitical contexts. For these reasons, the English literature tends to adopt a more critical tone.  Overall, very little of the work in either language comes from the field of sociology of education.  More comparatively and theoretically framed work is needed to enable the Chinese experience to be informed by and inform global research in sociology of education.</w:t>
      </w:r>
    </w:p>
    <w:p w:rsidR="00FA5AA0" w:rsidRPr="00FA5AA0" w:rsidRDefault="00FA5AA0" w:rsidP="00627031">
      <w:pPr>
        <w:spacing w:line="240" w:lineRule="auto"/>
        <w:contextualSpacing/>
        <w:rPr>
          <w:rFonts w:asciiTheme="majorHAnsi" w:hAnsiTheme="majorHAnsi"/>
          <w:b/>
        </w:rPr>
      </w:pPr>
    </w:p>
    <w:p w:rsidR="00FA5AA0" w:rsidRPr="00FA5AA0" w:rsidRDefault="00FA5AA0" w:rsidP="00627031">
      <w:pPr>
        <w:pStyle w:val="Heading1"/>
        <w:contextualSpacing/>
        <w:rPr>
          <w:rFonts w:asciiTheme="majorHAnsi" w:hAnsiTheme="majorHAnsi"/>
          <w:sz w:val="22"/>
          <w:szCs w:val="22"/>
        </w:rPr>
      </w:pPr>
      <w:r w:rsidRPr="00FA5AA0">
        <w:rPr>
          <w:rFonts w:asciiTheme="majorHAnsi" w:hAnsiTheme="majorHAnsi"/>
          <w:sz w:val="22"/>
          <w:szCs w:val="22"/>
        </w:rPr>
        <w:t>Introduction</w:t>
      </w:r>
    </w:p>
    <w:p w:rsidR="00FA5AA0" w:rsidRPr="00FA5AA0" w:rsidRDefault="00FA5AA0" w:rsidP="00627031">
      <w:pPr>
        <w:pStyle w:val="NormalIndent"/>
        <w:spacing w:line="240" w:lineRule="auto"/>
        <w:contextualSpacing/>
        <w:rPr>
          <w:rFonts w:asciiTheme="majorHAnsi" w:hAnsiTheme="majorHAnsi"/>
          <w:sz w:val="22"/>
          <w:szCs w:val="22"/>
        </w:rPr>
      </w:pPr>
      <w:r w:rsidRPr="00FA5AA0">
        <w:rPr>
          <w:rFonts w:asciiTheme="majorHAnsi" w:hAnsiTheme="majorHAnsi"/>
          <w:sz w:val="22"/>
          <w:szCs w:val="22"/>
        </w:rPr>
        <w:t>Since China’s market reforms and opening up in the 1980s, growing literatures in Chinese and English have addressed issues associated with educational opportunity for ethnic minorities.  Overall, despite certain similarities in subject matter and, in some cases, common authorship, these literatures have emerged in different forms.  Consistent with a Marxist perspective that pervades both minority education policy and much of the scholarly writing about it, much of the Chinese literature faults underlying economic underdevelopment at the regional level and poverty at the household level as key sources of minority disadvantage.  Some newer pieces, a few of which draw from a multicultural education framework, offer critical perspectives on minority education policies, but this body of literature is still small.  Cultural disconnects between home and school are featured in this literature, but with a few exceptions, cultural attitudes of particular groups are cited as the barrier to educational success, rather than aspects of the organization and content of educational institutions or labor market conditions that might exacerbate unfavorable attitudes.  Finally, much of the empirical work is applied and focused on problems, generally associated with poverty or underdevelopment, that need to be solved to support the goals of development, patriotism, and integration of minority populations.</w:t>
      </w:r>
    </w:p>
    <w:p w:rsidR="00FA5AA0" w:rsidRPr="00FA5AA0" w:rsidRDefault="00FA5AA0" w:rsidP="00627031">
      <w:pPr>
        <w:pStyle w:val="NormalIndent"/>
        <w:spacing w:line="240" w:lineRule="auto"/>
        <w:contextualSpacing/>
        <w:rPr>
          <w:rFonts w:asciiTheme="majorHAnsi" w:hAnsiTheme="majorHAnsi"/>
          <w:sz w:val="22"/>
          <w:szCs w:val="22"/>
        </w:rPr>
      </w:pPr>
      <w:r w:rsidRPr="00FA5AA0">
        <w:rPr>
          <w:rFonts w:asciiTheme="majorHAnsi" w:hAnsiTheme="majorHAnsi"/>
          <w:sz w:val="22"/>
          <w:szCs w:val="22"/>
        </w:rPr>
        <w:t xml:space="preserve">Like the Chinese literature, a substantial portion of the English literature could be characterized as policy discussion, with emphasis on the integrative goals and implications of minority education policy.  Moreover, the English-language literature recognizes the significance of economic poverty and geographic disparity in contributing to educational disparities.  However, while some of the work is descriptive and neutral in tone, much of the work has a more critical edge </w:t>
      </w:r>
      <w:r w:rsidRPr="00FA5AA0">
        <w:rPr>
          <w:rFonts w:asciiTheme="majorHAnsi" w:hAnsiTheme="majorHAnsi"/>
          <w:sz w:val="22"/>
          <w:szCs w:val="22"/>
        </w:rPr>
        <w:lastRenderedPageBreak/>
        <w:t xml:space="preserve">than found in the Chinese language literature.  The operating premise of much of the literature is one of deep questioning of the goals and tactics surrounding minority education policies.  Empirical work has focused on characterizing the nature and scope of educational stratification by ethnic group, and on illuminating links between schooling processes and the conveyed and constructed ethnic identities of students, cultural disconnects between home and school, and incentives and disincentives for school continuation. </w:t>
      </w:r>
    </w:p>
    <w:p w:rsidR="00FA5AA0" w:rsidRPr="00FA5AA0" w:rsidRDefault="00FA5AA0" w:rsidP="00627031">
      <w:pPr>
        <w:pStyle w:val="NormalIndent"/>
        <w:spacing w:line="240" w:lineRule="auto"/>
        <w:contextualSpacing/>
        <w:rPr>
          <w:rFonts w:asciiTheme="majorHAnsi" w:hAnsiTheme="majorHAnsi"/>
          <w:sz w:val="22"/>
          <w:szCs w:val="22"/>
        </w:rPr>
      </w:pPr>
      <w:r w:rsidRPr="00FA5AA0">
        <w:rPr>
          <w:rFonts w:asciiTheme="majorHAnsi" w:hAnsiTheme="majorHAnsi"/>
          <w:sz w:val="22"/>
          <w:szCs w:val="22"/>
        </w:rPr>
        <w:t>This chapter provides an overview of the Chinese and English language scholarship related to ethnicity and inequality in education.  We begin by providing an overview of China’s ethnic classification and education systems.  Next, we present the search strategy used to identify papers for this literature review.  Finally, we describe Chinese and English-language research.  We close by discussing key differences and similarities between the two literatures, and by highlighting the need for both literatures to connect more directly to comparative sociological research on ethnicity and education.</w:t>
      </w:r>
    </w:p>
    <w:p w:rsidR="00FA5AA0" w:rsidRPr="00FA5AA0" w:rsidRDefault="00FA5AA0" w:rsidP="00627031">
      <w:pPr>
        <w:pStyle w:val="Heading1"/>
        <w:contextualSpacing/>
        <w:rPr>
          <w:rFonts w:asciiTheme="majorHAnsi" w:hAnsiTheme="majorHAnsi"/>
          <w:sz w:val="22"/>
          <w:szCs w:val="22"/>
        </w:rPr>
      </w:pPr>
      <w:r w:rsidRPr="00FA5AA0">
        <w:rPr>
          <w:rFonts w:asciiTheme="majorHAnsi" w:hAnsiTheme="majorHAnsi"/>
          <w:sz w:val="22"/>
          <w:szCs w:val="22"/>
        </w:rPr>
        <w:t>National Context</w:t>
      </w:r>
    </w:p>
    <w:p w:rsidR="00FA5AA0" w:rsidRPr="00FA5AA0" w:rsidRDefault="00FA5AA0" w:rsidP="00627031">
      <w:pPr>
        <w:pStyle w:val="Heading2"/>
        <w:spacing w:line="240" w:lineRule="auto"/>
        <w:contextualSpacing/>
        <w:rPr>
          <w:rFonts w:asciiTheme="majorHAnsi" w:hAnsiTheme="majorHAnsi"/>
          <w:sz w:val="22"/>
          <w:szCs w:val="22"/>
        </w:rPr>
      </w:pPr>
      <w:r w:rsidRPr="00FA5AA0">
        <w:rPr>
          <w:rFonts w:asciiTheme="majorHAnsi" w:hAnsiTheme="majorHAnsi"/>
          <w:sz w:val="22"/>
          <w:szCs w:val="22"/>
        </w:rPr>
        <w:t>Ethnic Minorities in China</w:t>
      </w:r>
    </w:p>
    <w:p w:rsidR="00FA5AA0" w:rsidRPr="00FA5AA0" w:rsidRDefault="00FA5AA0" w:rsidP="00627031">
      <w:pPr>
        <w:pStyle w:val="NormalIndent"/>
        <w:spacing w:line="240" w:lineRule="auto"/>
        <w:contextualSpacing/>
        <w:rPr>
          <w:rFonts w:asciiTheme="majorHAnsi" w:hAnsiTheme="majorHAnsi"/>
          <w:sz w:val="22"/>
          <w:szCs w:val="22"/>
        </w:rPr>
      </w:pPr>
      <w:r w:rsidRPr="00FA5AA0">
        <w:rPr>
          <w:rFonts w:asciiTheme="majorHAnsi" w:hAnsiTheme="majorHAnsi"/>
          <w:sz w:val="22"/>
          <w:szCs w:val="22"/>
        </w:rPr>
        <w:t xml:space="preserve">The name used to refer to ethnic groups in China today, </w:t>
      </w:r>
      <w:proofErr w:type="spellStart"/>
      <w:r w:rsidRPr="00FA5AA0">
        <w:rPr>
          <w:rFonts w:asciiTheme="majorHAnsi" w:hAnsiTheme="majorHAnsi"/>
          <w:i/>
          <w:iCs/>
          <w:sz w:val="22"/>
          <w:szCs w:val="22"/>
        </w:rPr>
        <w:t>minzu</w:t>
      </w:r>
      <w:proofErr w:type="spellEnd"/>
      <w:r w:rsidRPr="00FA5AA0">
        <w:rPr>
          <w:rFonts w:asciiTheme="majorHAnsi" w:hAnsiTheme="majorHAnsi"/>
          <w:sz w:val="22"/>
          <w:szCs w:val="22"/>
        </w:rPr>
        <w:t xml:space="preserve"> (</w:t>
      </w:r>
      <w:proofErr w:type="spellStart"/>
      <w:r w:rsidRPr="00FA5AA0">
        <w:rPr>
          <w:rFonts w:asciiTheme="majorHAnsi" w:hAnsiTheme="majorHAnsi"/>
          <w:sz w:val="22"/>
          <w:szCs w:val="22"/>
        </w:rPr>
        <w:t>民族</w:t>
      </w:r>
      <w:proofErr w:type="spellEnd"/>
      <w:r w:rsidRPr="00FA5AA0">
        <w:rPr>
          <w:rFonts w:asciiTheme="majorHAnsi" w:hAnsiTheme="majorHAnsi"/>
          <w:sz w:val="22"/>
          <w:szCs w:val="22"/>
        </w:rPr>
        <w:t>), is a 20</w:t>
      </w:r>
      <w:r w:rsidRPr="00FA5AA0">
        <w:rPr>
          <w:rFonts w:asciiTheme="majorHAnsi" w:hAnsiTheme="majorHAnsi"/>
          <w:sz w:val="22"/>
          <w:szCs w:val="22"/>
          <w:vertAlign w:val="superscript"/>
        </w:rPr>
        <w:t>th</w:t>
      </w:r>
      <w:r w:rsidRPr="00FA5AA0">
        <w:rPr>
          <w:rFonts w:asciiTheme="majorHAnsi" w:hAnsiTheme="majorHAnsi"/>
          <w:sz w:val="22"/>
          <w:szCs w:val="22"/>
        </w:rPr>
        <w:t xml:space="preserve"> century adaptation of the cognate Japanese term, </w:t>
      </w:r>
      <w:proofErr w:type="spellStart"/>
      <w:r w:rsidRPr="00FA5AA0">
        <w:rPr>
          <w:rFonts w:asciiTheme="majorHAnsi" w:hAnsiTheme="majorHAnsi"/>
          <w:i/>
          <w:iCs/>
          <w:sz w:val="22"/>
          <w:szCs w:val="22"/>
        </w:rPr>
        <w:t>minzoku</w:t>
      </w:r>
      <w:proofErr w:type="spellEnd"/>
      <w:r w:rsidRPr="00FA5AA0">
        <w:rPr>
          <w:rFonts w:asciiTheme="majorHAnsi" w:hAnsiTheme="majorHAnsi"/>
          <w:sz w:val="22"/>
          <w:szCs w:val="22"/>
        </w:rPr>
        <w:t xml:space="preserve"> (</w:t>
      </w:r>
      <w:r w:rsidRPr="00FA5AA0">
        <w:rPr>
          <w:rFonts w:asciiTheme="majorHAnsi" w:eastAsia="MS Mincho" w:hAnsiTheme="majorHAnsi"/>
          <w:sz w:val="22"/>
          <w:szCs w:val="22"/>
          <w:lang w:eastAsia="ja-JP"/>
        </w:rPr>
        <w:t>民族</w:t>
      </w:r>
      <w:r w:rsidRPr="00FA5AA0">
        <w:rPr>
          <w:rFonts w:asciiTheme="majorHAnsi" w:hAnsiTheme="majorHAnsi"/>
          <w:sz w:val="22"/>
          <w:szCs w:val="22"/>
        </w:rPr>
        <w:t>), and is often translated as “ethnic nation,” “ethno-nation,” or “nationality” (</w:t>
      </w:r>
      <w:proofErr w:type="spellStart"/>
      <w:r w:rsidRPr="00FA5AA0">
        <w:rPr>
          <w:rFonts w:asciiTheme="majorHAnsi" w:hAnsiTheme="majorHAnsi"/>
          <w:sz w:val="22"/>
          <w:szCs w:val="22"/>
        </w:rPr>
        <w:t>Gladney</w:t>
      </w:r>
      <w:proofErr w:type="spellEnd"/>
      <w:r w:rsidRPr="00FA5AA0">
        <w:rPr>
          <w:rFonts w:asciiTheme="majorHAnsi" w:hAnsiTheme="majorHAnsi"/>
          <w:sz w:val="22"/>
          <w:szCs w:val="22"/>
        </w:rPr>
        <w:t xml:space="preserve">, 2004).  The specific categories in use today were largely set in place after the People's Republic of China was founded in 1949, as the State set out to identify and recognize as minority nationalities those who qualified among the hundreds of groups applying for national minority status.  Following the Soviet model, decisions were based on the “four commons”: language, territory, economic life, and psychological make-up, meaning that ethnic minorities were identified as having common linguistic, economic, geographic, or cultural characteristics that distinguished them from the so-called Han majority population </w:t>
      </w:r>
      <w:r w:rsidRPr="00FA5AA0">
        <w:rPr>
          <w:rFonts w:asciiTheme="majorHAnsi" w:hAnsiTheme="majorHAnsi"/>
          <w:sz w:val="22"/>
          <w:szCs w:val="22"/>
        </w:rPr>
        <w:fldChar w:fldCharType="begin"/>
      </w:r>
      <w:r w:rsidRPr="00FA5AA0">
        <w:rPr>
          <w:rFonts w:asciiTheme="majorHAnsi" w:hAnsiTheme="majorHAnsi"/>
          <w:sz w:val="22"/>
          <w:szCs w:val="22"/>
        </w:rPr>
        <w:instrText xml:space="preserve"> ADDIN ZOTERO_ITEM CSL_CITATION {"citationID":"dl4Tb8w7","properties":{"formattedCitation":"(Fei, 1981; cited in Gladney, 2004)","plainCitation":"(Fei, 1981; cited in Gladney, 2004)"},"citationItems":[{"id":785,"uris":["http://zotero.org/users/992731/items/IPVHBDNU"],"uri":["http://zotero.org/users/992731/items/IPVHBDNU"],"itemData":{"id":785,"type":"book","title":"Toward a People's Anthropology","publisher":"New World Press","publisher-place":"Beijing","event-place":"Beijing","author":[{"family":"Fei","given":"Xiaotong"}],"issued":{"date-parts":[[1981]]}}},{"id":924,"uris":["http://zotero.org/users/992731/items/45PHWSCV"],"uri":["http://zotero.org/users/992731/items/45PHWSCV"],"itemData":{"id":924,"type":"book","title":"Dislocating China: Muslims, Minorities, and Other Subaltern Subjects","publisher":"University of Chicago Press","publisher-place":"Chicago","event-place":"Chicago","ISBN":"0226297756","author":[{"family":"Gladney","given":"D. C."}],"issued":{"date-parts":[[2004]]}},"prefix":"cited in "}],"schema":"https://github.com/citation-style-language/schema/raw/master/csl-citation.json"} </w:instrText>
      </w:r>
      <w:r w:rsidRPr="00FA5AA0">
        <w:rPr>
          <w:rFonts w:asciiTheme="majorHAnsi" w:hAnsiTheme="majorHAnsi"/>
          <w:sz w:val="22"/>
          <w:szCs w:val="22"/>
        </w:rPr>
        <w:fldChar w:fldCharType="separate"/>
      </w:r>
      <w:r w:rsidRPr="00FA5AA0">
        <w:rPr>
          <w:rFonts w:asciiTheme="majorHAnsi" w:eastAsia="SimSun" w:hAnsiTheme="majorHAnsi"/>
          <w:sz w:val="22"/>
          <w:szCs w:val="22"/>
          <w:lang w:eastAsia="zh-CN"/>
        </w:rPr>
        <w:t>(Fei, 1981; cited in Gladney, 2004)</w:t>
      </w:r>
      <w:r w:rsidRPr="00FA5AA0">
        <w:rPr>
          <w:rFonts w:asciiTheme="majorHAnsi" w:hAnsiTheme="majorHAnsi"/>
          <w:sz w:val="22"/>
          <w:szCs w:val="22"/>
        </w:rPr>
        <w:fldChar w:fldCharType="end"/>
      </w:r>
      <w:r w:rsidRPr="00FA5AA0">
        <w:rPr>
          <w:rFonts w:asciiTheme="majorHAnsi" w:hAnsiTheme="majorHAnsi"/>
          <w:sz w:val="22"/>
          <w:szCs w:val="22"/>
        </w:rPr>
        <w:t xml:space="preserve">.  Scholarly debates about their aptness notwithstanding, these classifications have become fairly set over time, with few new categories created in the ensuing years </w:t>
      </w:r>
      <w:r w:rsidRPr="00FA5AA0">
        <w:rPr>
          <w:rFonts w:asciiTheme="majorHAnsi" w:hAnsiTheme="majorHAnsi"/>
          <w:sz w:val="22"/>
          <w:szCs w:val="22"/>
        </w:rPr>
        <w:fldChar w:fldCharType="begin"/>
      </w:r>
      <w:r w:rsidRPr="00FA5AA0">
        <w:rPr>
          <w:rFonts w:asciiTheme="majorHAnsi" w:hAnsiTheme="majorHAnsi"/>
          <w:sz w:val="22"/>
          <w:szCs w:val="22"/>
        </w:rPr>
        <w:instrText xml:space="preserve"> ADDIN ZOTERO_ITEM CSL_CITATION {"citationID":"Tq0vVUs7","properties":{"formattedCitation":"{\\rtf (Gladney, 2004; see L. Tsung, 2009, pp. 72\\uc0\\u8211{}74 for examples of the complexity of the initial classifications)}","plainCitation":"(Gladney, 2004; see L. Tsung, 2009, pp. 72–74 for examples of the complexity of the initial classifications)"},"citationItems":[{"id":924,"uris":["http://zotero.org/users/992731/items/45PHWSCV"],"uri":["http://zotero.org/users/992731/items/45PHWSCV"],"itemData":{"id":924,"type":"book","title":"Dislocating China: Muslims, Minorities, and Other Subaltern Subjects","publisher":"University of Chicago Press","publisher-place":"Chicago","event-place":"Chicago","ISBN":"0226297756","author":[{"family":"Gladney","given":"D. C."}],"issued":{"date-parts":[[2004]]}}},{"id":3630,"uris":["http://zotero.org/users/992731/items/FBM22NPT"],"uri":["http://zotero.org/users/992731/items/FBM22NPT"],"itemData":{"id":3630,"type":"book","title":"Minority Languages, Education and Communities in China","publisher":"Palgrave Macmillan","publisher-place":"London","event-place":"London","URL":"http://www.palgrave.com/products/title.aspx?PID=280404","author":[{"family":"Tsung","given":"Linda"}],"issued":{"date-parts":[[2009]]},"accessed":{"date-parts":[[2012,4,29]]}},"locator":"72-74","prefix":"see ","suffix":"for examples of the complexity of the initial classifications"}],"schema":"https://github.com/citation-style-language/schema/raw/master/csl-citation.json"} </w:instrText>
      </w:r>
      <w:r w:rsidRPr="00FA5AA0">
        <w:rPr>
          <w:rFonts w:asciiTheme="majorHAnsi" w:hAnsiTheme="majorHAnsi"/>
          <w:sz w:val="22"/>
          <w:szCs w:val="22"/>
        </w:rPr>
        <w:fldChar w:fldCharType="separate"/>
      </w:r>
      <w:r w:rsidRPr="00FA5AA0">
        <w:rPr>
          <w:rFonts w:asciiTheme="majorHAnsi" w:hAnsiTheme="majorHAnsi"/>
          <w:sz w:val="22"/>
          <w:szCs w:val="22"/>
        </w:rPr>
        <w:t>(Gladney, 2004; see Tsung, 2009, pp. 72–74 for examples of the complexity of the initial classifications)</w:t>
      </w:r>
      <w:r w:rsidRPr="00FA5AA0">
        <w:rPr>
          <w:rFonts w:asciiTheme="majorHAnsi" w:hAnsiTheme="majorHAnsi"/>
          <w:sz w:val="22"/>
          <w:szCs w:val="22"/>
        </w:rPr>
        <w:fldChar w:fldCharType="end"/>
      </w:r>
      <w:r w:rsidRPr="00FA5AA0">
        <w:rPr>
          <w:rFonts w:asciiTheme="majorHAnsi" w:hAnsiTheme="majorHAnsi"/>
          <w:sz w:val="22"/>
          <w:szCs w:val="22"/>
        </w:rPr>
        <w:t>.  Today, the Chinese government officially recognizes 55 minority nationalities (</w:t>
      </w:r>
      <w:proofErr w:type="spellStart"/>
      <w:r w:rsidRPr="00FA5AA0">
        <w:rPr>
          <w:rFonts w:asciiTheme="majorHAnsi" w:hAnsiTheme="majorHAnsi"/>
          <w:sz w:val="22"/>
          <w:szCs w:val="22"/>
        </w:rPr>
        <w:t>少数民族，</w:t>
      </w:r>
      <w:r w:rsidRPr="00FA5AA0">
        <w:rPr>
          <w:rFonts w:asciiTheme="majorHAnsi" w:hAnsiTheme="majorHAnsi"/>
          <w:i/>
          <w:sz w:val="22"/>
          <w:szCs w:val="22"/>
        </w:rPr>
        <w:t>shaoshu</w:t>
      </w:r>
      <w:proofErr w:type="spellEnd"/>
      <w:r w:rsidRPr="00FA5AA0">
        <w:rPr>
          <w:rFonts w:asciiTheme="majorHAnsi" w:hAnsiTheme="majorHAnsi"/>
          <w:i/>
          <w:sz w:val="22"/>
          <w:szCs w:val="22"/>
        </w:rPr>
        <w:t xml:space="preserve"> </w:t>
      </w:r>
      <w:proofErr w:type="spellStart"/>
      <w:r w:rsidRPr="00FA5AA0">
        <w:rPr>
          <w:rFonts w:asciiTheme="majorHAnsi" w:hAnsiTheme="majorHAnsi"/>
          <w:i/>
          <w:sz w:val="22"/>
          <w:szCs w:val="22"/>
        </w:rPr>
        <w:t>minzu</w:t>
      </w:r>
      <w:proofErr w:type="spellEnd"/>
      <w:r w:rsidRPr="00FA5AA0">
        <w:rPr>
          <w:rFonts w:asciiTheme="majorHAnsi" w:hAnsiTheme="majorHAnsi"/>
          <w:sz w:val="22"/>
          <w:szCs w:val="22"/>
        </w:rPr>
        <w:t>), along with the Han majority nationality (</w:t>
      </w:r>
      <w:proofErr w:type="spellStart"/>
      <w:r w:rsidRPr="00FA5AA0">
        <w:rPr>
          <w:rFonts w:asciiTheme="majorHAnsi" w:hAnsiTheme="majorHAnsi"/>
          <w:sz w:val="22"/>
          <w:szCs w:val="22"/>
        </w:rPr>
        <w:t>汉族</w:t>
      </w:r>
      <w:proofErr w:type="spellEnd"/>
      <w:r w:rsidRPr="00FA5AA0">
        <w:rPr>
          <w:rFonts w:asciiTheme="majorHAnsi" w:hAnsiTheme="majorHAnsi"/>
          <w:sz w:val="22"/>
          <w:szCs w:val="22"/>
        </w:rPr>
        <w:t xml:space="preserve">, </w:t>
      </w:r>
      <w:proofErr w:type="spellStart"/>
      <w:r w:rsidRPr="00FA5AA0">
        <w:rPr>
          <w:rFonts w:asciiTheme="majorHAnsi" w:hAnsiTheme="majorHAnsi"/>
          <w:i/>
          <w:sz w:val="22"/>
          <w:szCs w:val="22"/>
        </w:rPr>
        <w:t>hanzu</w:t>
      </w:r>
      <w:proofErr w:type="spellEnd"/>
      <w:r w:rsidRPr="00FA5AA0">
        <w:rPr>
          <w:rFonts w:asciiTheme="majorHAnsi" w:hAnsiTheme="majorHAnsi"/>
          <w:sz w:val="22"/>
          <w:szCs w:val="22"/>
        </w:rPr>
        <w:t xml:space="preserve">), a “naturalized” category, and an unknown category that encompasses about 350 other ethnic groups not recognized individually </w:t>
      </w:r>
      <w:r w:rsidRPr="00FA5AA0">
        <w:rPr>
          <w:rFonts w:asciiTheme="majorHAnsi" w:hAnsiTheme="majorHAnsi"/>
          <w:sz w:val="22"/>
          <w:szCs w:val="22"/>
        </w:rPr>
        <w:fldChar w:fldCharType="begin"/>
      </w:r>
      <w:r w:rsidRPr="00FA5AA0">
        <w:rPr>
          <w:rFonts w:asciiTheme="majorHAnsi" w:hAnsiTheme="majorHAnsi"/>
          <w:sz w:val="22"/>
          <w:szCs w:val="22"/>
        </w:rPr>
        <w:instrText xml:space="preserve"> ADDIN ZOTERO_ITEM CSL_CITATION {"citationID":"MwdtWB5b","properties":{"formattedCitation":"(Wong, 2000, p. 56)","plainCitation":"(Wong, 2000, p. 56)"},"citationItems":[{"id":2850,"uris":["http://zotero.org/users/992731/items/9JMTUATB"],"uri":["http://zotero.org/users/992731/items/9JMTUATB"],"itemData":{"id":2850,"type":"article-journal","title":"Ethnic Integration and Spatial Segregation of the Chinese Population","container-title":"Asian Ethnicity","page":"53-72","volume":"1","issue":"1","abstract":"Because of the overwhelming numerical dominance of the Han within the Chinese population and the highly localised distributions of most minority groups, it is difficult to assess the level of either segregation or ethnic integration in China in a systematic or meaningful manner. Previous studies have either been limited to mapping the locations of minority groups or have been based on provincial data, which for analytical purposes are too coarse to characterise the geographical distribution of minority populations at the sub-provincial level. In this paper, county-level data were used to calculate a diversity index for each county to illustrate the level of ethnic diversity. The results of these analyses indicate that high levels of diversity for a particular province are limited to a specific geographic region within it (especially along the international boundary and in some mountainous areas), rather than characterising the province as a whole. The approach used in this paper also employs a new measure based upon the idea of a standard deviational ellipse—a measure that is used to evaluate the level of spatial segregation between ethnic groups. An index illustrating the degree of spatial correlation between ethnic groups was derived for each province using county-level data. The results indicate that, although major population groups in southern and western China display a low level of spatial correlation (i.e. they are highly segregated), these same areas nevertheless exhibit relatively high levels of ethnic diversity. [ABSTRACT FROM AUTHOR]; Copyright of Asian Ethnicity is the property of Routledge and its content may not be copied or emailed to multiple sites or posted to a listserv without the copyright holder's express written permission. However, users may print, download, or email articles for individual use. This abstract may be abridged. No warranty is given about the accuracy of the copy. Users should refer to the original published version of the material for the full abstract. (Copyright applies to all Abstracts)","note":"M3: Article; Accession Number: 3807975; Wong, David W.S.; Source Info: Mar2000, Vol. 1 Issue 1, p53; Subject Term: CULTURAL pluralism; Subject Term: SEGREGATION; Subject Term: CHINA; Number of Pages: 20p; Document Type: Article","author":[{"family":"Wong","given":"David W. S."}],"issued":{"date-parts":[["2000"]]}},"locator":"56"}],"schema":"https://github.com/citation-style-language/schema/raw/master/csl-citation.json"} </w:instrText>
      </w:r>
      <w:r w:rsidRPr="00FA5AA0">
        <w:rPr>
          <w:rFonts w:asciiTheme="majorHAnsi" w:hAnsiTheme="majorHAnsi"/>
          <w:sz w:val="22"/>
          <w:szCs w:val="22"/>
        </w:rPr>
        <w:fldChar w:fldCharType="separate"/>
      </w:r>
      <w:r w:rsidRPr="00FA5AA0">
        <w:rPr>
          <w:rFonts w:asciiTheme="majorHAnsi" w:eastAsia="SimSun" w:hAnsiTheme="majorHAnsi"/>
          <w:sz w:val="22"/>
          <w:szCs w:val="22"/>
          <w:lang w:eastAsia="zh-CN"/>
        </w:rPr>
        <w:t>(Wong, 2000, p. 56)</w:t>
      </w:r>
      <w:r w:rsidRPr="00FA5AA0">
        <w:rPr>
          <w:rFonts w:asciiTheme="majorHAnsi" w:hAnsiTheme="majorHAnsi"/>
          <w:sz w:val="22"/>
          <w:szCs w:val="22"/>
        </w:rPr>
        <w:fldChar w:fldCharType="end"/>
      </w:r>
      <w:r w:rsidRPr="00FA5AA0">
        <w:rPr>
          <w:rFonts w:asciiTheme="majorHAnsi" w:hAnsiTheme="majorHAnsi"/>
          <w:sz w:val="22"/>
          <w:szCs w:val="22"/>
        </w:rPr>
        <w:t xml:space="preserve">.  </w:t>
      </w:r>
    </w:p>
    <w:p w:rsidR="00FA5AA0" w:rsidRPr="00FA5AA0" w:rsidRDefault="00FA5AA0" w:rsidP="00627031">
      <w:pPr>
        <w:pStyle w:val="NormalIndent"/>
        <w:spacing w:line="240" w:lineRule="auto"/>
        <w:contextualSpacing/>
        <w:rPr>
          <w:rFonts w:asciiTheme="majorHAnsi" w:hAnsiTheme="majorHAnsi"/>
          <w:sz w:val="22"/>
          <w:szCs w:val="22"/>
        </w:rPr>
      </w:pPr>
      <w:r w:rsidRPr="00FA5AA0">
        <w:rPr>
          <w:rFonts w:asciiTheme="majorHAnsi" w:hAnsiTheme="majorHAnsi"/>
          <w:sz w:val="22"/>
          <w:szCs w:val="22"/>
        </w:rPr>
        <w:t xml:space="preserve">The officially-designated minority population in China grew from 5.8 percent of the total in the 1964 census to over 8 percent by the fifth population census in 2000 </w:t>
      </w:r>
      <w:r w:rsidRPr="00FA5AA0">
        <w:rPr>
          <w:rFonts w:asciiTheme="majorHAnsi" w:hAnsiTheme="majorHAnsi"/>
          <w:sz w:val="22"/>
          <w:szCs w:val="22"/>
        </w:rPr>
        <w:fldChar w:fldCharType="begin"/>
      </w:r>
      <w:r w:rsidRPr="00FA5AA0">
        <w:rPr>
          <w:rFonts w:asciiTheme="majorHAnsi" w:hAnsiTheme="majorHAnsi"/>
          <w:sz w:val="22"/>
          <w:szCs w:val="22"/>
        </w:rPr>
        <w:instrText xml:space="preserve"> ADDIN ZOTERO_ITEM CSL_CITATION {"citationID":"WzD5gLzt","properties":{"formattedCitation":"(West, 2004)","plainCitation":"(West, 2004)"},"citationItems":[{"id":2798,"uris":["http://zotero.org/users/992731/items/HJ337PMN"],"uri":["http://zotero.org/users/992731/items/HJ337PMN"],"itemData":{"id":2798,"type":"paper-conference","title":"Demographic and Socioeconomic Status of China's Minority Ethnic Population: Any Closing of the Gap?","container-title":"Session 110: Racial and Ethnic Differences in Schooling: International Contexts","publisher-place":"Boston, MA","page":"1-30","event":"Population Association of America","event-place":"Boston, MA","abstract":"Paper presented at the Annual Meeting of the Population Association of America, April 1-3, 2004, Boston, Massachusetts.","URL":"http://proxy.library.upenn.edu:9523/download.asp?submissionId=41095","author":[{"family":"West","given":"Loraine A."}],"issued":{"date-parts":[[2004,4,1]]}}}],"schema":"https://github.com/citation-style-language/schema/raw/master/csl-citation.json"} </w:instrText>
      </w:r>
      <w:r w:rsidRPr="00FA5AA0">
        <w:rPr>
          <w:rFonts w:asciiTheme="majorHAnsi" w:hAnsiTheme="majorHAnsi"/>
          <w:sz w:val="22"/>
          <w:szCs w:val="22"/>
        </w:rPr>
        <w:fldChar w:fldCharType="separate"/>
      </w:r>
      <w:r w:rsidRPr="00FA5AA0">
        <w:rPr>
          <w:rFonts w:asciiTheme="majorHAnsi" w:eastAsia="SimSun" w:hAnsiTheme="majorHAnsi"/>
          <w:sz w:val="22"/>
          <w:szCs w:val="22"/>
          <w:lang w:eastAsia="zh-CN"/>
        </w:rPr>
        <w:t>(West, 2004)</w:t>
      </w:r>
      <w:r w:rsidRPr="00FA5AA0">
        <w:rPr>
          <w:rFonts w:asciiTheme="majorHAnsi" w:hAnsiTheme="majorHAnsi"/>
          <w:sz w:val="22"/>
          <w:szCs w:val="22"/>
        </w:rPr>
        <w:fldChar w:fldCharType="end"/>
      </w:r>
      <w:r w:rsidRPr="00FA5AA0">
        <w:rPr>
          <w:rFonts w:asciiTheme="majorHAnsi" w:hAnsiTheme="majorHAnsi"/>
          <w:sz w:val="22"/>
          <w:szCs w:val="22"/>
        </w:rPr>
        <w:t xml:space="preserve">.  According to the sixth national census conducted in 2010, the total minority population of mainland China was 113.79 million, accounting for 8.49 percent of the total population and roughly the size of the total population of Mexico. Compared with 2000, the minority population increased by 7.36 million, which is an increase of 6.92 percent.  The growth rate for the Han population in the same year was 5.74 percent (National Bureau of Statistics, 2011).  China’s minority populations are culturally and linguistically diverse, as suggested by the fact that they span the Sino-Tibetan, Indo-European, Austro-Asiatic, and Altaic language families </w:t>
      </w:r>
      <w:r w:rsidRPr="00FA5AA0">
        <w:rPr>
          <w:rFonts w:asciiTheme="majorHAnsi" w:hAnsiTheme="majorHAnsi"/>
          <w:sz w:val="22"/>
          <w:szCs w:val="22"/>
        </w:rPr>
        <w:fldChar w:fldCharType="begin"/>
      </w:r>
      <w:r w:rsidRPr="00FA5AA0">
        <w:rPr>
          <w:rFonts w:asciiTheme="majorHAnsi" w:hAnsiTheme="majorHAnsi"/>
          <w:sz w:val="22"/>
          <w:szCs w:val="22"/>
        </w:rPr>
        <w:instrText xml:space="preserve"> ADDIN ZOTERO_ITEM CSL_CITATION {"citationID":"Zk9OSrPI","properties":{"formattedCitation":"(Hannum &amp; Wang, 2012, Map 1)","plainCitation":"(Hannum &amp; Wang, 2012, Map 1)"},"citationItems":[{"id":1062,"uris":["http://zotero.org/users/992731/items/FUFFIB96"],"uri":["http://zotero.org/users/992731/items/FUFFIB96"],"itemData":{"id":1062,"type":"chapter","title":"China: A Case Study in Rapid Poverty Reduction","collection-title":"Indigenous Peoples, Poverty, and Development","publisher":"Cambridge University Press","publisher-place":"Cambridge, UK","event-place":"Cambridge, UK","author":[{"family":"Hannum","given":"Emily"},{"family":"Wang","given":"Meiyan"}],"editor":[{"family":"Hall","given":"Gillette"},{"family":"Patrinos","given":"Harry A."}],"issued":{"year":2012}},"suffix":", Map 1"}],"schema":"https://github.com/citation-style-language/schema/raw/master/csl-citation.json"} </w:instrText>
      </w:r>
      <w:r w:rsidRPr="00FA5AA0">
        <w:rPr>
          <w:rFonts w:asciiTheme="majorHAnsi" w:hAnsiTheme="majorHAnsi"/>
          <w:sz w:val="22"/>
          <w:szCs w:val="22"/>
        </w:rPr>
        <w:fldChar w:fldCharType="separate"/>
      </w:r>
      <w:r w:rsidRPr="00FA5AA0">
        <w:rPr>
          <w:rFonts w:asciiTheme="majorHAnsi" w:eastAsia="SimSun" w:hAnsiTheme="majorHAnsi"/>
          <w:sz w:val="22"/>
          <w:szCs w:val="22"/>
          <w:lang w:eastAsia="zh-CN"/>
        </w:rPr>
        <w:t>(Hannum &amp; Wang, 2012, Map 1)</w:t>
      </w:r>
      <w:r w:rsidRPr="00FA5AA0">
        <w:rPr>
          <w:rFonts w:asciiTheme="majorHAnsi" w:hAnsiTheme="majorHAnsi"/>
          <w:sz w:val="22"/>
          <w:szCs w:val="22"/>
        </w:rPr>
        <w:fldChar w:fldCharType="end"/>
      </w:r>
      <w:r w:rsidRPr="00FA5AA0">
        <w:rPr>
          <w:rFonts w:asciiTheme="majorHAnsi" w:hAnsiTheme="majorHAnsi"/>
          <w:sz w:val="22"/>
          <w:szCs w:val="22"/>
        </w:rPr>
        <w:t xml:space="preserve">.  </w:t>
      </w:r>
    </w:p>
    <w:p w:rsidR="00FA5AA0" w:rsidRPr="00FA5AA0" w:rsidRDefault="00FA5AA0" w:rsidP="00627031">
      <w:pPr>
        <w:pStyle w:val="NormalIndent"/>
        <w:spacing w:line="240" w:lineRule="auto"/>
        <w:contextualSpacing/>
        <w:rPr>
          <w:rFonts w:asciiTheme="majorHAnsi" w:hAnsiTheme="majorHAnsi"/>
          <w:sz w:val="22"/>
          <w:szCs w:val="22"/>
        </w:rPr>
      </w:pPr>
      <w:r w:rsidRPr="00FA5AA0">
        <w:rPr>
          <w:rFonts w:asciiTheme="majorHAnsi" w:hAnsiTheme="majorHAnsi"/>
          <w:sz w:val="22"/>
          <w:szCs w:val="22"/>
        </w:rPr>
        <w:t xml:space="preserve">China has designated a system of regional autonomous areas in locations where large numbers of ethnic minorities reside </w:t>
      </w:r>
      <w:r w:rsidRPr="00FA5AA0">
        <w:rPr>
          <w:rFonts w:asciiTheme="majorHAnsi" w:hAnsiTheme="majorHAnsi"/>
          <w:sz w:val="22"/>
          <w:szCs w:val="22"/>
        </w:rPr>
        <w:fldChar w:fldCharType="begin"/>
      </w:r>
      <w:r w:rsidRPr="00FA5AA0">
        <w:rPr>
          <w:rFonts w:asciiTheme="majorHAnsi" w:hAnsiTheme="majorHAnsi"/>
          <w:sz w:val="22"/>
          <w:szCs w:val="22"/>
        </w:rPr>
        <w:instrText xml:space="preserve"> ADDIN ZOTERO_ITEM CSL_CITATION {"citationID":"1d1n8i9v0t","properties":{"formattedCitation":"(China, 2000, sec. 3)","plainCitation":"(China, 2000, sec. 3)"},"citationItems":[{"id":1283,"uris":["http://zotero.org/users/992731/items/FXGQFINZ"],"uri":["http://zotero.org/users/992731/items/FXGQFINZ"],"itemData":{"id":1283,"type":"book","title":"National Minorities Policy and Its Practice in China","collection-number":"3/31/2009","volume":"2009","URL":"http://www.china.org.cn/e-white/4/4.3.htm","note":"In China regional autonomy for ethnic minorities is a basic policy adopted by the Chinese government in line with the actual conditions of China, and also an important part of the political system of China. Regional autonomy for ethnic minorities means that under the unified leadership of the state regional autonomy is practiced in areas where people of ethnic minorities live in concentrated communities; in these areas organs of self-government are established for the exercise of autonomy and for people of ethnic minorities to become masters of their own areas and manage the internal affairs of their own regions. Autonomous areas for ethnic minorities in China include autonomous regions, autonomous prefectures and autonomous counties (banners). 1) Autonomous areas are established where people of one ethnic minority live in concentrated communities, such as the Xinjiang Uygur Autonomous Region; 2) autonomous areas are established where two ethnic minorities live in concentrated communities, such as the Haixi Mongolian-Tibetan Autonomous Prefecture in Qinghai Province; 3) autonomous areas are established where several ethnic minorities live in concentrated communities, such as the Longsheng Ethnic Minorities Autonomous County in the Guangxi Zhuang Autonomous Region; 4) autonomous areas are established within a larger autonomous area where people of an ethnic minority with a smaller population live in concentrated communities, such as the Gongcheng Yao Autonomous County in the Guangxi Zhuang Autonomous Region; 5) autonomous areas are established for people of one ethnic minority who live in concentrated communities in different places, such as the Ningxia Hui Autonomous Region, the Linxia Hui Autonomous Prefecture in Gansu Province and the Dachang Hui Autonomous County in Hebei Province. For places where ethnic minorities live in concentrated communities but where autonomous areas and organs of self-government are not fit to be established because the areas and populations of the ethnic minorities are too small, ethnic townships are established so that the minority peoples there can also exercise their rights as masters of their homelands. Ethnic townships are a supplement to the system of regional autonomy. By the end of 1998, five autonomous regions, 30 autonomous prefectures and 120 autonomous counties (banners) had been established, as well as 1,256 ethnic townships. Among the 55 ethnic minorities, 44 have their own autonomous areas, with a population of 75 percent of the total of the ethnic minorities and an area of 64 percent of the area of the whole country. The number and distribution of the autonomous areas are basically the same as the distribution and composition of the ethnic groups nationwide7. The following are the three reasons for China to practice the system of regional autonomy for ethnic minorities: First, it conforms to the conditions and historical traditions of China, because China has been centralized and united country over a long period of time. Second, over a long period of time China's ethnic groups have lived together over vast areas while some live in individual concentrated communities in small areas. The Han population accounts for the majority of the total population of the country, while the populations of ethnic minorities are in the minority. In the early period of the People's Republic of China, ethnic minorities only accounted for six percent of China's total population. In most multi-ethnic group areas the population of the national minorities is less than that of the Han people except in Tibet, Xinjiang and a few other regions. The national minorities are distributed over large areas, in more than half of the total territory of China. Economic and cultural contacts over long periods have evolved among them a relationship in which cooperation and mutual assistance, rather than separation, is the best choice for them. Third, following the outbreak of the Opium War in 1840, all the ethnic groups of China were faced with the common task and destiny of struggling against imperialism and feudalism and striving for national liberation. In the long-term revolutionary struggle against foreign enemies and for national independence and liberation, the various ethnic groups have developed a close interrelationship characterized by the sharing of weal and woe, and the common political understanding that the Han people cannot go without the minority peoples nor can the minority peoples go without the Han people or one minority people can go without another minority people. So a solid political and social foundation for the establishment of a united New China and the practice of regional autonomy in minority areas was laid in that period. Regional autonomy for ethnic minorities conforms with the national interests and the fundamental interests of the people of all ethnic groups in China. The practice of regional autonomy for ethnic minorities has ensured their equal footing and equal rights politically and satisfied the desire of all the ethnic minorities to take an active part in nation's political activities to a large extent. According to the principle of regional autonomy for ethnic minorities, an ethnic group may establish an autonomous area in a region where it lives in concentrated communities, or it may establish several autonomous areas at different administrative levels in other parts of the country in line with the distribution of the ethnic group. The practice of regional autonomy not only ensures the rights of the ethnic minorities to exercise autonomy as masters of their homelands, but also upholds the unification of the state. It enhances the combination of state policies and principles and the concrete conditions of the ethnic minority areas and the integrated development of the state and the ethnic minorities, the better for each to give free rein to its own advantages. The system of regional autonomy in China has two distinguishing features. First, regional autonomy is under the unified leadership of the state, and the autonomous areas are inseparable parts of China. The organs of self-government of the autonomous areas are local governments under the leadership of the Central Government, and they must be subordinated to the centralized and unified leadership of the Central Government. The concrete conditions and requirements of the various minority areas must be taken into full consideration and assistance and support solicited from all quarters when policies and plans are formulated and economic and cultural construction is conducted by the organs of state at higher levels. Second, regional autonomy for ethnic minorities in China is not only ethnic autonomy or local autonomy, but is the integration of ethnic and regional factors and the combination of political and economic factors. The practice of regional autonomy in China should be beneficial to the unification of the country, social stability and the unity of all ethnic groups; it should also benefit the development and progress of the ethnic group that practices autonomy and assist in national construction. The establishment of the system of regional autonomy for ethnic minorities has undergone long period of exploration and practice. Under the leadership of the Chinese Communist Party, the first provincial-level autonomous region–the Inner Mongolia Autonomous Region– was founded in 1947. The Common Program of the CPPCC, adopted at the first CPPCC session on September 29, 1949 and serving as the country's provisional constitution, defined regional autonomy for ethnic minorities as a basic policy and one of the important political systems of the state. The Program for the Implementation of Ethnic Regional Autonomy of the People's Republic of China, issued on August 8, 1952, embodied overall arrangements for the implementation of regional autonomy for national minorities. The Constitution of the People's Republic of China adopted in 1954 and later amended and promulgated defines such autonomy as an important political system of state. The Law of the People's Republic of China on Ethnic Regional Autonomy, promulgated in 1984, contains systematic provisions on the political, economic and cultural rights and duties of ethnic minority autonomous areas. After the founding of the People's Republic of China, four autonomous regions were established successively: the Xinjiang Uygur Autonomous Region, founded in October 1955; the Guangxi Zhuang Autonomous Region, founded in March 1958; the Ningxia Hui Autonomous Region, founded in October 1958; and the Tibet Autonomous Region, founded in September 1965. The Constitution stipulates that the organs of self-government of autonomous areas are the people's congresses and people's governments of autonomous regions, autonomous prefectures and autonomous counties. The establishment and organization of organs of self-government of autonomous areas are based on the basic principles of the people's congress system, but these organs are different from ordinary local state organs. The Law on Ethnic Regional Autonomy stipulates that all ethnic groups in autonomous areas shall elect an appropriate number of deputies to take part in the people's congresses at various levels; among the chairman or vice-chairmen of the standing committee of the people's congress of an autonomous area there shall be one or more citizens of the ethnic group or groups exercising regional autonomy in the area concerned; the head of an autonomous region, autonomous prefecture or autonomous county shall be a citizen of the ethnic group exercising regional autonomy in the area concerned, and the other members of the people's governments of these regions, prefectures and counties shall include members of the ethnic group exercising regional autonomy as well as members of other ethnic minorities as far as possible. While exercising the functions and powers of a local organ of state, organs of self-government in autonomous areas at the same time exercise other functions and powers as stipulated by the Constitution and the Law on Ethnic Regional Autonomy. These include legislative power, the power to flexibly carry out, or halt the carrying out of, some decisions, the right to develop their economics and control the local finances, the power to train and employ cadres belonging to ethnic minorities, the power to develop education and ethnic culture, the power to develop and employ the local spoken and written languages, and the power to develop technological, scientific and cultural and undertakings. –The people's congresses of the autonomous areas have the right to enact regulations on the exercise of autonomy and separate regulations in light of local political, economic and cultural characteristics. By the end of 1998, 126 regulations on the exercise of autonomy and 209 separate regulations had been enacted by the autonomous areas. –If resolutions, decisions, orders and instructions from the higher-level state organs are not suited to the actual conditions of the autonomous areas, the organs of self-government of these areas may be flexible in carrying them out or may decide not to carry them out after approval by the higher state organs. According to Article 36 of the Marriage Law of the People's Republic of China, supplementary regulations have been worked out for carrying out the Marriage Law by the five autonomous regions and some autonomous prefectures in line with their own actual conditions. They changed the legal marriage age from “not below 22” to 'ŉot below 20 for men” and from “not below 20” to 'ŉot below 18 for women.” –Organs of self-government of autonomous areas may independently arrange and manage local economic construction within the guidance of state planning, and formulate policies, principles and plans for their economic construction according to their local characteristics and requirements. Owing to the adoption of a series of policies and measures suitable for the concrete conditions of local economic development, the economy of the Inner Mongolia Autonomous Region has seen rapid development. In 1998, its GDP had reached 119.202 billion yuan, with a per capita average GDP of 5,067 yuan, and its revenue was 13.12 billion yuan, with per capita average incomes of 4,353 yuan and 1,981 yuan in urban and rural areas, respectively–increases of 9.6 , 7.5, 17.9, 10.4 and 11.3 percent8. –The organs of self-government in the autonomous areas have trained a large number of minority cadres, technicians, management personnel and other specialized personnel and skilled workers in line with the needs of national construction and brought their roles in work into full play. There were 372,900 minority cadres in the Guangxi Zhuang Autonomous Region in 1998, accounting for 35 percent of the total cadres in Guangxi. The chief leaders of the governments of the 12 autonomous counties of this region are from the ethnic minorities exercising regional autonomy and the heads of the region's 62 ethnic townships are also from the ethnic minorities that have established such townships. Minority Party and government leaders of prefectures (cities), counties and townships in this region account for 26.92 percent, 39.71 percent and 48.03 percent of the total Party and government leaders of this region, respectively. Among the reserve cadres at the provincial, prefectural and county levels, minority cadres account for 46 percent, 32 percent, and 35 percent, respectively. In 1998, Tibetan cadres accounted for 74.9 percent of the total in the Tibet Autonomous Region, and at the regional, prefectural and county levels Tibetan cadres and cadres from other local ethnic minorities accounted for 78 percent, 67 percent and 62 percent, respectively. At the same time, cadres from the Tibetan and other ethnic minorities account for more than 60 percent in the scientific and technological departments. –Organs of self-government of autonomous areas may decide their own local education programs, including the establishment of schools, the length of study, the forms of school running, course contents, language of instruction and procedures of enrollment and develop independently their own type of education based on their ethnic minority characteristics and within the state education policies and relevant laws (see Table 1). Before 1949, the illiteracy rate was upwards of 95 percent in Ningxia, and there was not a single institution of higher learning. But today, a rational multi-level educational system embracing different types of school that complement each other for coordinated development is in place in the Ningxia Hui Autonomous Region. By 1998, there were 6,100 different kinds of schools in Ningxia, with a total of 1.3 million students. Among them there were five institutions of higher learning, with 11,000 students. As a result, in this region 89.5 percent of the people are literate. In old Tibet, there were no schools in the modern sense, and the illiteracy rate was 95 percent. But by 1998, there were 4,365 schools of all levels in the Tibet Autonomous Region. About 81.3 percent of school-age children now attend school, and the illiteracy rate has been reduced by 47 percentage points","author":[{"family":"China","given":"Information Office of the State Council of the People's Republic of"}],"issued":{"date-parts":[[2000]]}},"locator":"3","label":"section"}],"schema":"https://github.com/citation-style-language/schema/raw/master/csl-citation.json"} </w:instrText>
      </w:r>
      <w:r w:rsidRPr="00FA5AA0">
        <w:rPr>
          <w:rFonts w:asciiTheme="majorHAnsi" w:hAnsiTheme="majorHAnsi"/>
          <w:sz w:val="22"/>
          <w:szCs w:val="22"/>
        </w:rPr>
        <w:fldChar w:fldCharType="separate"/>
      </w:r>
      <w:r w:rsidRPr="00FA5AA0">
        <w:rPr>
          <w:rFonts w:asciiTheme="majorHAnsi" w:eastAsia="SimSun" w:hAnsiTheme="majorHAnsi"/>
          <w:sz w:val="22"/>
          <w:szCs w:val="22"/>
          <w:lang w:eastAsia="zh-CN"/>
        </w:rPr>
        <w:t>(China, 2000, sec. 3)</w:t>
      </w:r>
      <w:r w:rsidRPr="00FA5AA0">
        <w:rPr>
          <w:rFonts w:asciiTheme="majorHAnsi" w:hAnsiTheme="majorHAnsi"/>
          <w:sz w:val="22"/>
          <w:szCs w:val="22"/>
        </w:rPr>
        <w:fldChar w:fldCharType="end"/>
      </w:r>
      <w:r w:rsidRPr="00FA5AA0">
        <w:rPr>
          <w:rFonts w:asciiTheme="majorHAnsi" w:hAnsiTheme="majorHAnsi"/>
          <w:sz w:val="22"/>
          <w:szCs w:val="22"/>
        </w:rPr>
        <w:t xml:space="preserve">.  At the highest levels are the five provincial-level autonomous regions: the Inner Mongolia Autonomous Region, founded in 1947; the Xinjiang Uygur Autonomous Region, founded in 1955; the Guangxi </w:t>
      </w:r>
      <w:proofErr w:type="spellStart"/>
      <w:r w:rsidRPr="00FA5AA0">
        <w:rPr>
          <w:rFonts w:asciiTheme="majorHAnsi" w:hAnsiTheme="majorHAnsi"/>
          <w:sz w:val="22"/>
          <w:szCs w:val="22"/>
        </w:rPr>
        <w:t>Zhuang</w:t>
      </w:r>
      <w:proofErr w:type="spellEnd"/>
      <w:r w:rsidRPr="00FA5AA0">
        <w:rPr>
          <w:rFonts w:asciiTheme="majorHAnsi" w:hAnsiTheme="majorHAnsi"/>
          <w:sz w:val="22"/>
          <w:szCs w:val="22"/>
        </w:rPr>
        <w:t xml:space="preserve"> Autonomous Region, founded in 1958; the Ningxia </w:t>
      </w:r>
      <w:proofErr w:type="spellStart"/>
      <w:r w:rsidRPr="00FA5AA0">
        <w:rPr>
          <w:rFonts w:asciiTheme="majorHAnsi" w:hAnsiTheme="majorHAnsi"/>
          <w:sz w:val="22"/>
          <w:szCs w:val="22"/>
        </w:rPr>
        <w:t>Hui</w:t>
      </w:r>
      <w:proofErr w:type="spellEnd"/>
      <w:r w:rsidRPr="00FA5AA0">
        <w:rPr>
          <w:rFonts w:asciiTheme="majorHAnsi" w:hAnsiTheme="majorHAnsi"/>
          <w:sz w:val="22"/>
          <w:szCs w:val="22"/>
        </w:rPr>
        <w:t xml:space="preserve"> Autonomous Region, also founded in 1958; and the Tibet Autonomous Region, founded in 1965.  Also, below provincial-level administrative divisions are autonomous prefectures and autonomous counties, which can exist outside of autonomous regions.  China's regional ethnic autonomous zones are in 21 provinces and 741 county-level administrative regions (Ma, 2007).  </w:t>
      </w:r>
    </w:p>
    <w:p w:rsidR="00FA5AA0" w:rsidRPr="00FA5AA0" w:rsidRDefault="00FA5AA0" w:rsidP="00627031">
      <w:pPr>
        <w:pStyle w:val="NormalIndent"/>
        <w:spacing w:line="240" w:lineRule="auto"/>
        <w:contextualSpacing/>
        <w:rPr>
          <w:rFonts w:asciiTheme="majorHAnsi" w:hAnsiTheme="majorHAnsi"/>
          <w:sz w:val="22"/>
          <w:szCs w:val="22"/>
        </w:rPr>
      </w:pPr>
      <w:r w:rsidRPr="00FA5AA0">
        <w:rPr>
          <w:rFonts w:asciiTheme="majorHAnsi" w:hAnsiTheme="majorHAnsi"/>
          <w:sz w:val="22"/>
          <w:szCs w:val="22"/>
        </w:rPr>
        <w:t xml:space="preserve">Ethnic minorities disproportionately reside in the poor western region of China, with 71.63 percent of minorities living in this region.  In the central region, 15.95 percent of the total ethnic minority population of China resides, and 12.42 percent reside in the eastern region. The western region accounts for 91.63 percent of all ethnic autonomous counties, or 741 regions, the majority of which reside in five minority autonomous regions.  5.13 percent of ethnic autonomous counties are located in the central region and 3.24 percent are in the eastern region.  Among these county administrative units, almost 40 percent are designated as national poverty counties (National Bureau of Statistics, 2011).  However, there is great variability across individual groups in patterns of residence and vulnerability to poverty </w:t>
      </w:r>
      <w:r w:rsidRPr="00FA5AA0">
        <w:rPr>
          <w:rFonts w:asciiTheme="majorHAnsi" w:hAnsiTheme="majorHAnsi"/>
          <w:sz w:val="22"/>
          <w:szCs w:val="22"/>
        </w:rPr>
        <w:fldChar w:fldCharType="begin"/>
      </w:r>
      <w:r w:rsidRPr="00FA5AA0">
        <w:rPr>
          <w:rFonts w:asciiTheme="majorHAnsi" w:hAnsiTheme="majorHAnsi"/>
          <w:sz w:val="22"/>
          <w:szCs w:val="22"/>
        </w:rPr>
        <w:instrText xml:space="preserve"> ADDIN ZOTERO_ITEM CSL_CITATION {"citationID":"9js89lnhb","properties":{"formattedCitation":"(Hannum &amp; Wang, 2012)","plainCitation":"(Hannum &amp; Wang, 2012)"},"citationItems":[{"id":1062,"uris":["http://zotero.org/users/992731/items/FUFFIB96"],"uri":["http://zotero.org/users/992731/items/FUFFIB96"],"itemData":{"id":1062,"type":"chapter","title":"China: A Case Study in Rapid Poverty Reduction","collection-title":"Indigenous Peoples, Poverty, and Development","publisher":"Cambridge University Press","publisher-place":"Cambridge, UK","event-place":"Cambridge, UK","author":[{"family":"Hannum","given":"Emily"},{"family":"Wang","given":"Meiyan"}],"editor":[{"family":"Hall","given":"Gillette"},{"family":"Patrinos","given":"Harry A."}],"issued":{"date-parts":[[2012]]}}}],"schema":"https://github.com/citation-style-language/schema/raw/master/csl-citation.json"} </w:instrText>
      </w:r>
      <w:r w:rsidRPr="00FA5AA0">
        <w:rPr>
          <w:rFonts w:asciiTheme="majorHAnsi" w:hAnsiTheme="majorHAnsi"/>
          <w:sz w:val="22"/>
          <w:szCs w:val="22"/>
        </w:rPr>
        <w:fldChar w:fldCharType="separate"/>
      </w:r>
      <w:r w:rsidRPr="00FA5AA0">
        <w:rPr>
          <w:rFonts w:asciiTheme="majorHAnsi" w:hAnsiTheme="majorHAnsi"/>
          <w:sz w:val="22"/>
          <w:szCs w:val="22"/>
        </w:rPr>
        <w:t>(Hannum &amp; Wang, 2012)</w:t>
      </w:r>
      <w:r w:rsidRPr="00FA5AA0">
        <w:rPr>
          <w:rFonts w:asciiTheme="majorHAnsi" w:hAnsiTheme="majorHAnsi"/>
          <w:sz w:val="22"/>
          <w:szCs w:val="22"/>
        </w:rPr>
        <w:fldChar w:fldCharType="end"/>
      </w:r>
      <w:r w:rsidRPr="00FA5AA0">
        <w:rPr>
          <w:rFonts w:asciiTheme="majorHAnsi" w:hAnsiTheme="majorHAnsi"/>
          <w:sz w:val="22"/>
          <w:szCs w:val="22"/>
        </w:rPr>
        <w:t>.</w:t>
      </w:r>
    </w:p>
    <w:p w:rsidR="00FA5AA0" w:rsidRPr="00FA5AA0" w:rsidRDefault="00FA5AA0" w:rsidP="00627031">
      <w:pPr>
        <w:pStyle w:val="Heading2"/>
        <w:spacing w:line="240" w:lineRule="auto"/>
        <w:contextualSpacing/>
        <w:rPr>
          <w:rFonts w:asciiTheme="majorHAnsi" w:hAnsiTheme="majorHAnsi"/>
          <w:sz w:val="22"/>
          <w:szCs w:val="22"/>
        </w:rPr>
      </w:pPr>
      <w:r w:rsidRPr="00FA5AA0">
        <w:rPr>
          <w:rFonts w:asciiTheme="majorHAnsi" w:hAnsiTheme="majorHAnsi"/>
          <w:sz w:val="22"/>
          <w:szCs w:val="22"/>
        </w:rPr>
        <w:t>China’s Educational System</w:t>
      </w:r>
    </w:p>
    <w:p w:rsidR="00FA5AA0" w:rsidRPr="00FA5AA0" w:rsidRDefault="00FA5AA0" w:rsidP="00627031">
      <w:pPr>
        <w:pStyle w:val="NormalIndent"/>
        <w:spacing w:line="240" w:lineRule="auto"/>
        <w:contextualSpacing/>
        <w:rPr>
          <w:rFonts w:asciiTheme="majorHAnsi" w:hAnsiTheme="majorHAnsi"/>
          <w:sz w:val="22"/>
          <w:szCs w:val="22"/>
          <w:shd w:val="clear" w:color="auto" w:fill="FFFFFF"/>
        </w:rPr>
      </w:pPr>
      <w:r w:rsidRPr="00FA5AA0">
        <w:rPr>
          <w:rFonts w:asciiTheme="majorHAnsi" w:hAnsiTheme="majorHAnsi"/>
          <w:sz w:val="22"/>
          <w:szCs w:val="22"/>
        </w:rPr>
        <w:t>China has a centralized education management system, and there has been much uniformity across the country in terms of curricula, textbooks, and examinations, particularly at the transition from high school to college.</w:t>
      </w:r>
      <w:r w:rsidRPr="00FA5AA0">
        <w:rPr>
          <w:rStyle w:val="FootnoteReference"/>
          <w:rFonts w:asciiTheme="majorHAnsi" w:hAnsiTheme="majorHAnsi"/>
          <w:sz w:val="22"/>
          <w:szCs w:val="22"/>
        </w:rPr>
        <w:footnoteReference w:id="1"/>
      </w:r>
      <w:r w:rsidRPr="00FA5AA0">
        <w:rPr>
          <w:rFonts w:asciiTheme="majorHAnsi" w:hAnsiTheme="majorHAnsi"/>
          <w:sz w:val="22"/>
          <w:szCs w:val="22"/>
        </w:rPr>
        <w:t xml:space="preserve">  With the exception of some special preparatory education classes, the education system for minorities and China's national educational system are very similar (Figure 1).  China’s educational system includes general education, vocational education, and adult education, with the greatest resources and attention invested in general education. General education consists of nine years of compulsory education, divided into six years of elementary school and three years of junior middle school.  Compulsory education plus three years of high school are considered basic education.  </w:t>
      </w:r>
      <w:r w:rsidRPr="00FA5AA0">
        <w:rPr>
          <w:rFonts w:asciiTheme="majorHAnsi" w:hAnsiTheme="majorHAnsi"/>
          <w:sz w:val="22"/>
          <w:szCs w:val="22"/>
          <w:shd w:val="clear" w:color="auto" w:fill="FFFFFF"/>
        </w:rPr>
        <w:t xml:space="preserve">Children six years of age are required to attend primary schools, most often located near their residence, and there is no examination requirement to transition in junior middle school.  Junior middle school graduates, however, generally have to pass an entrance examination to enroll in upper secondary schools </w:t>
      </w:r>
      <w:r w:rsidRPr="00FA5AA0">
        <w:rPr>
          <w:rFonts w:asciiTheme="majorHAnsi" w:hAnsiTheme="majorHAnsi"/>
          <w:sz w:val="22"/>
          <w:szCs w:val="22"/>
        </w:rPr>
        <w:t>(Ministry of Education, 1983; 2001)</w:t>
      </w:r>
      <w:r w:rsidRPr="00FA5AA0">
        <w:rPr>
          <w:rFonts w:asciiTheme="majorHAnsi" w:hAnsiTheme="majorHAnsi"/>
          <w:sz w:val="22"/>
          <w:szCs w:val="22"/>
          <w:shd w:val="clear" w:color="auto" w:fill="FFFFFF"/>
        </w:rPr>
        <w:t>.</w:t>
      </w:r>
      <w:r w:rsidRPr="00FA5AA0">
        <w:rPr>
          <w:rStyle w:val="FootnoteReference"/>
          <w:rFonts w:asciiTheme="majorHAnsi" w:hAnsiTheme="majorHAnsi"/>
          <w:sz w:val="22"/>
          <w:szCs w:val="22"/>
        </w:rPr>
        <w:footnoteReference w:id="2"/>
      </w:r>
      <w:r w:rsidRPr="00FA5AA0">
        <w:rPr>
          <w:rFonts w:asciiTheme="majorHAnsi" w:hAnsiTheme="majorHAnsi"/>
          <w:sz w:val="22"/>
          <w:szCs w:val="22"/>
          <w:shd w:val="clear" w:color="auto" w:fill="FFFFFF"/>
        </w:rPr>
        <w:t xml:space="preserve">  An entrance examination is also typically required for entrance into the university system, and remains the primary entrance requirement for the majority of universities in China (Hannum, An, &amp; Cherng, 2011).  </w:t>
      </w:r>
    </w:p>
    <w:p w:rsidR="00FA5AA0" w:rsidRPr="00FA5AA0" w:rsidRDefault="00FA5AA0" w:rsidP="00627031">
      <w:pPr>
        <w:pStyle w:val="NormalIndent"/>
        <w:spacing w:line="240" w:lineRule="auto"/>
        <w:contextualSpacing/>
        <w:rPr>
          <w:rFonts w:asciiTheme="majorHAnsi" w:hAnsiTheme="majorHAnsi"/>
          <w:sz w:val="22"/>
          <w:szCs w:val="22"/>
        </w:rPr>
      </w:pPr>
      <w:r w:rsidRPr="00FA5AA0">
        <w:rPr>
          <w:rFonts w:asciiTheme="majorHAnsi" w:hAnsiTheme="majorHAnsi"/>
          <w:sz w:val="22"/>
          <w:szCs w:val="22"/>
          <w:shd w:val="clear" w:color="auto" w:fill="FFFFFF"/>
        </w:rPr>
        <w:t xml:space="preserve">More than ten years ago, China initiated a large-scale expansion of its education system.  Before this time, many students from rural areas or poor households enrolled in technical schools.  However, after expansion, many junior high school graduates entered academic high schools that focused more on preparation for entry into colleges and universities.  In 2009, 44.8 percent of all </w:t>
      </w:r>
      <w:r w:rsidRPr="00FA5AA0">
        <w:rPr>
          <w:rFonts w:asciiTheme="majorHAnsi" w:hAnsiTheme="majorHAnsi"/>
          <w:sz w:val="22"/>
          <w:szCs w:val="22"/>
        </w:rPr>
        <w:t>junior middle school graduates entered academic high schools, 47.2 percent entered vocational education schools, and 8 percent entered the labor market (Ministry of Education, 2010).  Higher education has expanded very rapidly in China, but the job market for college graduates has become much less favorable.</w:t>
      </w:r>
      <w:r w:rsidRPr="00FA5AA0">
        <w:rPr>
          <w:rStyle w:val="FootnoteReference"/>
          <w:rFonts w:asciiTheme="majorHAnsi" w:hAnsiTheme="majorHAnsi"/>
          <w:sz w:val="22"/>
          <w:szCs w:val="22"/>
        </w:rPr>
        <w:footnoteReference w:id="3"/>
      </w:r>
      <w:r w:rsidRPr="00FA5AA0">
        <w:rPr>
          <w:rFonts w:asciiTheme="majorHAnsi" w:hAnsiTheme="majorHAnsi"/>
          <w:sz w:val="22"/>
          <w:szCs w:val="22"/>
        </w:rPr>
        <w:t xml:space="preserve"> </w:t>
      </w:r>
    </w:p>
    <w:p w:rsidR="00FA5AA0" w:rsidRPr="00FA5AA0" w:rsidRDefault="00FA5AA0" w:rsidP="00627031">
      <w:pPr>
        <w:pStyle w:val="NormalIndent"/>
        <w:spacing w:line="240" w:lineRule="auto"/>
        <w:contextualSpacing/>
        <w:jc w:val="center"/>
        <w:rPr>
          <w:rFonts w:asciiTheme="majorHAnsi" w:hAnsiTheme="majorHAnsi"/>
          <w:sz w:val="22"/>
          <w:szCs w:val="22"/>
        </w:rPr>
      </w:pPr>
      <w:r w:rsidRPr="00FA5AA0" w:rsidDel="00C9013C">
        <w:rPr>
          <w:rFonts w:asciiTheme="majorHAnsi" w:hAnsiTheme="majorHAnsi"/>
          <w:i/>
          <w:color w:val="FF0000"/>
          <w:sz w:val="22"/>
          <w:szCs w:val="22"/>
        </w:rPr>
        <w:t xml:space="preserve"> </w:t>
      </w:r>
      <w:r w:rsidRPr="00FA5AA0">
        <w:rPr>
          <w:rFonts w:asciiTheme="majorHAnsi" w:hAnsiTheme="majorHAnsi"/>
          <w:sz w:val="22"/>
          <w:szCs w:val="22"/>
        </w:rPr>
        <w:t>[Figure 1 about here]</w:t>
      </w:r>
    </w:p>
    <w:p w:rsidR="00FA5AA0" w:rsidRPr="00FA5AA0" w:rsidRDefault="00FA5AA0" w:rsidP="00627031">
      <w:pPr>
        <w:pStyle w:val="Heading2"/>
        <w:spacing w:line="240" w:lineRule="auto"/>
        <w:contextualSpacing/>
        <w:rPr>
          <w:rFonts w:asciiTheme="majorHAnsi" w:hAnsiTheme="majorHAnsi"/>
          <w:sz w:val="22"/>
          <w:szCs w:val="22"/>
        </w:rPr>
      </w:pPr>
      <w:r w:rsidRPr="00FA5AA0">
        <w:rPr>
          <w:rFonts w:asciiTheme="majorHAnsi" w:hAnsiTheme="majorHAnsi"/>
          <w:sz w:val="22"/>
          <w:szCs w:val="22"/>
        </w:rPr>
        <w:t>Minority Education Policies</w:t>
      </w:r>
    </w:p>
    <w:p w:rsidR="00FA5AA0" w:rsidRPr="00FA5AA0" w:rsidRDefault="00FA5AA0" w:rsidP="00627031">
      <w:pPr>
        <w:pStyle w:val="NormalIndent"/>
        <w:spacing w:line="240" w:lineRule="auto"/>
        <w:contextualSpacing/>
        <w:rPr>
          <w:rFonts w:asciiTheme="majorHAnsi" w:hAnsiTheme="majorHAnsi"/>
          <w:sz w:val="22"/>
          <w:szCs w:val="22"/>
        </w:rPr>
      </w:pPr>
      <w:r w:rsidRPr="00FA5AA0">
        <w:rPr>
          <w:rFonts w:asciiTheme="majorHAnsi" w:hAnsiTheme="majorHAnsi"/>
          <w:sz w:val="22"/>
          <w:szCs w:val="22"/>
        </w:rPr>
        <w:t>In 2009, 17,391,000 ethnic minority students were enrolled in basic education (Table 2) (Ministry of Education, 2010).  In ethnic minority areas, the proportion of primary school students receiving pre-school education is lower than the national average</w:t>
      </w:r>
      <w:r w:rsidRPr="00FA5AA0">
        <w:rPr>
          <w:rStyle w:val="FootnoteReference"/>
          <w:rFonts w:asciiTheme="majorHAnsi" w:hAnsiTheme="majorHAnsi"/>
          <w:sz w:val="22"/>
          <w:szCs w:val="22"/>
        </w:rPr>
        <w:footnoteReference w:id="4"/>
      </w:r>
      <w:r w:rsidRPr="00FA5AA0">
        <w:rPr>
          <w:rFonts w:asciiTheme="majorHAnsi" w:hAnsiTheme="majorHAnsi"/>
          <w:sz w:val="22"/>
          <w:szCs w:val="22"/>
        </w:rPr>
        <w:t xml:space="preserve">.  Ethnic minority students are more likely to enroll in secondary vocation school, as opposed to academic high school, than the Han.  </w:t>
      </w:r>
    </w:p>
    <w:p w:rsidR="00FA5AA0" w:rsidRPr="00FA5AA0" w:rsidRDefault="00FA5AA0" w:rsidP="00627031">
      <w:pPr>
        <w:pStyle w:val="NormalIndent"/>
        <w:spacing w:line="240" w:lineRule="auto"/>
        <w:contextualSpacing/>
        <w:jc w:val="center"/>
        <w:rPr>
          <w:rFonts w:asciiTheme="majorHAnsi" w:hAnsiTheme="majorHAnsi"/>
          <w:sz w:val="22"/>
          <w:szCs w:val="22"/>
        </w:rPr>
      </w:pPr>
      <w:r w:rsidRPr="00FA5AA0">
        <w:rPr>
          <w:rFonts w:asciiTheme="majorHAnsi" w:hAnsiTheme="majorHAnsi"/>
          <w:sz w:val="22"/>
          <w:szCs w:val="22"/>
        </w:rPr>
        <w:t>[Table 1 about here]</w:t>
      </w:r>
    </w:p>
    <w:p w:rsidR="00FA5AA0" w:rsidRPr="00FA5AA0" w:rsidRDefault="00FA5AA0" w:rsidP="00627031">
      <w:pPr>
        <w:pStyle w:val="NormalIndent"/>
        <w:spacing w:line="240" w:lineRule="auto"/>
        <w:contextualSpacing/>
        <w:rPr>
          <w:rFonts w:asciiTheme="majorHAnsi" w:hAnsiTheme="majorHAnsi"/>
          <w:sz w:val="22"/>
          <w:szCs w:val="22"/>
        </w:rPr>
      </w:pPr>
      <w:r w:rsidRPr="00FA5AA0">
        <w:rPr>
          <w:rFonts w:asciiTheme="majorHAnsi" w:hAnsiTheme="majorHAnsi"/>
          <w:sz w:val="22"/>
          <w:szCs w:val="22"/>
        </w:rPr>
        <w:t xml:space="preserve">In recent decades, educational access for ethnic minorities has expanded rapidly due to governmental efforts.  In 1980, the Ministry of Education and the State Ethnic Affairs Commission strengthened its commitment to the education of ethnic minorities by introducing the “Law on Regional Ethnic Autonomy” and also recommending that funds subsidize minority education in areas with a large number of ethnic minorities, in addition to standard education funding (Ministry of Education, 1983).  In 2002, The State Council released a policy which emphasized accelerated development for minority education, and in China’s tenth Five-Year Plan period (2001 – 2005), the central government invested 60 billion </w:t>
      </w:r>
      <w:proofErr w:type="spellStart"/>
      <w:r w:rsidRPr="00FA5AA0">
        <w:rPr>
          <w:rFonts w:asciiTheme="majorHAnsi" w:hAnsiTheme="majorHAnsi"/>
          <w:sz w:val="22"/>
          <w:szCs w:val="22"/>
        </w:rPr>
        <w:t>yuan</w:t>
      </w:r>
      <w:proofErr w:type="spellEnd"/>
      <w:r w:rsidRPr="00FA5AA0">
        <w:rPr>
          <w:rFonts w:asciiTheme="majorHAnsi" w:hAnsiTheme="majorHAnsi"/>
          <w:sz w:val="22"/>
          <w:szCs w:val="22"/>
        </w:rPr>
        <w:t xml:space="preserve"> for construction, of which 57 percent was designated to develop the western region and ethnic minority areas (Ministry of Education, 2010).  In 2004, the central government also invested heavily to support the construction of boarding school in rural areas and to further develop ethnic minority universities (Ministry of Education, 2004).  From 2006 on, the government also decided that students attending school in rural areas of the western region would be exempt from all tuition and fees.  China also implemented the “Three Guarantees” – guaranteed learning, food, and housing – in rural Tibet.  In 56 counties in the Xinjiang Uyghur Autonomous Region, the government provided free books and waived many schooling fees, and subsidized boarding costs (Ministry of Education, National Commission on Development and Reform, Ministry of Finance, 2007).  Beyond these policies, there are numerous policy issues relevant to education in minority areas, ranging from language and curriculum policies, inland boarding school policies, to affirmative action policies.  Many of the studies in both Chinese and English focus on policies and policy implementation issues; we will discuss additional policies in turn at relevant points in the review.  </w:t>
      </w:r>
    </w:p>
    <w:p w:rsidR="00FA5AA0" w:rsidRPr="00FA5AA0" w:rsidRDefault="00FA5AA0" w:rsidP="00627031">
      <w:pPr>
        <w:pStyle w:val="Heading1"/>
        <w:contextualSpacing/>
        <w:rPr>
          <w:rFonts w:asciiTheme="majorHAnsi" w:hAnsiTheme="majorHAnsi"/>
          <w:sz w:val="22"/>
          <w:szCs w:val="22"/>
        </w:rPr>
      </w:pPr>
      <w:r w:rsidRPr="00FA5AA0">
        <w:rPr>
          <w:rFonts w:asciiTheme="majorHAnsi" w:hAnsiTheme="majorHAnsi"/>
          <w:sz w:val="22"/>
          <w:szCs w:val="22"/>
        </w:rPr>
        <w:t>Methodology</w:t>
      </w:r>
    </w:p>
    <w:p w:rsidR="00FA5AA0" w:rsidRPr="00FA5AA0" w:rsidRDefault="00FA5AA0" w:rsidP="00627031">
      <w:pPr>
        <w:pStyle w:val="NormalIndent"/>
        <w:spacing w:line="240" w:lineRule="auto"/>
        <w:contextualSpacing/>
        <w:rPr>
          <w:rFonts w:asciiTheme="majorHAnsi" w:hAnsiTheme="majorHAnsi"/>
          <w:sz w:val="22"/>
          <w:szCs w:val="22"/>
        </w:rPr>
      </w:pPr>
      <w:r w:rsidRPr="00FA5AA0">
        <w:rPr>
          <w:rFonts w:asciiTheme="majorHAnsi" w:hAnsiTheme="majorHAnsi"/>
          <w:sz w:val="22"/>
          <w:szCs w:val="22"/>
        </w:rPr>
        <w:t xml:space="preserve">We review Chinese- and English-language literatures in turn, rather than integrating the two throughout; we close with a discussion of connections and disconnects.  Though there are, of course, exceptions, studies in these two language traditions often operate from disparate theoretical starting points, conform to different norms of academic writing, and speak to different audiences in different sociopolitical contexts.  Consequently, there are domains of discourse that are prevalent in one tradition that are much less common in the other.  For example, there is a body of Chinese-language literature that analyzes the Marxist philosophies that underlie China’s ethnic minority education policies.  While this literature and perspective is acknowledged in the English literature, there is not really a cognate body of work engaging this topic in English.  A key disconnect is that much of the literature in Chinese is implicitly about solving a highly sensitive problem in national educational and economic development, whereas much of the literature in English speaks to an academic audience fundamentally concerned with inequalities and identities.   We discuss disconnects and connections between the different language literatures in the conclusion.  </w:t>
      </w:r>
    </w:p>
    <w:p w:rsidR="00FA5AA0" w:rsidRPr="00FA5AA0" w:rsidRDefault="00FA5AA0" w:rsidP="00627031">
      <w:pPr>
        <w:pStyle w:val="NormalIndent"/>
        <w:spacing w:line="240" w:lineRule="auto"/>
        <w:contextualSpacing/>
        <w:rPr>
          <w:rFonts w:asciiTheme="majorHAnsi" w:hAnsiTheme="majorHAnsi"/>
          <w:sz w:val="22"/>
          <w:szCs w:val="22"/>
        </w:rPr>
      </w:pPr>
      <w:r w:rsidRPr="00FA5AA0">
        <w:rPr>
          <w:rFonts w:asciiTheme="majorHAnsi" w:hAnsiTheme="majorHAnsi"/>
          <w:sz w:val="22"/>
          <w:szCs w:val="22"/>
        </w:rPr>
        <w:t xml:space="preserve">For our Chinese language search, we restricted our study to Chinese language literature focused on mainland Chinese ethnic minority education.  We excluded literature about Taiwan, Hong Kong and Macao.  The literature we reviewed was published from 1980 to 2010 and encompassed research drawing on sociological, pedagogical, and ethnological perspectives on minority education and inequality.  We employed three specific search protocols.  First, we searched China’s largest periodical and journal database, the Chinese National Knowledge Infrastructure (CNKI), for titles with combinations of the following key words: nationality, education, and equality/equity.  We also searched online for books in China’s National Library, which is China’s largest professional book collection.  Initial searches yielded close to 400 articles and 150 books, of which 80 articles and 30 books were selected for quality and relevance.  </w:t>
      </w:r>
    </w:p>
    <w:p w:rsidR="00FA5AA0" w:rsidRPr="00FA5AA0" w:rsidRDefault="00FA5AA0" w:rsidP="00627031">
      <w:pPr>
        <w:pStyle w:val="NormalIndent"/>
        <w:spacing w:line="240" w:lineRule="auto"/>
        <w:contextualSpacing/>
        <w:rPr>
          <w:rFonts w:asciiTheme="majorHAnsi" w:hAnsiTheme="majorHAnsi"/>
          <w:sz w:val="22"/>
          <w:szCs w:val="22"/>
        </w:rPr>
      </w:pPr>
      <w:r w:rsidRPr="00FA5AA0">
        <w:rPr>
          <w:rFonts w:asciiTheme="majorHAnsi" w:hAnsiTheme="majorHAnsi"/>
          <w:sz w:val="22"/>
          <w:szCs w:val="22"/>
        </w:rPr>
        <w:t>For literature in English on ethnic minority education in China, we searched Sociological Abstracts and ERIC for articles with titles containing the words China, education, and ethnic or minority.  We then performed the same search on WORLDCAT to obtain books.  Given the relatively recent emergence of literature in English on this topic, we did not put date restrictions into our search, but no work found predated the 1980s.  We supplemented the materials found in these systematic ways with other material we were aware of that was related to ethnic minorities and the context or outcomes of education.</w:t>
      </w:r>
    </w:p>
    <w:p w:rsidR="00FA5AA0" w:rsidRPr="00FA5AA0" w:rsidRDefault="00FA5AA0" w:rsidP="00627031">
      <w:pPr>
        <w:pStyle w:val="Heading1"/>
        <w:contextualSpacing/>
        <w:rPr>
          <w:rFonts w:asciiTheme="majorHAnsi" w:hAnsiTheme="majorHAnsi"/>
          <w:sz w:val="22"/>
          <w:szCs w:val="22"/>
        </w:rPr>
      </w:pPr>
      <w:r w:rsidRPr="00FA5AA0">
        <w:rPr>
          <w:rFonts w:asciiTheme="majorHAnsi" w:hAnsiTheme="majorHAnsi"/>
          <w:sz w:val="22"/>
          <w:szCs w:val="22"/>
        </w:rPr>
        <w:t>Chinese-language Traditions</w:t>
      </w:r>
    </w:p>
    <w:p w:rsidR="00FA5AA0" w:rsidRPr="00FA5AA0" w:rsidRDefault="00FA5AA0" w:rsidP="00627031">
      <w:pPr>
        <w:spacing w:line="240" w:lineRule="auto"/>
        <w:contextualSpacing/>
        <w:rPr>
          <w:rFonts w:asciiTheme="majorHAnsi" w:hAnsiTheme="majorHAnsi"/>
        </w:rPr>
      </w:pPr>
      <w:r w:rsidRPr="00FA5AA0">
        <w:rPr>
          <w:rFonts w:asciiTheme="majorHAnsi" w:hAnsiTheme="majorHAnsi"/>
          <w:i/>
        </w:rPr>
        <w:tab/>
      </w:r>
      <w:r w:rsidRPr="00FA5AA0">
        <w:rPr>
          <w:rFonts w:asciiTheme="majorHAnsi" w:hAnsiTheme="majorHAnsi"/>
        </w:rPr>
        <w:t xml:space="preserve">We organize the Chinese-language research into six themes: Marxism and ethnic minority education, patriotism and national unity in education for ethnic minority students, multicultural education, determinants of ethnic differences in education, school facilities and teacher </w:t>
      </w:r>
      <w:proofErr w:type="gramStart"/>
      <w:r w:rsidRPr="00FA5AA0">
        <w:rPr>
          <w:rFonts w:asciiTheme="majorHAnsi" w:hAnsiTheme="majorHAnsi"/>
        </w:rPr>
        <w:t>quality,</w:t>
      </w:r>
      <w:proofErr w:type="gramEnd"/>
      <w:r w:rsidRPr="00FA5AA0">
        <w:rPr>
          <w:rFonts w:asciiTheme="majorHAnsi" w:hAnsiTheme="majorHAnsi"/>
        </w:rPr>
        <w:t xml:space="preserve"> and preferential / affirmative action policies.  These traditions focus on the guiding ideology of ethnic minority education and its emphasis on national unity, ethnic differences in educational experiences and outcomes, and ways in which policies should address these educational differences.  </w:t>
      </w:r>
    </w:p>
    <w:p w:rsidR="00FA5AA0" w:rsidRPr="00FA5AA0" w:rsidRDefault="00FA5AA0" w:rsidP="00627031">
      <w:pPr>
        <w:pStyle w:val="Heading2"/>
        <w:spacing w:line="240" w:lineRule="auto"/>
        <w:contextualSpacing/>
        <w:rPr>
          <w:rFonts w:asciiTheme="majorHAnsi" w:hAnsiTheme="majorHAnsi"/>
          <w:sz w:val="22"/>
          <w:szCs w:val="22"/>
        </w:rPr>
      </w:pPr>
      <w:r w:rsidRPr="00FA5AA0">
        <w:rPr>
          <w:rFonts w:asciiTheme="majorHAnsi" w:hAnsiTheme="majorHAnsi"/>
          <w:sz w:val="22"/>
          <w:szCs w:val="22"/>
        </w:rPr>
        <w:t>Marxism and Ethnic Minority Education</w:t>
      </w:r>
    </w:p>
    <w:p w:rsidR="00FA5AA0" w:rsidRPr="00FA5AA0" w:rsidRDefault="00FA5AA0" w:rsidP="00627031">
      <w:pPr>
        <w:pStyle w:val="NormalIndent"/>
        <w:spacing w:line="240" w:lineRule="auto"/>
        <w:contextualSpacing/>
        <w:rPr>
          <w:rFonts w:asciiTheme="majorHAnsi" w:hAnsiTheme="majorHAnsi"/>
          <w:sz w:val="22"/>
          <w:szCs w:val="22"/>
        </w:rPr>
      </w:pPr>
      <w:r w:rsidRPr="00FA5AA0">
        <w:rPr>
          <w:rFonts w:asciiTheme="majorHAnsi" w:hAnsiTheme="majorHAnsi"/>
          <w:sz w:val="22"/>
          <w:szCs w:val="22"/>
        </w:rPr>
        <w:t xml:space="preserve">One line of research has described the influence of Marx, Lenin, and Stalin on China’s ethnic minority education system.  </w:t>
      </w:r>
      <w:proofErr w:type="spellStart"/>
      <w:r w:rsidRPr="00FA5AA0">
        <w:rPr>
          <w:rFonts w:asciiTheme="majorHAnsi" w:hAnsiTheme="majorHAnsi"/>
          <w:sz w:val="22"/>
          <w:szCs w:val="22"/>
        </w:rPr>
        <w:t>Jia</w:t>
      </w:r>
      <w:proofErr w:type="spellEnd"/>
      <w:r w:rsidRPr="00FA5AA0">
        <w:rPr>
          <w:rFonts w:asciiTheme="majorHAnsi" w:hAnsiTheme="majorHAnsi"/>
          <w:sz w:val="22"/>
          <w:szCs w:val="22"/>
        </w:rPr>
        <w:t xml:space="preserve"> (2000; 2007) traces how China’s definition of ethnicity borrows heavily from Marx, Engels, and Stalin; that is, the notion of ethnicity, or groups that share a common history of formation, language, geography, economic life, and culture, arises when societies transition from local, tribal communities to states which encompass different ethnic groups.  Ma (2007) analyzes the influence of Stalin and Lenin on the goals of ethnic minority education.  The author finds that Stalin and Lenin both argue that ethnic distinction is a large source of conflict among the common people, and that assimilation of all groups will eliminate ethnic differences and contention.  As a socialist state, China should therefore create policies which assimilate all ethnicities under one mainstream culture.  Because Marxism is the guiding ideology of the Communist Party of China, it is difficult to find sociological studies that offer direct criticism of Marxism or educational inequality in China.  </w:t>
      </w:r>
    </w:p>
    <w:p w:rsidR="00FA5AA0" w:rsidRPr="00FA5AA0" w:rsidRDefault="00FA5AA0" w:rsidP="00627031">
      <w:pPr>
        <w:pStyle w:val="Heading2"/>
        <w:spacing w:line="240" w:lineRule="auto"/>
        <w:contextualSpacing/>
        <w:rPr>
          <w:rFonts w:asciiTheme="majorHAnsi" w:hAnsiTheme="majorHAnsi"/>
          <w:sz w:val="22"/>
          <w:szCs w:val="22"/>
        </w:rPr>
      </w:pPr>
      <w:r w:rsidRPr="00FA5AA0">
        <w:rPr>
          <w:rFonts w:asciiTheme="majorHAnsi" w:hAnsiTheme="majorHAnsi"/>
          <w:sz w:val="22"/>
          <w:szCs w:val="22"/>
        </w:rPr>
        <w:t>Patriotism and National Unity in Education for Ethnic Minority Students</w:t>
      </w:r>
    </w:p>
    <w:p w:rsidR="00FA5AA0" w:rsidRPr="00FA5AA0" w:rsidRDefault="00FA5AA0" w:rsidP="00627031">
      <w:pPr>
        <w:pStyle w:val="NormalIndent"/>
        <w:spacing w:line="240" w:lineRule="auto"/>
        <w:contextualSpacing/>
        <w:rPr>
          <w:rFonts w:asciiTheme="majorHAnsi" w:hAnsiTheme="majorHAnsi"/>
          <w:sz w:val="22"/>
          <w:szCs w:val="22"/>
        </w:rPr>
      </w:pPr>
      <w:r w:rsidRPr="00FA5AA0">
        <w:rPr>
          <w:rFonts w:asciiTheme="majorHAnsi" w:hAnsiTheme="majorHAnsi"/>
          <w:sz w:val="22"/>
          <w:szCs w:val="22"/>
        </w:rPr>
        <w:t>The Marxist ideology of assimilation and unity serves as the foundation for the second tradition found in Chinese-language research on ethnic minority education.  This second research tradition focuses on the implementation of the Marxist ideals of integration, unity, and improvement in ethnic minority education.  Emphasis on national unity and patriotism in ethnic minority education traces its policy origins to as early as 1983, when the Ministry of Education studied and implemented views which strengthened patriotism and propaganda in education in schools in minority areas (Ministry of Education, 1983).  Scholarship in this tradition states that the integration of ethnic minorities into mainstream society through schooling is necessary for both the development of ethnic minority regions and the preservation of social stability.  Most authors who do mention issues of ethnic minority identity argue that students who integrate into mainstream values do not compromise their minority identities.</w:t>
      </w:r>
    </w:p>
    <w:p w:rsidR="00FA5AA0" w:rsidRPr="00FA5AA0" w:rsidRDefault="00FA5AA0" w:rsidP="00627031">
      <w:pPr>
        <w:pStyle w:val="NormalIndent"/>
        <w:spacing w:line="240" w:lineRule="auto"/>
        <w:contextualSpacing/>
        <w:rPr>
          <w:rFonts w:asciiTheme="majorHAnsi" w:hAnsiTheme="majorHAnsi"/>
          <w:sz w:val="22"/>
          <w:szCs w:val="22"/>
        </w:rPr>
      </w:pPr>
      <w:r w:rsidRPr="00FA5AA0">
        <w:rPr>
          <w:rFonts w:asciiTheme="majorHAnsi" w:hAnsiTheme="majorHAnsi"/>
          <w:sz w:val="22"/>
          <w:szCs w:val="22"/>
        </w:rPr>
        <w:t>One body of literature focuses on inland class and boarding schools for ethnic minority students, and argues that these programs improve education for ethnic minority students and promote national unity and the culture of minority groups.  In 1985, the central government launched “Tibetan classes” (</w:t>
      </w:r>
      <w:r w:rsidRPr="00FA5AA0">
        <w:rPr>
          <w:rFonts w:asciiTheme="majorHAnsi" w:hAnsiTheme="majorHAnsi"/>
          <w:i/>
          <w:sz w:val="22"/>
          <w:szCs w:val="22"/>
        </w:rPr>
        <w:t>Xizang ban</w:t>
      </w:r>
      <w:r w:rsidRPr="00FA5AA0">
        <w:rPr>
          <w:rFonts w:asciiTheme="majorHAnsi" w:hAnsiTheme="majorHAnsi"/>
          <w:sz w:val="22"/>
          <w:szCs w:val="22"/>
        </w:rPr>
        <w:t>), which are cohorts of mainly Tibetan students in classrooms and provinces in majority-Han areas of China (particularly major cities).  The overall purpose of these classes was to accelerate the development of Tibet and strengthen patriotism (Ministry of Education, the General Office of Tibet Autonomous Region People's Government, 2007).  The State deemed these classes an early success, and in April of 1988, the State Education Commission stated that these schools were vital in order to reform and develop education in Tibet.  As of 2007, Tibetan classes across China included 4,840 junior high school students, 6,780 junior vocational students, 13,000 high school students, and 9,100 college and university students (Ministry of Education, the General Office of Tibet Autonomous Region People's Government, 2007).  Similarly, “Xinjiang classes” (</w:t>
      </w:r>
      <w:r w:rsidRPr="00FA5AA0">
        <w:rPr>
          <w:rFonts w:asciiTheme="majorHAnsi" w:hAnsiTheme="majorHAnsi"/>
          <w:i/>
          <w:sz w:val="22"/>
          <w:szCs w:val="22"/>
        </w:rPr>
        <w:t>Xinjiang ban</w:t>
      </w:r>
      <w:r w:rsidRPr="00FA5AA0">
        <w:rPr>
          <w:rFonts w:asciiTheme="majorHAnsi" w:hAnsiTheme="majorHAnsi"/>
          <w:sz w:val="22"/>
          <w:szCs w:val="22"/>
        </w:rPr>
        <w:t xml:space="preserve">) were established in 1987, and have expanded to 1.5 million students in recent years (Ma, 2011; Xia, 2007).  One ethnographic study of middle school students enrolled in a “Tibetan class” in an eastern city argued that students were able to accept both the State ideology of ethnic unity and integration while also claiming a sense of Tibetan culture through the students’ attachment to common Tibetan symbols (Zhu, 2006).  </w:t>
      </w:r>
    </w:p>
    <w:p w:rsidR="00FA5AA0" w:rsidRPr="00FA5AA0" w:rsidRDefault="00FA5AA0" w:rsidP="00627031">
      <w:pPr>
        <w:pStyle w:val="NormalIndent"/>
        <w:spacing w:line="240" w:lineRule="auto"/>
        <w:contextualSpacing/>
        <w:rPr>
          <w:rFonts w:asciiTheme="majorHAnsi" w:hAnsiTheme="majorHAnsi"/>
          <w:sz w:val="22"/>
          <w:szCs w:val="22"/>
        </w:rPr>
      </w:pPr>
      <w:r w:rsidRPr="00FA5AA0">
        <w:rPr>
          <w:rFonts w:asciiTheme="majorHAnsi" w:hAnsiTheme="majorHAnsi"/>
          <w:sz w:val="22"/>
          <w:szCs w:val="22"/>
        </w:rPr>
        <w:t>Other work investigates language programs that educate ethnic minority students in Chinese, called “</w:t>
      </w:r>
      <w:r w:rsidRPr="00FA5AA0">
        <w:rPr>
          <w:rFonts w:asciiTheme="majorHAnsi" w:hAnsiTheme="majorHAnsi"/>
          <w:i/>
          <w:sz w:val="22"/>
          <w:szCs w:val="22"/>
        </w:rPr>
        <w:t xml:space="preserve">min </w:t>
      </w:r>
      <w:proofErr w:type="spellStart"/>
      <w:r w:rsidRPr="00FA5AA0">
        <w:rPr>
          <w:rFonts w:asciiTheme="majorHAnsi" w:hAnsiTheme="majorHAnsi"/>
          <w:i/>
          <w:sz w:val="22"/>
          <w:szCs w:val="22"/>
        </w:rPr>
        <w:t>kao</w:t>
      </w:r>
      <w:proofErr w:type="spellEnd"/>
      <w:r w:rsidRPr="00FA5AA0">
        <w:rPr>
          <w:rFonts w:asciiTheme="majorHAnsi" w:hAnsiTheme="majorHAnsi"/>
          <w:i/>
          <w:sz w:val="22"/>
          <w:szCs w:val="22"/>
        </w:rPr>
        <w:t xml:space="preserve"> </w:t>
      </w:r>
      <w:proofErr w:type="spellStart"/>
      <w:proofErr w:type="gramStart"/>
      <w:r w:rsidRPr="00FA5AA0">
        <w:rPr>
          <w:rFonts w:asciiTheme="majorHAnsi" w:hAnsiTheme="majorHAnsi"/>
          <w:i/>
          <w:sz w:val="22"/>
          <w:szCs w:val="22"/>
        </w:rPr>
        <w:t>han</w:t>
      </w:r>
      <w:proofErr w:type="spellEnd"/>
      <w:proofErr w:type="gramEnd"/>
      <w:r w:rsidRPr="00FA5AA0">
        <w:rPr>
          <w:rFonts w:asciiTheme="majorHAnsi" w:hAnsiTheme="majorHAnsi"/>
          <w:i/>
          <w:sz w:val="22"/>
          <w:szCs w:val="22"/>
        </w:rPr>
        <w:t xml:space="preserve">, </w:t>
      </w:r>
      <w:r w:rsidRPr="00FA5AA0">
        <w:rPr>
          <w:rFonts w:asciiTheme="majorHAnsi" w:hAnsiTheme="majorHAnsi"/>
          <w:i/>
          <w:sz w:val="22"/>
          <w:szCs w:val="22"/>
          <w:lang w:eastAsia="zh-CN"/>
        </w:rPr>
        <w:t>民考汉</w:t>
      </w:r>
      <w:r w:rsidRPr="00FA5AA0">
        <w:rPr>
          <w:rFonts w:asciiTheme="majorHAnsi" w:hAnsiTheme="majorHAnsi"/>
          <w:sz w:val="22"/>
          <w:szCs w:val="22"/>
        </w:rPr>
        <w:t xml:space="preserve">”.  This body of Chinese-language literature argues that these programs are highly beneficial to ethnic minority students.  Ma (2008) surveyed parents of ethnic minority students in Xinjiang, and found that parents increasingly favored that their children learn Mandarin in lieu of their native language.  This same study also found that students themselves were willing to learn Chinese and preferred Chinese language programs.  </w:t>
      </w:r>
      <w:proofErr w:type="spellStart"/>
      <w:r w:rsidRPr="00FA5AA0">
        <w:rPr>
          <w:rFonts w:asciiTheme="majorHAnsi" w:hAnsiTheme="majorHAnsi"/>
          <w:sz w:val="22"/>
          <w:szCs w:val="22"/>
        </w:rPr>
        <w:t>Zu</w:t>
      </w:r>
      <w:proofErr w:type="spellEnd"/>
      <w:r w:rsidRPr="00FA5AA0">
        <w:rPr>
          <w:rFonts w:asciiTheme="majorHAnsi" w:hAnsiTheme="majorHAnsi"/>
          <w:sz w:val="22"/>
          <w:szCs w:val="22"/>
        </w:rPr>
        <w:t xml:space="preserve"> (2009) argued that “</w:t>
      </w:r>
      <w:r w:rsidRPr="00FA5AA0">
        <w:rPr>
          <w:rFonts w:asciiTheme="majorHAnsi" w:hAnsiTheme="majorHAnsi"/>
          <w:i/>
          <w:sz w:val="22"/>
          <w:szCs w:val="22"/>
        </w:rPr>
        <w:t xml:space="preserve">min </w:t>
      </w:r>
      <w:proofErr w:type="spellStart"/>
      <w:r w:rsidRPr="00FA5AA0">
        <w:rPr>
          <w:rFonts w:asciiTheme="majorHAnsi" w:hAnsiTheme="majorHAnsi"/>
          <w:i/>
          <w:sz w:val="22"/>
          <w:szCs w:val="22"/>
        </w:rPr>
        <w:t>kao</w:t>
      </w:r>
      <w:proofErr w:type="spellEnd"/>
      <w:r w:rsidRPr="00FA5AA0">
        <w:rPr>
          <w:rFonts w:asciiTheme="majorHAnsi" w:hAnsiTheme="majorHAnsi"/>
          <w:i/>
          <w:sz w:val="22"/>
          <w:szCs w:val="22"/>
        </w:rPr>
        <w:t xml:space="preserve"> </w:t>
      </w:r>
      <w:proofErr w:type="spellStart"/>
      <w:proofErr w:type="gramStart"/>
      <w:r w:rsidRPr="00FA5AA0">
        <w:rPr>
          <w:rFonts w:asciiTheme="majorHAnsi" w:hAnsiTheme="majorHAnsi"/>
          <w:i/>
          <w:sz w:val="22"/>
          <w:szCs w:val="22"/>
        </w:rPr>
        <w:t>han</w:t>
      </w:r>
      <w:proofErr w:type="spellEnd"/>
      <w:proofErr w:type="gramEnd"/>
      <w:r w:rsidRPr="00FA5AA0">
        <w:rPr>
          <w:rFonts w:asciiTheme="majorHAnsi" w:hAnsiTheme="majorHAnsi"/>
          <w:sz w:val="22"/>
          <w:szCs w:val="22"/>
        </w:rPr>
        <w:t>” students not only benefited from Chinese-language education, but also from exposure to “mainstream” cultural values.  The author found that students who integrated into mainstream society did not necessarily lose their ethnic identity, and that many ethnic minority students enrolled in “</w:t>
      </w:r>
      <w:r w:rsidRPr="00FA5AA0">
        <w:rPr>
          <w:rFonts w:asciiTheme="majorHAnsi" w:hAnsiTheme="majorHAnsi"/>
          <w:i/>
          <w:sz w:val="22"/>
          <w:szCs w:val="22"/>
        </w:rPr>
        <w:t xml:space="preserve">min </w:t>
      </w:r>
      <w:proofErr w:type="spellStart"/>
      <w:r w:rsidRPr="00FA5AA0">
        <w:rPr>
          <w:rFonts w:asciiTheme="majorHAnsi" w:hAnsiTheme="majorHAnsi"/>
          <w:i/>
          <w:sz w:val="22"/>
          <w:szCs w:val="22"/>
        </w:rPr>
        <w:t>kao</w:t>
      </w:r>
      <w:proofErr w:type="spellEnd"/>
      <w:r w:rsidRPr="00FA5AA0">
        <w:rPr>
          <w:rFonts w:asciiTheme="majorHAnsi" w:hAnsiTheme="majorHAnsi"/>
          <w:i/>
          <w:sz w:val="22"/>
          <w:szCs w:val="22"/>
        </w:rPr>
        <w:t xml:space="preserve"> </w:t>
      </w:r>
      <w:proofErr w:type="spellStart"/>
      <w:proofErr w:type="gramStart"/>
      <w:r w:rsidRPr="00FA5AA0">
        <w:rPr>
          <w:rFonts w:asciiTheme="majorHAnsi" w:hAnsiTheme="majorHAnsi"/>
          <w:i/>
          <w:sz w:val="22"/>
          <w:szCs w:val="22"/>
        </w:rPr>
        <w:t>han</w:t>
      </w:r>
      <w:proofErr w:type="spellEnd"/>
      <w:proofErr w:type="gramEnd"/>
      <w:r w:rsidRPr="00FA5AA0">
        <w:rPr>
          <w:rFonts w:asciiTheme="majorHAnsi" w:hAnsiTheme="majorHAnsi"/>
          <w:sz w:val="22"/>
          <w:szCs w:val="22"/>
        </w:rPr>
        <w:t xml:space="preserve">” programs formed “double identities” of Chinese and minority cultures.     </w:t>
      </w:r>
    </w:p>
    <w:p w:rsidR="00FA5AA0" w:rsidRPr="00FA5AA0" w:rsidRDefault="00FA5AA0" w:rsidP="00627031">
      <w:pPr>
        <w:pStyle w:val="NormalIndent"/>
        <w:spacing w:line="240" w:lineRule="auto"/>
        <w:contextualSpacing/>
        <w:rPr>
          <w:rFonts w:asciiTheme="majorHAnsi" w:hAnsiTheme="majorHAnsi"/>
          <w:sz w:val="22"/>
          <w:szCs w:val="22"/>
        </w:rPr>
      </w:pPr>
      <w:r w:rsidRPr="00FA5AA0">
        <w:rPr>
          <w:rFonts w:asciiTheme="majorHAnsi" w:hAnsiTheme="majorHAnsi"/>
          <w:sz w:val="22"/>
          <w:szCs w:val="22"/>
        </w:rPr>
        <w:t>One notable study of implementation of patriotic education in Tibet found that curricula did not sufficiently address contradictions between mainstream knowledge taught in schools and local cultural values (Zhu, 2007).  In qualitative case studies of townships in primary schools in rural areas, the author found that the nuances of each school environment were not always incorporated into teaching, and that parents mentioned tension arising from this conflict.  The author recommended that formal school curriculum should present traditional Tibetan culture, including local culture, history, and geography.</w:t>
      </w:r>
    </w:p>
    <w:p w:rsidR="00FA5AA0" w:rsidRPr="00FA5AA0" w:rsidRDefault="00FA5AA0" w:rsidP="00627031">
      <w:pPr>
        <w:pStyle w:val="Heading2"/>
        <w:spacing w:line="240" w:lineRule="auto"/>
        <w:contextualSpacing/>
        <w:rPr>
          <w:rFonts w:asciiTheme="majorHAnsi" w:hAnsiTheme="majorHAnsi"/>
          <w:sz w:val="22"/>
          <w:szCs w:val="22"/>
        </w:rPr>
      </w:pPr>
      <w:r w:rsidRPr="00FA5AA0">
        <w:rPr>
          <w:rFonts w:asciiTheme="majorHAnsi" w:hAnsiTheme="majorHAnsi"/>
          <w:sz w:val="22"/>
          <w:szCs w:val="22"/>
        </w:rPr>
        <w:t xml:space="preserve">Multicultural Education </w:t>
      </w:r>
    </w:p>
    <w:p w:rsidR="00FA5AA0" w:rsidRPr="00FA5AA0" w:rsidRDefault="00FA5AA0" w:rsidP="00627031">
      <w:pPr>
        <w:pStyle w:val="NormalIndent"/>
        <w:spacing w:line="240" w:lineRule="auto"/>
        <w:contextualSpacing/>
        <w:rPr>
          <w:rFonts w:asciiTheme="majorHAnsi" w:hAnsiTheme="majorHAnsi"/>
          <w:sz w:val="22"/>
          <w:szCs w:val="22"/>
        </w:rPr>
      </w:pPr>
      <w:r w:rsidRPr="00FA5AA0">
        <w:rPr>
          <w:rFonts w:asciiTheme="majorHAnsi" w:hAnsiTheme="majorHAnsi"/>
          <w:sz w:val="22"/>
          <w:szCs w:val="22"/>
        </w:rPr>
        <w:t>A third line of research discusses the viability of multiculturalism in the Chinese context.  Multiculturalism, as defined by Chinese literature, encompasses the notions that different cultures are equal and mutually influence each other (</w:t>
      </w:r>
      <w:proofErr w:type="spellStart"/>
      <w:r w:rsidRPr="00FA5AA0">
        <w:rPr>
          <w:rFonts w:asciiTheme="majorHAnsi" w:hAnsiTheme="majorHAnsi"/>
          <w:sz w:val="22"/>
          <w:szCs w:val="22"/>
        </w:rPr>
        <w:t>Teng</w:t>
      </w:r>
      <w:proofErr w:type="spellEnd"/>
      <w:r w:rsidRPr="00FA5AA0">
        <w:rPr>
          <w:rFonts w:asciiTheme="majorHAnsi" w:hAnsiTheme="majorHAnsi"/>
          <w:sz w:val="22"/>
          <w:szCs w:val="22"/>
        </w:rPr>
        <w:t xml:space="preserve">, 1997).  Some scholars argue that multicultural education can teach ethnic minority students about both mainstream and minority cultures while emphasizing the value of national unity (Ma, 2007; </w:t>
      </w:r>
      <w:proofErr w:type="spellStart"/>
      <w:r w:rsidRPr="00FA5AA0">
        <w:rPr>
          <w:rFonts w:asciiTheme="majorHAnsi" w:hAnsiTheme="majorHAnsi"/>
          <w:sz w:val="22"/>
          <w:szCs w:val="22"/>
        </w:rPr>
        <w:t>Teng</w:t>
      </w:r>
      <w:proofErr w:type="spellEnd"/>
      <w:r w:rsidRPr="00FA5AA0">
        <w:rPr>
          <w:rFonts w:asciiTheme="majorHAnsi" w:hAnsiTheme="majorHAnsi"/>
          <w:sz w:val="22"/>
          <w:szCs w:val="22"/>
        </w:rPr>
        <w:t>, 1997).  Learning about different cultures can also help eliminate ethnic and cultural discrimination experienced by many ethnic minority students (</w:t>
      </w:r>
      <w:proofErr w:type="spellStart"/>
      <w:r w:rsidRPr="00FA5AA0">
        <w:rPr>
          <w:rFonts w:asciiTheme="majorHAnsi" w:hAnsiTheme="majorHAnsi"/>
          <w:sz w:val="22"/>
          <w:szCs w:val="22"/>
        </w:rPr>
        <w:t>Teng</w:t>
      </w:r>
      <w:proofErr w:type="spellEnd"/>
      <w:r w:rsidRPr="00FA5AA0">
        <w:rPr>
          <w:rFonts w:asciiTheme="majorHAnsi" w:hAnsiTheme="majorHAnsi"/>
          <w:sz w:val="22"/>
          <w:szCs w:val="22"/>
        </w:rPr>
        <w:t xml:space="preserve">, 1997; Wan, 2006).  </w:t>
      </w:r>
    </w:p>
    <w:p w:rsidR="00FA5AA0" w:rsidRPr="00FA5AA0" w:rsidRDefault="00FA5AA0" w:rsidP="00627031">
      <w:pPr>
        <w:pStyle w:val="NormalIndent"/>
        <w:spacing w:line="240" w:lineRule="auto"/>
        <w:contextualSpacing/>
        <w:rPr>
          <w:rFonts w:asciiTheme="majorHAnsi" w:hAnsiTheme="majorHAnsi"/>
          <w:sz w:val="22"/>
          <w:szCs w:val="22"/>
        </w:rPr>
      </w:pPr>
      <w:r w:rsidRPr="00FA5AA0">
        <w:rPr>
          <w:rFonts w:asciiTheme="majorHAnsi" w:hAnsiTheme="majorHAnsi"/>
          <w:sz w:val="22"/>
          <w:szCs w:val="22"/>
        </w:rPr>
        <w:t xml:space="preserve">Other scholars have compared multicultural education in Western countries with China’s Marxist ideology.  In comparative studies of the teaching objectives and theories of Western multicultural education and minority education in China from a historical perspective, Wan and </w:t>
      </w:r>
      <w:proofErr w:type="spellStart"/>
      <w:r w:rsidRPr="00FA5AA0">
        <w:rPr>
          <w:rFonts w:asciiTheme="majorHAnsi" w:hAnsiTheme="majorHAnsi"/>
          <w:sz w:val="22"/>
          <w:szCs w:val="22"/>
        </w:rPr>
        <w:t>Bai</w:t>
      </w:r>
      <w:proofErr w:type="spellEnd"/>
      <w:r w:rsidRPr="00FA5AA0">
        <w:rPr>
          <w:rFonts w:asciiTheme="majorHAnsi" w:hAnsiTheme="majorHAnsi"/>
          <w:sz w:val="22"/>
          <w:szCs w:val="22"/>
        </w:rPr>
        <w:t xml:space="preserve"> (2006; Wan and </w:t>
      </w:r>
      <w:proofErr w:type="spellStart"/>
      <w:r w:rsidRPr="00FA5AA0">
        <w:rPr>
          <w:rFonts w:asciiTheme="majorHAnsi" w:hAnsiTheme="majorHAnsi"/>
          <w:sz w:val="22"/>
          <w:szCs w:val="22"/>
        </w:rPr>
        <w:t>Bai</w:t>
      </w:r>
      <w:proofErr w:type="spellEnd"/>
      <w:r w:rsidRPr="00FA5AA0">
        <w:rPr>
          <w:rFonts w:asciiTheme="majorHAnsi" w:hAnsiTheme="majorHAnsi"/>
          <w:sz w:val="22"/>
          <w:szCs w:val="22"/>
        </w:rPr>
        <w:t xml:space="preserve">, 2008) conclude that issues addressed by Western multicultural and minority education are very distinct from China's ethnic education issues, and Western multicultural models could not simply be adopted in original form for the China context.  The authors argue that in the West, the principle responsibility and demand of multicultural education is to address issues with rights and political equality.  However, in China, the authors argue, the concerns with ethnic minority education focus on economic, social, and cultural development.  Scholars also state that current ethnic minority education policies, such as a set of reforms in 2001 that require schools to address the cultural heritage of ethnic groups (Ministry of Education, 2001), already promote diversity and mutual interaction (Wan, 2006; Yu, 2010).  </w:t>
      </w:r>
    </w:p>
    <w:p w:rsidR="00FA5AA0" w:rsidRPr="00FA5AA0" w:rsidRDefault="00FA5AA0" w:rsidP="00627031">
      <w:pPr>
        <w:pStyle w:val="NormalIndent"/>
        <w:spacing w:line="240" w:lineRule="auto"/>
        <w:contextualSpacing/>
        <w:rPr>
          <w:rFonts w:asciiTheme="majorHAnsi" w:hAnsiTheme="majorHAnsi"/>
          <w:sz w:val="22"/>
          <w:szCs w:val="22"/>
        </w:rPr>
      </w:pPr>
      <w:r w:rsidRPr="00FA5AA0">
        <w:rPr>
          <w:rFonts w:asciiTheme="majorHAnsi" w:hAnsiTheme="majorHAnsi"/>
          <w:sz w:val="22"/>
          <w:szCs w:val="22"/>
        </w:rPr>
        <w:t xml:space="preserve">Multicultural frameworks have also been used to criticize education that is based on one mainstream culture.  Yuan (2010) argues that a dominant Han culture permeates much of the education system in China, and much of this “official knowledge” is different from ideas taught in various ethnic minority cultures.  This knowledge is found in unified standards, curriculum, and textbooks that often ignore the diversity of local culture, ethnic minority languages, and cultural differences.  </w:t>
      </w:r>
      <w:proofErr w:type="spellStart"/>
      <w:r w:rsidRPr="00FA5AA0">
        <w:rPr>
          <w:rFonts w:asciiTheme="majorHAnsi" w:hAnsiTheme="majorHAnsi"/>
          <w:sz w:val="22"/>
          <w:szCs w:val="22"/>
          <w:lang w:eastAsia="zh-CN"/>
        </w:rPr>
        <w:t>Qian</w:t>
      </w:r>
      <w:proofErr w:type="spellEnd"/>
      <w:r w:rsidRPr="00FA5AA0">
        <w:rPr>
          <w:rFonts w:asciiTheme="majorHAnsi" w:hAnsiTheme="majorHAnsi"/>
          <w:sz w:val="22"/>
          <w:szCs w:val="22"/>
          <w:lang w:eastAsia="zh-CN"/>
        </w:rPr>
        <w:t xml:space="preserve"> </w:t>
      </w:r>
      <w:r w:rsidRPr="00FA5AA0">
        <w:rPr>
          <w:rFonts w:asciiTheme="majorHAnsi" w:hAnsiTheme="majorHAnsi"/>
          <w:sz w:val="22"/>
          <w:szCs w:val="22"/>
        </w:rPr>
        <w:t>(2007) found in a study of ethnic minorities in the northwest a curriculum that contradicts local customs in favor of more mainstream values.  The author argues that students gradually lose their ethnic identity as they progress in their education, and that this is of growing concern since curricula that emphasize national unity are replacing ones that emphasize diversity in the schools in ethnic minority areas.</w:t>
      </w:r>
    </w:p>
    <w:p w:rsidR="00FA5AA0" w:rsidRPr="00FA5AA0" w:rsidRDefault="00FA5AA0" w:rsidP="00627031">
      <w:pPr>
        <w:pStyle w:val="Heading2"/>
        <w:spacing w:line="240" w:lineRule="auto"/>
        <w:contextualSpacing/>
        <w:rPr>
          <w:rFonts w:asciiTheme="majorHAnsi" w:hAnsiTheme="majorHAnsi"/>
          <w:sz w:val="22"/>
          <w:szCs w:val="22"/>
        </w:rPr>
      </w:pPr>
      <w:r w:rsidRPr="00FA5AA0">
        <w:rPr>
          <w:rFonts w:asciiTheme="majorHAnsi" w:hAnsiTheme="majorHAnsi"/>
          <w:sz w:val="22"/>
          <w:szCs w:val="22"/>
        </w:rPr>
        <w:t>Determinants of Ethnic Differences in Education</w:t>
      </w:r>
    </w:p>
    <w:p w:rsidR="00FA5AA0" w:rsidRPr="00FA5AA0" w:rsidRDefault="00FA5AA0" w:rsidP="00627031">
      <w:pPr>
        <w:pStyle w:val="NormalIndent"/>
        <w:spacing w:line="240" w:lineRule="auto"/>
        <w:contextualSpacing/>
        <w:rPr>
          <w:rFonts w:asciiTheme="majorHAnsi" w:hAnsiTheme="majorHAnsi"/>
          <w:sz w:val="22"/>
          <w:szCs w:val="22"/>
        </w:rPr>
      </w:pPr>
      <w:r w:rsidRPr="00FA5AA0">
        <w:rPr>
          <w:rFonts w:asciiTheme="majorHAnsi" w:hAnsiTheme="majorHAnsi"/>
          <w:sz w:val="22"/>
          <w:szCs w:val="22"/>
        </w:rPr>
        <w:t>This tradition of research relies principally on quantitative analysis of education data, and focuses on “uneven development” of the educational systems in ethnic minority regions in China</w:t>
      </w:r>
      <w:r w:rsidRPr="00FA5AA0">
        <w:rPr>
          <w:rStyle w:val="FootnoteReference"/>
          <w:rFonts w:asciiTheme="majorHAnsi" w:hAnsiTheme="majorHAnsi"/>
          <w:sz w:val="22"/>
          <w:szCs w:val="22"/>
        </w:rPr>
        <w:footnoteReference w:id="5"/>
      </w:r>
      <w:r w:rsidRPr="00FA5AA0">
        <w:rPr>
          <w:rFonts w:asciiTheme="majorHAnsi" w:hAnsiTheme="majorHAnsi"/>
          <w:sz w:val="22"/>
          <w:szCs w:val="22"/>
        </w:rPr>
        <w:t xml:space="preserve">.  Some authors argue that the educational disadvantage experienced by many ethnic minority groups is due to regional and urban-rural differences in education, while others argue that economic and cultural differences are also important.  </w:t>
      </w:r>
    </w:p>
    <w:p w:rsidR="00FA5AA0" w:rsidRPr="00FA5AA0" w:rsidRDefault="00FA5AA0" w:rsidP="00627031">
      <w:pPr>
        <w:pStyle w:val="NormalIndent"/>
        <w:spacing w:line="240" w:lineRule="auto"/>
        <w:contextualSpacing/>
        <w:rPr>
          <w:rFonts w:asciiTheme="majorHAnsi" w:hAnsiTheme="majorHAnsi"/>
          <w:sz w:val="22"/>
          <w:szCs w:val="22"/>
        </w:rPr>
      </w:pPr>
      <w:r w:rsidRPr="00FA5AA0">
        <w:rPr>
          <w:rFonts w:asciiTheme="majorHAnsi" w:hAnsiTheme="majorHAnsi"/>
          <w:sz w:val="22"/>
          <w:szCs w:val="22"/>
        </w:rPr>
        <w:t>First, a body of literature documents regional differences in educational systems.  In general, the eastern region has the most developed educational system and the highest quality of education.  The western region, in comparison, is significantly underdeveloped.  Urban areas in most regions provide much better access to quality schools than rural areas.  There are also differences in educational access and allocation of educational resources among ethnic groups (Ma, 2003; Wang, 2002). For example, in 2000, 15.14 percent of individuals aged 15 and over in China were illiterate</w:t>
      </w:r>
      <w:r w:rsidRPr="00FA5AA0">
        <w:rPr>
          <w:rFonts w:asciiTheme="majorHAnsi" w:hAnsiTheme="majorHAnsi"/>
          <w:sz w:val="22"/>
          <w:szCs w:val="22"/>
          <w:lang w:eastAsia="zh-CN"/>
        </w:rPr>
        <w:t xml:space="preserve"> (</w:t>
      </w:r>
      <w:r w:rsidRPr="00FA5AA0">
        <w:rPr>
          <w:rFonts w:asciiTheme="majorHAnsi" w:hAnsiTheme="majorHAnsi"/>
          <w:sz w:val="22"/>
          <w:szCs w:val="22"/>
        </w:rPr>
        <w:t>Development Planning Division of the Ministry of Education, 2000).  In minority regions in the West, the percentage was 22.43 percent. A number of other educational gaps exist, such as compulsory education enrollment rates, dropout rates, and retention rates, shown in Table 3.  In addition, there are also substantial differences in school conditions and funding between western minority areas and the eastern region.  For example, only 0.28 percent of school facilities and campuses in the eastern region were officially classified as being in a “dilapidated state”, but 2.62 percent of schools were dilapidated in the northwest region in 1999 (Yang, 2006).  Provincial funding for education was also 4.86 times greater in five eastern provinces (Beijing, Shanghai, Zhejiang, Jiangsu, Guangdong) in 2003 than five northwestern provinces (Shaanxi, Gansu, Qinghai, Ningxia, Xinjiang) (Yang, 2006).</w:t>
      </w:r>
    </w:p>
    <w:p w:rsidR="00FA5AA0" w:rsidRPr="00FA5AA0" w:rsidRDefault="00FA5AA0" w:rsidP="00627031">
      <w:pPr>
        <w:pStyle w:val="NormalIndent"/>
        <w:spacing w:line="240" w:lineRule="auto"/>
        <w:contextualSpacing/>
        <w:jc w:val="center"/>
        <w:rPr>
          <w:rFonts w:asciiTheme="majorHAnsi" w:hAnsiTheme="majorHAnsi"/>
          <w:sz w:val="22"/>
          <w:szCs w:val="22"/>
        </w:rPr>
      </w:pPr>
      <w:r w:rsidRPr="00FA5AA0">
        <w:rPr>
          <w:rFonts w:asciiTheme="majorHAnsi" w:hAnsiTheme="majorHAnsi"/>
          <w:sz w:val="22"/>
          <w:szCs w:val="22"/>
        </w:rPr>
        <w:t>[Table 2 about here]</w:t>
      </w:r>
    </w:p>
    <w:p w:rsidR="00FA5AA0" w:rsidRPr="00FA5AA0" w:rsidRDefault="00FA5AA0" w:rsidP="00627031">
      <w:pPr>
        <w:pStyle w:val="NormalIndent"/>
        <w:spacing w:line="240" w:lineRule="auto"/>
        <w:contextualSpacing/>
        <w:rPr>
          <w:rFonts w:asciiTheme="majorHAnsi" w:hAnsiTheme="majorHAnsi"/>
          <w:sz w:val="22"/>
          <w:szCs w:val="22"/>
        </w:rPr>
      </w:pPr>
      <w:r w:rsidRPr="00FA5AA0">
        <w:rPr>
          <w:rFonts w:asciiTheme="majorHAnsi" w:hAnsiTheme="majorHAnsi"/>
          <w:sz w:val="22"/>
          <w:szCs w:val="22"/>
        </w:rPr>
        <w:t>Other studies emphasize the importance of urban and rural educational systems in explaining ethnic differences in education.  Hong (2010), using survey data from western regions, found that ethnic differences in enrollment in basic education enrollment are due to urban-rural divides and class inequality, not ethnic inequality.  The author also found that while the probability that ethnic minority children are enrolled in high school is still significantly lower than for Han children, the difference can be explained mainly by urban and rural, regional, and class differences.  Ma (1998) found that in 1990, the illiteracy rate in rural areas of Tibet was 77.2 percent, but only 37 percent in urban areas.  There were also differences in school attendance rates between urban and rural children (Table 4).</w:t>
      </w:r>
    </w:p>
    <w:p w:rsidR="00FA5AA0" w:rsidRPr="00FA5AA0" w:rsidRDefault="00FA5AA0" w:rsidP="00627031">
      <w:pPr>
        <w:pStyle w:val="NormalIndent"/>
        <w:spacing w:line="240" w:lineRule="auto"/>
        <w:contextualSpacing/>
        <w:jc w:val="center"/>
        <w:rPr>
          <w:rFonts w:asciiTheme="majorHAnsi" w:hAnsiTheme="majorHAnsi"/>
          <w:sz w:val="22"/>
          <w:szCs w:val="22"/>
        </w:rPr>
      </w:pPr>
      <w:r w:rsidRPr="00FA5AA0">
        <w:rPr>
          <w:rFonts w:asciiTheme="majorHAnsi" w:hAnsiTheme="majorHAnsi"/>
          <w:sz w:val="22"/>
          <w:szCs w:val="22"/>
        </w:rPr>
        <w:t>[Table 3 about here]</w:t>
      </w:r>
    </w:p>
    <w:p w:rsidR="00FA5AA0" w:rsidRPr="00FA5AA0" w:rsidRDefault="00FA5AA0" w:rsidP="00627031">
      <w:pPr>
        <w:pStyle w:val="NormalIndent"/>
        <w:spacing w:line="240" w:lineRule="auto"/>
        <w:contextualSpacing/>
        <w:rPr>
          <w:rFonts w:asciiTheme="majorHAnsi" w:hAnsiTheme="majorHAnsi"/>
          <w:sz w:val="22"/>
          <w:szCs w:val="22"/>
        </w:rPr>
      </w:pPr>
      <w:r w:rsidRPr="00FA5AA0">
        <w:rPr>
          <w:rFonts w:asciiTheme="majorHAnsi" w:hAnsiTheme="majorHAnsi"/>
          <w:sz w:val="22"/>
          <w:szCs w:val="22"/>
        </w:rPr>
        <w:t xml:space="preserve">Other work argues that economic poverty is an important factor in explaining educational inequality.  One study found that financial difficulties were the primary reason minority children from poor families were not in school (Liu &amp; Yang, 2007).  Another study, based on survey data from the Autonomous Prefecture of </w:t>
      </w:r>
      <w:proofErr w:type="spellStart"/>
      <w:r w:rsidRPr="00FA5AA0">
        <w:rPr>
          <w:rFonts w:asciiTheme="majorHAnsi" w:hAnsiTheme="majorHAnsi"/>
          <w:sz w:val="22"/>
          <w:szCs w:val="22"/>
        </w:rPr>
        <w:t>Xishuangbanna</w:t>
      </w:r>
      <w:proofErr w:type="spellEnd"/>
      <w:r w:rsidRPr="00FA5AA0">
        <w:rPr>
          <w:rFonts w:asciiTheme="majorHAnsi" w:hAnsiTheme="majorHAnsi"/>
          <w:sz w:val="22"/>
          <w:szCs w:val="22"/>
        </w:rPr>
        <w:t>, Yunnan Province, described ethnic minority education in this region before and after the implementation of compulsory education with guaranteed funding (</w:t>
      </w:r>
      <w:proofErr w:type="spellStart"/>
      <w:r w:rsidRPr="00FA5AA0">
        <w:rPr>
          <w:rFonts w:asciiTheme="majorHAnsi" w:hAnsiTheme="majorHAnsi"/>
          <w:sz w:val="22"/>
          <w:szCs w:val="22"/>
        </w:rPr>
        <w:t>Teng</w:t>
      </w:r>
      <w:proofErr w:type="spellEnd"/>
      <w:r w:rsidRPr="00FA5AA0">
        <w:rPr>
          <w:rFonts w:asciiTheme="majorHAnsi" w:hAnsiTheme="majorHAnsi"/>
          <w:sz w:val="22"/>
          <w:szCs w:val="22"/>
        </w:rPr>
        <w:t>, 2004). The author found that even after reform, many families could still not afford average school fees.  Some scholars have proposed that provincial and local governments establish priority development areas to improve education in impoverished ethnic minority areas (Hu</w:t>
      </w:r>
      <w:r w:rsidRPr="00FA5AA0">
        <w:rPr>
          <w:rFonts w:asciiTheme="majorHAnsi" w:hAnsiTheme="majorHAnsi"/>
          <w:sz w:val="22"/>
          <w:szCs w:val="22"/>
          <w:lang w:eastAsia="zh-CN"/>
        </w:rPr>
        <w:t xml:space="preserve"> and Wen</w:t>
      </w:r>
      <w:r w:rsidRPr="00FA5AA0">
        <w:rPr>
          <w:rFonts w:asciiTheme="majorHAnsi" w:hAnsiTheme="majorHAnsi"/>
          <w:sz w:val="22"/>
          <w:szCs w:val="22"/>
        </w:rPr>
        <w:t>, 2001; Wan, 2006).</w:t>
      </w:r>
    </w:p>
    <w:p w:rsidR="00FA5AA0" w:rsidRPr="00FA5AA0" w:rsidRDefault="00FA5AA0" w:rsidP="00627031">
      <w:pPr>
        <w:pStyle w:val="NormalIndent"/>
        <w:spacing w:line="240" w:lineRule="auto"/>
        <w:contextualSpacing/>
        <w:rPr>
          <w:rFonts w:asciiTheme="majorHAnsi" w:hAnsiTheme="majorHAnsi"/>
          <w:sz w:val="22"/>
          <w:szCs w:val="22"/>
        </w:rPr>
      </w:pPr>
      <w:r w:rsidRPr="00FA5AA0">
        <w:rPr>
          <w:rFonts w:asciiTheme="majorHAnsi" w:hAnsiTheme="majorHAnsi"/>
          <w:sz w:val="22"/>
          <w:szCs w:val="22"/>
        </w:rPr>
        <w:t>Finally, another body of literature suggests cultural reasons for ethnic differences in education.  A number of studies which focus on specific ethnic minority groups, such as the Yao, argue that there is not sufficient parental support and encouragement of children’s education (</w:t>
      </w:r>
      <w:proofErr w:type="spellStart"/>
      <w:r w:rsidRPr="00FA5AA0">
        <w:rPr>
          <w:rFonts w:asciiTheme="majorHAnsi" w:hAnsiTheme="majorHAnsi"/>
          <w:sz w:val="22"/>
          <w:szCs w:val="22"/>
        </w:rPr>
        <w:t>Qian</w:t>
      </w:r>
      <w:proofErr w:type="spellEnd"/>
      <w:r w:rsidRPr="00FA5AA0">
        <w:rPr>
          <w:rFonts w:asciiTheme="majorHAnsi" w:hAnsiTheme="majorHAnsi"/>
          <w:sz w:val="22"/>
          <w:szCs w:val="22"/>
        </w:rPr>
        <w:t xml:space="preserve">, 2007; Yuan, 2004).  One study of two Muslim minority groups, the </w:t>
      </w:r>
      <w:proofErr w:type="spellStart"/>
      <w:r w:rsidRPr="00FA5AA0">
        <w:rPr>
          <w:rFonts w:asciiTheme="majorHAnsi" w:hAnsiTheme="majorHAnsi"/>
          <w:sz w:val="22"/>
          <w:szCs w:val="22"/>
        </w:rPr>
        <w:t>Salar</w:t>
      </w:r>
      <w:proofErr w:type="spellEnd"/>
      <w:r w:rsidRPr="00FA5AA0">
        <w:rPr>
          <w:rFonts w:asciiTheme="majorHAnsi" w:hAnsiTheme="majorHAnsi"/>
          <w:sz w:val="22"/>
          <w:szCs w:val="22"/>
        </w:rPr>
        <w:t xml:space="preserve"> and </w:t>
      </w:r>
      <w:proofErr w:type="spellStart"/>
      <w:r w:rsidRPr="00FA5AA0">
        <w:rPr>
          <w:rFonts w:asciiTheme="majorHAnsi" w:hAnsiTheme="majorHAnsi"/>
          <w:sz w:val="22"/>
          <w:szCs w:val="22"/>
        </w:rPr>
        <w:t>Bonan</w:t>
      </w:r>
      <w:proofErr w:type="spellEnd"/>
      <w:r w:rsidRPr="00FA5AA0">
        <w:rPr>
          <w:rFonts w:asciiTheme="majorHAnsi" w:hAnsiTheme="majorHAnsi"/>
          <w:sz w:val="22"/>
          <w:szCs w:val="22"/>
        </w:rPr>
        <w:t>, found that the drop-out rate of students who reported strong religious beliefs was higher than those who were non-religious.  The author argued that parents, who were instrumental in passing on cultural and religious values to their children, should also emphasize the value of education (</w:t>
      </w:r>
      <w:proofErr w:type="spellStart"/>
      <w:r w:rsidRPr="00FA5AA0">
        <w:rPr>
          <w:rFonts w:asciiTheme="majorHAnsi" w:hAnsiTheme="majorHAnsi"/>
          <w:sz w:val="22"/>
          <w:szCs w:val="22"/>
          <w:lang w:eastAsia="zh-CN"/>
        </w:rPr>
        <w:t>Qian</w:t>
      </w:r>
      <w:proofErr w:type="spellEnd"/>
      <w:r w:rsidRPr="00FA5AA0">
        <w:rPr>
          <w:rFonts w:asciiTheme="majorHAnsi" w:hAnsiTheme="majorHAnsi"/>
          <w:sz w:val="22"/>
          <w:szCs w:val="22"/>
        </w:rPr>
        <w:t>, 2007).  Similarly, Bo (1986) found that Yao parents in mountainous regions did not see formal education as a wise investment, and preferred their children to help cultivate local farms.  Wang (1990) found that there was still widespread resistance among Tibetan families in rural areas to send their children to school, despite rewards for school attendance and fines for non-attendance.  Related work focuses on gender differences in schooling for ethnic minorities.  One study of ethnic minority schools with high female dropout rates argued that parents resisted sending girls to school (</w:t>
      </w:r>
      <w:proofErr w:type="spellStart"/>
      <w:r w:rsidRPr="00FA5AA0">
        <w:rPr>
          <w:rFonts w:asciiTheme="majorHAnsi" w:hAnsiTheme="majorHAnsi"/>
          <w:sz w:val="22"/>
          <w:szCs w:val="22"/>
        </w:rPr>
        <w:t>Qian</w:t>
      </w:r>
      <w:proofErr w:type="spellEnd"/>
      <w:r w:rsidRPr="00FA5AA0">
        <w:rPr>
          <w:rFonts w:asciiTheme="majorHAnsi" w:hAnsiTheme="majorHAnsi"/>
          <w:sz w:val="22"/>
          <w:szCs w:val="22"/>
        </w:rPr>
        <w:t>, 200</w:t>
      </w:r>
      <w:r w:rsidRPr="00FA5AA0">
        <w:rPr>
          <w:rFonts w:asciiTheme="majorHAnsi" w:hAnsiTheme="majorHAnsi"/>
          <w:sz w:val="22"/>
          <w:szCs w:val="22"/>
          <w:lang w:eastAsia="zh-CN"/>
        </w:rPr>
        <w:t>7</w:t>
      </w:r>
      <w:r w:rsidRPr="00FA5AA0">
        <w:rPr>
          <w:rFonts w:asciiTheme="majorHAnsi" w:hAnsiTheme="majorHAnsi"/>
          <w:sz w:val="22"/>
          <w:szCs w:val="22"/>
        </w:rPr>
        <w:t xml:space="preserve">).  However, research on the Miao and Dong Autonomous Prefecture in </w:t>
      </w:r>
      <w:proofErr w:type="spellStart"/>
      <w:r w:rsidRPr="00FA5AA0">
        <w:rPr>
          <w:rFonts w:asciiTheme="majorHAnsi" w:hAnsiTheme="majorHAnsi"/>
          <w:sz w:val="22"/>
          <w:szCs w:val="22"/>
        </w:rPr>
        <w:t>Guizhou</w:t>
      </w:r>
      <w:proofErr w:type="spellEnd"/>
      <w:r w:rsidRPr="00FA5AA0">
        <w:rPr>
          <w:rFonts w:asciiTheme="majorHAnsi" w:hAnsiTheme="majorHAnsi"/>
          <w:sz w:val="22"/>
          <w:szCs w:val="22"/>
        </w:rPr>
        <w:t>, researchers found that families cited safety as an important factor, and argued that this concern could explain why dropout rates for girls were generally higher than for boys (Han, 1999; Wang, 2006).  Studies proposing cultural explanations have not developed or tested systematic theories about the educational, social, economic, or policy conditions under which cultural resistance to local educational systems emerges.</w:t>
      </w:r>
    </w:p>
    <w:p w:rsidR="00FA5AA0" w:rsidRPr="00FA5AA0" w:rsidRDefault="00FA5AA0" w:rsidP="00627031">
      <w:pPr>
        <w:pStyle w:val="Heading2"/>
        <w:spacing w:line="240" w:lineRule="auto"/>
        <w:contextualSpacing/>
        <w:rPr>
          <w:rFonts w:asciiTheme="majorHAnsi" w:hAnsiTheme="majorHAnsi"/>
          <w:sz w:val="22"/>
          <w:szCs w:val="22"/>
        </w:rPr>
      </w:pPr>
      <w:r w:rsidRPr="00FA5AA0">
        <w:rPr>
          <w:rFonts w:asciiTheme="majorHAnsi" w:hAnsiTheme="majorHAnsi"/>
          <w:sz w:val="22"/>
          <w:szCs w:val="22"/>
        </w:rPr>
        <w:t>School Facilities and Teacher Quality</w:t>
      </w:r>
    </w:p>
    <w:p w:rsidR="00FA5AA0" w:rsidRPr="00FA5AA0" w:rsidRDefault="00FA5AA0" w:rsidP="00627031">
      <w:pPr>
        <w:pStyle w:val="NormalIndent"/>
        <w:spacing w:line="240" w:lineRule="auto"/>
        <w:contextualSpacing/>
        <w:rPr>
          <w:rFonts w:asciiTheme="majorHAnsi" w:hAnsiTheme="majorHAnsi"/>
          <w:sz w:val="22"/>
          <w:szCs w:val="22"/>
        </w:rPr>
      </w:pPr>
      <w:r w:rsidRPr="00FA5AA0">
        <w:rPr>
          <w:rFonts w:asciiTheme="majorHAnsi" w:hAnsiTheme="majorHAnsi"/>
          <w:sz w:val="22"/>
          <w:szCs w:val="22"/>
        </w:rPr>
        <w:t xml:space="preserve">Another thread of work focuses on school facilities and teacher quality. Most research in this body of literature focuses on compulsory education and regions with a large number of ethnic minorities, including </w:t>
      </w:r>
      <w:proofErr w:type="spellStart"/>
      <w:r w:rsidRPr="00FA5AA0">
        <w:rPr>
          <w:rFonts w:asciiTheme="majorHAnsi" w:hAnsiTheme="majorHAnsi"/>
          <w:sz w:val="22"/>
          <w:szCs w:val="22"/>
        </w:rPr>
        <w:t>Guizhou's</w:t>
      </w:r>
      <w:proofErr w:type="spellEnd"/>
      <w:r w:rsidRPr="00FA5AA0">
        <w:rPr>
          <w:rFonts w:asciiTheme="majorHAnsi" w:hAnsiTheme="majorHAnsi"/>
          <w:sz w:val="22"/>
          <w:szCs w:val="22"/>
        </w:rPr>
        <w:t xml:space="preserve"> ethnic minority regions and minority autonomous areas of Gansu, Xinjiang, Tibet, and Yunnan (Zhou, 1985; </w:t>
      </w:r>
      <w:proofErr w:type="spellStart"/>
      <w:r w:rsidRPr="00FA5AA0">
        <w:rPr>
          <w:rFonts w:asciiTheme="majorHAnsi" w:hAnsiTheme="majorHAnsi"/>
          <w:sz w:val="22"/>
          <w:szCs w:val="22"/>
        </w:rPr>
        <w:t>Bai</w:t>
      </w:r>
      <w:proofErr w:type="spellEnd"/>
      <w:r w:rsidRPr="00FA5AA0">
        <w:rPr>
          <w:rFonts w:asciiTheme="majorHAnsi" w:hAnsiTheme="majorHAnsi"/>
          <w:sz w:val="22"/>
          <w:szCs w:val="22"/>
        </w:rPr>
        <w:t xml:space="preserve">, 1986: Ma, 2004; </w:t>
      </w:r>
      <w:proofErr w:type="spellStart"/>
      <w:r w:rsidRPr="00FA5AA0">
        <w:rPr>
          <w:rFonts w:asciiTheme="majorHAnsi" w:hAnsiTheme="majorHAnsi"/>
          <w:sz w:val="22"/>
          <w:szCs w:val="22"/>
        </w:rPr>
        <w:t>Teng</w:t>
      </w:r>
      <w:proofErr w:type="spellEnd"/>
      <w:r w:rsidRPr="00FA5AA0">
        <w:rPr>
          <w:rFonts w:asciiTheme="majorHAnsi" w:hAnsiTheme="majorHAnsi"/>
          <w:sz w:val="22"/>
          <w:szCs w:val="22"/>
        </w:rPr>
        <w:t xml:space="preserve"> &amp; Su, 1998; Wang, 2006).  These studies employ a number of methodological approaches, including ethnography, questionnaires, and interviews.  Overall, these studies find that impoverished ethnic minority areas lack educational resources.  Many scholars working on this topic recommend that governing bodies adopt preferential policies to increase educational investment in these areas and help teachers understand and integrate local culture and social norms into teaching.</w:t>
      </w:r>
    </w:p>
    <w:p w:rsidR="00FA5AA0" w:rsidRPr="00FA5AA0" w:rsidRDefault="00FA5AA0" w:rsidP="00627031">
      <w:pPr>
        <w:pStyle w:val="NormalIndent"/>
        <w:spacing w:line="240" w:lineRule="auto"/>
        <w:contextualSpacing/>
        <w:rPr>
          <w:rFonts w:asciiTheme="majorHAnsi" w:hAnsiTheme="majorHAnsi"/>
          <w:sz w:val="22"/>
          <w:szCs w:val="22"/>
        </w:rPr>
      </w:pPr>
      <w:r w:rsidRPr="00FA5AA0">
        <w:rPr>
          <w:rFonts w:asciiTheme="majorHAnsi" w:hAnsiTheme="majorHAnsi"/>
          <w:sz w:val="22"/>
          <w:szCs w:val="22"/>
        </w:rPr>
        <w:t xml:space="preserve">One body of literature emphasizes problems of teacher quality in ethnic minority regions of China.  In 2009, many provinces and prefectures had a higher percentage of teachers that were substitutes than national average (Table 5).  For example, in </w:t>
      </w:r>
      <w:proofErr w:type="spellStart"/>
      <w:r w:rsidRPr="00FA5AA0">
        <w:rPr>
          <w:rFonts w:asciiTheme="majorHAnsi" w:hAnsiTheme="majorHAnsi"/>
          <w:sz w:val="22"/>
          <w:szCs w:val="22"/>
        </w:rPr>
        <w:t>Linxia</w:t>
      </w:r>
      <w:proofErr w:type="spellEnd"/>
      <w:r w:rsidRPr="00FA5AA0">
        <w:rPr>
          <w:rFonts w:asciiTheme="majorHAnsi" w:hAnsiTheme="majorHAnsi"/>
          <w:sz w:val="22"/>
          <w:szCs w:val="22"/>
        </w:rPr>
        <w:t xml:space="preserve"> </w:t>
      </w:r>
      <w:proofErr w:type="spellStart"/>
      <w:r w:rsidRPr="00FA5AA0">
        <w:rPr>
          <w:rFonts w:asciiTheme="majorHAnsi" w:hAnsiTheme="majorHAnsi"/>
          <w:sz w:val="22"/>
          <w:szCs w:val="22"/>
        </w:rPr>
        <w:t>Hui</w:t>
      </w:r>
      <w:proofErr w:type="spellEnd"/>
      <w:r w:rsidRPr="00FA5AA0">
        <w:rPr>
          <w:rFonts w:asciiTheme="majorHAnsi" w:hAnsiTheme="majorHAnsi"/>
          <w:sz w:val="22"/>
          <w:szCs w:val="22"/>
        </w:rPr>
        <w:t xml:space="preserve"> Autonomous Prefecture in Gansu Province, substitute teachers comprised 15.99 percent of total primary school teachers and 24.04 percent of fulltime teachers (Minority Education Department of Gansu Provincial Department of Education, 2010). Of these teachers, only a small number of substitute teachers had a college degree or higher and most had no professional training in pedagogy (Zhao, 2010).  Other work also finds that there is a severe shortage of bilingual teachers in many ethnic minority areas and that there are no bilingual teacher training institutions (Ma, 2007; </w:t>
      </w:r>
      <w:proofErr w:type="spellStart"/>
      <w:r w:rsidRPr="00FA5AA0">
        <w:rPr>
          <w:rFonts w:asciiTheme="majorHAnsi" w:hAnsiTheme="majorHAnsi"/>
          <w:sz w:val="22"/>
          <w:szCs w:val="22"/>
        </w:rPr>
        <w:t>Teng</w:t>
      </w:r>
      <w:proofErr w:type="spellEnd"/>
      <w:r w:rsidRPr="00FA5AA0">
        <w:rPr>
          <w:rFonts w:asciiTheme="majorHAnsi" w:hAnsiTheme="majorHAnsi"/>
          <w:sz w:val="22"/>
          <w:szCs w:val="22"/>
        </w:rPr>
        <w:t xml:space="preserve">, 2001; </w:t>
      </w:r>
      <w:proofErr w:type="spellStart"/>
      <w:r w:rsidRPr="00FA5AA0">
        <w:rPr>
          <w:rFonts w:asciiTheme="majorHAnsi" w:hAnsiTheme="majorHAnsi"/>
          <w:sz w:val="22"/>
          <w:szCs w:val="22"/>
        </w:rPr>
        <w:t>Xu</w:t>
      </w:r>
      <w:proofErr w:type="spellEnd"/>
      <w:r w:rsidRPr="00FA5AA0">
        <w:rPr>
          <w:rFonts w:asciiTheme="majorHAnsi" w:hAnsiTheme="majorHAnsi"/>
          <w:sz w:val="22"/>
          <w:szCs w:val="22"/>
        </w:rPr>
        <w:t>, 2009).</w:t>
      </w:r>
    </w:p>
    <w:p w:rsidR="00FA5AA0" w:rsidRPr="00FA5AA0" w:rsidRDefault="00FA5AA0" w:rsidP="00627031">
      <w:pPr>
        <w:pStyle w:val="NormalIndent"/>
        <w:spacing w:line="240" w:lineRule="auto"/>
        <w:contextualSpacing/>
        <w:jc w:val="center"/>
        <w:rPr>
          <w:rFonts w:asciiTheme="majorHAnsi" w:hAnsiTheme="majorHAnsi"/>
          <w:sz w:val="22"/>
          <w:szCs w:val="22"/>
        </w:rPr>
      </w:pPr>
      <w:r w:rsidRPr="00FA5AA0">
        <w:rPr>
          <w:rFonts w:asciiTheme="majorHAnsi" w:hAnsiTheme="majorHAnsi"/>
          <w:sz w:val="22"/>
          <w:szCs w:val="22"/>
        </w:rPr>
        <w:t>[Table 4 about here]</w:t>
      </w:r>
    </w:p>
    <w:p w:rsidR="00FA5AA0" w:rsidRPr="00FA5AA0" w:rsidRDefault="00FA5AA0" w:rsidP="00627031">
      <w:pPr>
        <w:pStyle w:val="NormalIndent"/>
        <w:spacing w:line="240" w:lineRule="auto"/>
        <w:contextualSpacing/>
        <w:rPr>
          <w:rFonts w:asciiTheme="majorHAnsi" w:hAnsiTheme="majorHAnsi"/>
          <w:sz w:val="22"/>
          <w:szCs w:val="22"/>
        </w:rPr>
      </w:pPr>
      <w:r w:rsidRPr="00FA5AA0">
        <w:rPr>
          <w:rFonts w:asciiTheme="majorHAnsi" w:hAnsiTheme="majorHAnsi"/>
          <w:sz w:val="22"/>
          <w:szCs w:val="22"/>
        </w:rPr>
        <w:t>Another line of research in this tradition focuses on the shortage of investment in education in ethnic minority regions.  Studies which focus on primary and secondary education in ethnic minority areas find that schools often lack laboratory equipment, library materials, and other resources (</w:t>
      </w:r>
      <w:proofErr w:type="spellStart"/>
      <w:r w:rsidRPr="00FA5AA0">
        <w:rPr>
          <w:rFonts w:asciiTheme="majorHAnsi" w:hAnsiTheme="majorHAnsi"/>
          <w:sz w:val="22"/>
          <w:szCs w:val="22"/>
        </w:rPr>
        <w:t>Teng</w:t>
      </w:r>
      <w:proofErr w:type="spellEnd"/>
      <w:r w:rsidRPr="00FA5AA0">
        <w:rPr>
          <w:rFonts w:asciiTheme="majorHAnsi" w:hAnsiTheme="majorHAnsi"/>
          <w:sz w:val="22"/>
          <w:szCs w:val="22"/>
        </w:rPr>
        <w:t xml:space="preserve"> &amp; Su, 1998; </w:t>
      </w:r>
      <w:proofErr w:type="spellStart"/>
      <w:r w:rsidRPr="00FA5AA0">
        <w:rPr>
          <w:rFonts w:asciiTheme="majorHAnsi" w:hAnsiTheme="majorHAnsi"/>
          <w:sz w:val="22"/>
          <w:szCs w:val="22"/>
        </w:rPr>
        <w:t>Xu</w:t>
      </w:r>
      <w:proofErr w:type="spellEnd"/>
      <w:r w:rsidRPr="00FA5AA0">
        <w:rPr>
          <w:rFonts w:asciiTheme="majorHAnsi" w:hAnsiTheme="majorHAnsi"/>
          <w:sz w:val="22"/>
          <w:szCs w:val="22"/>
        </w:rPr>
        <w:t xml:space="preserve">, 2009).  In a case study of schools which serve Yao children, Yuan (2004) found that the far distance that students had to travel to school hindered their attendance, resulting in a large number of school drop-outs.  </w:t>
      </w:r>
    </w:p>
    <w:p w:rsidR="00FA5AA0" w:rsidRPr="00FA5AA0" w:rsidRDefault="00FA5AA0" w:rsidP="00627031">
      <w:pPr>
        <w:pStyle w:val="Heading2"/>
        <w:spacing w:line="240" w:lineRule="auto"/>
        <w:contextualSpacing/>
        <w:rPr>
          <w:rFonts w:asciiTheme="majorHAnsi" w:hAnsiTheme="majorHAnsi"/>
          <w:sz w:val="22"/>
          <w:szCs w:val="22"/>
        </w:rPr>
      </w:pPr>
      <w:r w:rsidRPr="00FA5AA0">
        <w:rPr>
          <w:rFonts w:asciiTheme="majorHAnsi" w:hAnsiTheme="majorHAnsi"/>
          <w:sz w:val="22"/>
          <w:szCs w:val="22"/>
        </w:rPr>
        <w:t>Preferential / Affirmative Action Policies</w:t>
      </w:r>
    </w:p>
    <w:p w:rsidR="00FA5AA0" w:rsidRPr="00FA5AA0" w:rsidRDefault="00FA5AA0" w:rsidP="00627031">
      <w:pPr>
        <w:pStyle w:val="NormalIndent"/>
        <w:spacing w:line="240" w:lineRule="auto"/>
        <w:contextualSpacing/>
        <w:rPr>
          <w:rFonts w:asciiTheme="majorHAnsi" w:hAnsiTheme="majorHAnsi"/>
          <w:sz w:val="22"/>
          <w:szCs w:val="22"/>
        </w:rPr>
      </w:pPr>
      <w:r w:rsidRPr="00FA5AA0">
        <w:rPr>
          <w:rFonts w:asciiTheme="majorHAnsi" w:hAnsiTheme="majorHAnsi"/>
          <w:sz w:val="22"/>
          <w:szCs w:val="22"/>
        </w:rPr>
        <w:t xml:space="preserve">The final research tradition of Chinese-language literature focuses on the purpose of preferential policies towards ethnic minorities.  China currently implements a number of preferential policies for ethnic minorities which affect education, employment, family planning, and Communist Party membership. In October, 1980, the government addressed issues of representation of ethnic minorities in higher education by stating that the proportion of ethnic minorities enrolled in higher education should not be less than the proportion of ethnic minorities in the population (Ma, 2007).  </w:t>
      </w:r>
    </w:p>
    <w:p w:rsidR="00FA5AA0" w:rsidRPr="00FA5AA0" w:rsidRDefault="00FA5AA0" w:rsidP="00627031">
      <w:pPr>
        <w:pStyle w:val="NormalIndent"/>
        <w:spacing w:line="240" w:lineRule="auto"/>
        <w:contextualSpacing/>
        <w:rPr>
          <w:rFonts w:asciiTheme="majorHAnsi" w:hAnsiTheme="majorHAnsi"/>
          <w:sz w:val="22"/>
          <w:szCs w:val="22"/>
        </w:rPr>
      </w:pPr>
      <w:r w:rsidRPr="00FA5AA0">
        <w:rPr>
          <w:rFonts w:asciiTheme="majorHAnsi" w:hAnsiTheme="majorHAnsi"/>
          <w:sz w:val="22"/>
          <w:szCs w:val="22"/>
        </w:rPr>
        <w:t xml:space="preserve">The limited number of articles and books in this tradition rely more on theoretical arguments rather than empirical study.  Some authors argue that affirmative action policies are necessary to address unbalanced economic development of ethnic minority regions, while others discuss the negative consequences of these policies.  Some scholars argue that due to a disproportionate number of ethnic minorities residing in impoverished areas of China, policies should be created to foster educational development and “mainstream language and values” in these areas (Hu &amp; Wen, 2001; Wan, 2006).  </w:t>
      </w:r>
    </w:p>
    <w:p w:rsidR="00FA5AA0" w:rsidRPr="00FA5AA0" w:rsidRDefault="00FA5AA0" w:rsidP="00627031">
      <w:pPr>
        <w:pStyle w:val="NormalIndent"/>
        <w:spacing w:line="240" w:lineRule="auto"/>
        <w:contextualSpacing/>
        <w:rPr>
          <w:rFonts w:asciiTheme="majorHAnsi" w:hAnsiTheme="majorHAnsi"/>
          <w:sz w:val="22"/>
          <w:szCs w:val="22"/>
        </w:rPr>
      </w:pPr>
      <w:r w:rsidRPr="00FA5AA0">
        <w:rPr>
          <w:rFonts w:asciiTheme="majorHAnsi" w:hAnsiTheme="majorHAnsi"/>
          <w:sz w:val="22"/>
          <w:szCs w:val="22"/>
        </w:rPr>
        <w:t>However, other scholars believe that these policies may have a number of negative consequences.  Zhang and Liu (2010) argue that bilingual education may hinder the integration and upward mobility of ethnic minorities.  Specifically, the author argues that because only ethnic minorities can enroll in “</w:t>
      </w:r>
      <w:r w:rsidRPr="00FA5AA0">
        <w:rPr>
          <w:rFonts w:asciiTheme="majorHAnsi" w:hAnsiTheme="majorHAnsi"/>
          <w:i/>
          <w:sz w:val="22"/>
          <w:szCs w:val="22"/>
        </w:rPr>
        <w:t xml:space="preserve">min </w:t>
      </w:r>
      <w:proofErr w:type="spellStart"/>
      <w:r w:rsidRPr="00FA5AA0">
        <w:rPr>
          <w:rFonts w:asciiTheme="majorHAnsi" w:hAnsiTheme="majorHAnsi"/>
          <w:i/>
          <w:sz w:val="22"/>
          <w:szCs w:val="22"/>
        </w:rPr>
        <w:t>kao</w:t>
      </w:r>
      <w:proofErr w:type="spellEnd"/>
      <w:r w:rsidRPr="00FA5AA0">
        <w:rPr>
          <w:rFonts w:asciiTheme="majorHAnsi" w:hAnsiTheme="majorHAnsi"/>
          <w:i/>
          <w:sz w:val="22"/>
          <w:szCs w:val="22"/>
        </w:rPr>
        <w:t xml:space="preserve"> min</w:t>
      </w:r>
      <w:r w:rsidRPr="00FA5AA0">
        <w:rPr>
          <w:rFonts w:asciiTheme="majorHAnsi" w:hAnsiTheme="majorHAnsi"/>
          <w:i/>
          <w:sz w:val="22"/>
          <w:szCs w:val="22"/>
          <w:lang w:eastAsia="zh-CN"/>
        </w:rPr>
        <w:t xml:space="preserve">, </w:t>
      </w:r>
      <w:r w:rsidRPr="00FA5AA0">
        <w:rPr>
          <w:rFonts w:asciiTheme="majorHAnsi" w:hAnsiTheme="majorHAnsi"/>
          <w:i/>
          <w:sz w:val="22"/>
          <w:szCs w:val="22"/>
          <w:lang w:eastAsia="zh-CN"/>
        </w:rPr>
        <w:t>民考民</w:t>
      </w:r>
      <w:r w:rsidRPr="00FA5AA0">
        <w:rPr>
          <w:rFonts w:asciiTheme="majorHAnsi" w:hAnsiTheme="majorHAnsi"/>
          <w:sz w:val="22"/>
          <w:szCs w:val="22"/>
        </w:rPr>
        <w:t>”, or ethnic minority classes taught in the minority language, students’ future options may be limited.  Other scholars also argue that affirmative action policies for ethnic minorities should only target individuals who live in remote or impoverished areas and not ethnic minorities who live in more affluent regions (</w:t>
      </w:r>
      <w:proofErr w:type="spellStart"/>
      <w:r w:rsidRPr="00FA5AA0">
        <w:rPr>
          <w:rFonts w:asciiTheme="majorHAnsi" w:hAnsiTheme="majorHAnsi"/>
          <w:sz w:val="22"/>
          <w:szCs w:val="22"/>
        </w:rPr>
        <w:t>Ao</w:t>
      </w:r>
      <w:proofErr w:type="spellEnd"/>
      <w:r w:rsidRPr="00FA5AA0">
        <w:rPr>
          <w:rFonts w:asciiTheme="majorHAnsi" w:hAnsiTheme="majorHAnsi"/>
          <w:sz w:val="22"/>
          <w:szCs w:val="22"/>
        </w:rPr>
        <w:t>, 2006; Wang, 2007).  Another argument is concerned with “reverse discrimination”, in which the favoring of ethnic minorities students may disadvantage Han students (</w:t>
      </w:r>
      <w:proofErr w:type="spellStart"/>
      <w:r w:rsidRPr="00FA5AA0">
        <w:rPr>
          <w:rFonts w:asciiTheme="majorHAnsi" w:hAnsiTheme="majorHAnsi"/>
          <w:sz w:val="22"/>
          <w:szCs w:val="22"/>
        </w:rPr>
        <w:t>Ao</w:t>
      </w:r>
      <w:proofErr w:type="spellEnd"/>
      <w:r w:rsidRPr="00FA5AA0">
        <w:rPr>
          <w:rFonts w:asciiTheme="majorHAnsi" w:hAnsiTheme="majorHAnsi"/>
          <w:sz w:val="22"/>
          <w:szCs w:val="22"/>
        </w:rPr>
        <w:t xml:space="preserve">, 2006; </w:t>
      </w:r>
      <w:proofErr w:type="spellStart"/>
      <w:r w:rsidRPr="00FA5AA0">
        <w:rPr>
          <w:rFonts w:asciiTheme="majorHAnsi" w:hAnsiTheme="majorHAnsi"/>
          <w:sz w:val="22"/>
          <w:szCs w:val="22"/>
        </w:rPr>
        <w:t>Teng</w:t>
      </w:r>
      <w:proofErr w:type="spellEnd"/>
      <w:r w:rsidRPr="00FA5AA0">
        <w:rPr>
          <w:rFonts w:asciiTheme="majorHAnsi" w:hAnsiTheme="majorHAnsi"/>
          <w:sz w:val="22"/>
          <w:szCs w:val="22"/>
        </w:rPr>
        <w:t xml:space="preserve"> &amp; Ma, 2005; Wang, 2007).</w:t>
      </w:r>
    </w:p>
    <w:p w:rsidR="00FA5AA0" w:rsidRPr="00FA5AA0" w:rsidRDefault="00FA5AA0" w:rsidP="00627031">
      <w:pPr>
        <w:pStyle w:val="Heading1"/>
        <w:contextualSpacing/>
        <w:rPr>
          <w:rFonts w:asciiTheme="majorHAnsi" w:hAnsiTheme="majorHAnsi"/>
          <w:sz w:val="22"/>
          <w:szCs w:val="22"/>
        </w:rPr>
      </w:pPr>
      <w:r w:rsidRPr="00FA5AA0">
        <w:rPr>
          <w:rFonts w:asciiTheme="majorHAnsi" w:hAnsiTheme="majorHAnsi"/>
          <w:sz w:val="22"/>
          <w:szCs w:val="22"/>
        </w:rPr>
        <w:t>English-language Traditions</w:t>
      </w:r>
    </w:p>
    <w:p w:rsidR="00FA5AA0" w:rsidRPr="00FA5AA0" w:rsidRDefault="00FA5AA0" w:rsidP="00627031">
      <w:pPr>
        <w:spacing w:line="240" w:lineRule="auto"/>
        <w:contextualSpacing/>
        <w:rPr>
          <w:rFonts w:asciiTheme="majorHAnsi" w:hAnsiTheme="majorHAnsi"/>
        </w:rPr>
      </w:pPr>
      <w:r w:rsidRPr="00FA5AA0">
        <w:rPr>
          <w:rFonts w:asciiTheme="majorHAnsi" w:hAnsiTheme="majorHAnsi"/>
        </w:rPr>
        <w:tab/>
        <w:t xml:space="preserve">English-language literature on ethnic minority education can be categorized into three broad traditions: policy overviews, analyses of the relationships between education and ethnic identity, and studies of educational stratification.  Policy overviews are in some cases exploratory cataloging projects, and in others, more serious critical investigations of the nature of relevant policies such as affirmative action, higher education, and language policies.  Much of the research on education and ethnic identity focuses on the role of the state and of students themselves in constructing ethnic identities.  Finally, literature on educational stratification, which is not generally highly theorized, has sought to establish empirical patterns and trends in access, attainment, and the economic context and outcomes of education.  </w:t>
      </w:r>
    </w:p>
    <w:p w:rsidR="00FA5AA0" w:rsidRPr="00FA5AA0" w:rsidRDefault="00FA5AA0" w:rsidP="00627031">
      <w:pPr>
        <w:pStyle w:val="Heading2"/>
        <w:spacing w:line="240" w:lineRule="auto"/>
        <w:contextualSpacing/>
        <w:rPr>
          <w:rFonts w:asciiTheme="majorHAnsi" w:hAnsiTheme="majorHAnsi"/>
          <w:sz w:val="22"/>
          <w:szCs w:val="22"/>
        </w:rPr>
      </w:pPr>
      <w:r w:rsidRPr="00FA5AA0">
        <w:rPr>
          <w:rFonts w:asciiTheme="majorHAnsi" w:hAnsiTheme="majorHAnsi"/>
          <w:sz w:val="22"/>
          <w:szCs w:val="22"/>
        </w:rPr>
        <w:t>Policy Overviews</w:t>
      </w:r>
    </w:p>
    <w:p w:rsidR="00FA5AA0" w:rsidRPr="00FA5AA0" w:rsidRDefault="00FA5AA0" w:rsidP="00627031">
      <w:pPr>
        <w:pStyle w:val="NormalIndent"/>
        <w:spacing w:line="240" w:lineRule="auto"/>
        <w:contextualSpacing/>
        <w:rPr>
          <w:rFonts w:asciiTheme="majorHAnsi" w:hAnsiTheme="majorHAnsi"/>
          <w:sz w:val="22"/>
          <w:szCs w:val="22"/>
        </w:rPr>
      </w:pPr>
      <w:r w:rsidRPr="00FA5AA0">
        <w:rPr>
          <w:rFonts w:asciiTheme="majorHAnsi" w:hAnsiTheme="majorHAnsi"/>
          <w:sz w:val="22"/>
          <w:szCs w:val="22"/>
        </w:rPr>
        <w:t xml:space="preserve">A number of studies have undertaken a basic descriptive task of cataloging existing minority education policy in the contemporary period.  Many scholars have noted the pendulum shifts in minority education policy, with the Cultural Revolution marked by extreme assimilationist policies and the subsequent reform era dating from the late 1970s marked by a broad variety of policies aimed at promoting minority education and development </w:t>
      </w:r>
      <w:r w:rsidRPr="00FA5AA0">
        <w:rPr>
          <w:rFonts w:asciiTheme="majorHAnsi" w:hAnsiTheme="majorHAnsi"/>
          <w:sz w:val="22"/>
          <w:szCs w:val="22"/>
        </w:rPr>
        <w:fldChar w:fldCharType="begin"/>
      </w:r>
      <w:r w:rsidRPr="00FA5AA0">
        <w:rPr>
          <w:rFonts w:asciiTheme="majorHAnsi" w:hAnsiTheme="majorHAnsi"/>
          <w:sz w:val="22"/>
          <w:szCs w:val="22"/>
        </w:rPr>
        <w:instrText xml:space="preserve"> ADDIN ZOTERO_ITEM CSL_CITATION {"citationID":"4JnlTg2y","properties":{"formattedCitation":"{\\rtf (Bass, 1998, pp. 18\\uc0\\u8211{}21; Dai &amp; Dong, 2001; e.g., Gerard Postiglione, 2009; L. Tsung, 2009, Chapter 4)}","plainCitation":"(Bass, 1998, pp. 18–21; Dai &amp; Dong, 2001; e.g., Gerard Postiglione, 2009; L. Tsung, 2009, Chapter 4)"},"citationItems":[{"id":3684,"uris":["http://zotero.org/users/992731/items/AHBS4KF7"],"uri":["http://zotero.org/users/992731/items/AHBS4KF7"],"itemData":{"id":3684,"type":"chapter","title":"Education of Ethnic Groups in China","container-title":"The Routledge International Companion to Multicultural Education","publisher":"Routledge","publisher-place":"New York and London","page":"501-511","event-place":"New York and London","URL":"http://www0.hku.hk/chinaed/papers/Prof.%20G.A.%20Postiglione/The_Education_of_Ethnic_Minority_Groups_in_China.doc","author":[{"family":"Postiglione","given":"Gerard"}],"editor":[{"family":"Banks","given":"James"}],"issued":{"date-parts":[[2009]]},"accessed":{"date-parts":[[2012,5,6]]}},"prefix":"e.g., "},{"id":3566,"uris":["http://zotero.org/users/992731/items/2NS86FFB"],"uri":["http://zotero.org/users/992731/items/2NS86FFB"],"itemData":{"id":3566,"type":"book","title":"Education in Tibet","collection-title":"Politics in contemporary Asia series; Variation:                Politics in contemporary Asia.","publisher":"St. Martin's Press","publisher-place":"New York","source":"OCLC WorldCat FirstSearch","event-place":"New York","ISBN":"1856496732","note":"Access: http://catdir.loc.gov/catdir/bios/hol058/98036349.html\nExternal Resources: Cite This Item Search for versions with same title and author | Advanced options ...\nLanguage: English\nContents: Preface -- Introduction -- Part One: Background -- Red or Expert: Shifting Priorities in Education, 1950-1978 -- Socialist Modernisation, 1978-97 -- Regional Disparity in Education Provision -- Part Two: Primary Education -- Funding of Primary Education: Urban versus Rural -- General Secondary Education -- Vocational Secondary Education -- Higher Education -- Pre-school Education, Education for Girls, Special Needs Education -- Teachers and Teaching -- Tibetan Language Policy in Education -- Concluding Comments.\nAccess: Materials specified:      Contributor biographical information http://catdir.loc.gov/catdir/bios/hol058/98036349.html\nMaterials specified: Publisher description http://catdir.loc.gov/catdir/description/hol056/98036349.html\nMaterials specified: Table of contents http://catdir.loc.gov/catdir/toc/hol052/98036349.html\nGeographic: Tibet. China.\nNote(s): Includes bibliographical references (p. [283]-292) and index.\nGeneral Info: National bibliography no: GB98-W7723 Other format available:   Online version:; Bass, Catriona.; Education in Tibet.; London ; New York : Zed Books ; London ; Jackson, Wy : Tibet Information Network ; New York : St. Martin's Press [distributor], 1998; Online version:; Bass, Catriona.; Education in Tibet.; London ; New York : Zed Books ; London ; Jackson, Wy : Tibet Information Network ; New York : St. Martin's Press [distributor], 1998\nClass Descriptors: LC: LC94.C5; Dewey: 379.414\nResponsibility: Catriona Bass.\nMore Records: Show record information\nVendor Info: Baker and Taylor Baker &amp; Taylor Baker &amp; Taylor YBP Library Services (BTCP BKTY BKTY YANK) 80.00 32.00 Status:                   active active\nMaterial Type: Internet resource (url)\nDate of Entry: 19980715\nUpdate: 20111128\nProvider: OCLC\n2 Red or Expert: Shifting Priorities in Education, 1949-78 ( 26 ) 'Democratic Revolution', 'Socialist Reconstruction' and 'Socialist Transformation' in China, 1949-65 ( 26 ) The 'minority' nationality education policy and Tibet, 1950-65 ( 28 ) The Cultural Revolution in China, 1966-76 ( 34 ) The Cultural Revolution in the TAR, 1966-76 ( 36 ) Summary ( 41 ) 3oSiclasi toMednrzitaoi,n1 79-879 ( 47 )\nhT eoFruM doreinazitno: sr teru nfoq auilyto ev ruqnaityt ( 47 ) Changes in China's 'minority' nationality education policy ( 50 )\ndEcutaoi nerofmr snit ehT RA : ht e9108s ( 51 ) Patriotic education and the political role of 'minority' nationality education in the TAR: 1990s ( 54 ) Summary ( 59 )\n4 Economic Reform: Regional Disparity in Education Provision ( 63 )\nFunding: diversification of sources ( 63 ) Nine-year compulsory education: regional disparity in implementation ( 66 ) Summary ( 69 ) 5 Primary Education ( 72 ) The 'consolidation' of primary schools, 1978-84 ( 72 ) Enrolment in primary education ( 75 ) Urban versus rural provision in the TAR ( 77 ) Drop-out from primary education ( 78 ) Illiteracy ( 82 ) Low enrolment and high drop-out in rural schools: a review of contributory factors ( 86 ) uSmmray ( 106 ) Official statistics and basic facts ( 107 )\n6 Funding of Primary Education: Urban Versus Rural ( 114 ) Government funding ( 114 ) Non-government funding ( 118 )\nReassessment of funding reforms in the 1990s: recentralization and renewed emphasis on government funding ( 124 ) Summary ( 131 ) 7 General Secondary Education ( 137 ) Elite versus mass education ( 137 ) Enrolment in secondary education ( 137 ) Urban-rural distribution of secondary schools ( 141 ) Key schools ( 141 ) The streaming system in secondary schools ( 145 ) The education of children from the TAR in Central China ( 149 ) Summary ( 153 ) Official statistics and basic facts 1994 ( 155 ) 8oVacitnolaS cenoadyrE udacitno ( 159 ) The development of vocational secondary education in the TAR since 1978 ( 159 ) Funding of vocational secondary education ( 162 ) Enrolment in vocational secondary education in the TAR ( 162 ) Senior secondary specialized schools in the TAR ( 163 ) Summary ( 167 ) Official statistics and basic facts ( 169 ) 9 Higher Education ( 172 )\nFunding of higher education in the 1980s: higher education versus basic education ( 174 )\nFunding crisis in higher education in the 1990s: recentralization of control ( 176 ) Enrolment in higher education ( 179 ) Enrolment in higher education in the TAR ( 184 )\nLow enrolment of Tibetans in higher education: factors involved ( 191 ) Summary ( 196 ) Official statistics and basic facts ( 198 ) 10 Pre-school Education, Education for Girls, and Special Needs Education ( 205 ) Pre-school education ( 205 ) Education for girls ( 206 ) Special needs education ( 206 ) 11T aehcre sna deTcaihgn ( 209 ) Teachers and the Communist Party ( 209 ) The economic status of teachers ( 210 ) Teacher shortages ( 214 ) Teaching quality ( 216 ) Teacher training ( 219 ) Summary ( 224 ) Official statistics and basic facts ( 225 ) 12 Tibetan Language Policy in Education ( 229 ) nAo evvreiw ( 229 ) Provision of Tibetan medium education ( 233 ) Experimental Tibetan medium secondary schools ( 235 ) rPboelsmo fmilpmeneatitno ( 237 ) Summary ( 244 ) 13 Concluding Comments ( 250 ) Education in the TAR and China's broader economic concerns ( 252 ) Education in the TAR and China's strategic concerns ( 256 )","shortTitle":"Education in Tibet","author":[{"family":"Bass","given":"Catriona"}],"issued":{"date-parts":[[1998]]}},"locator":"18-21"},{"id":3630,"uris":["http://zotero.org/users/992731/items/FBM22NPT"],"uri":["http://zotero.org/users/992731/items/FBM22NPT"],"itemData":{"id":3630,"type":"book","title":"Minority Languages, Education and Communities in China","publisher":"Palgrave Macmillan","publisher-place":"London","event-place":"London","URL":"http://www.palgrave.com/products/title.aspx?PID=280404","author":[{"family":"Tsung","given":"Linda"}],"issued":{"date-parts":[[2009]]},"accessed":{"date-parts":[[2012,4,29]]}},"locator":"4","label":"chapter"},{"id":3797,"uris":["http://zotero.org/users/992731/items/K3BB8TDT"],"uri":["http://zotero.org/users/992731/items/K3BB8TDT"],"itemData":{"id":3797,"type":"article-journal","title":"The Historical Evolution of Bilingual Education for China's Ethnic Minorities.","container-title":"Chinese Education &amp; Society","page":"7","volume":"34","issue":"2","abstract":"Examines the historical evolution of bilingual education for ethnic minorities in China.  Role of bilingual education in understanding the natural condition of native language; Importance of bilingual language in the promotion and development of society and individual; Effect of the characteristics of ethnic education for the development and formation of bilingual education.","DOI":"Article","ISSN":"10611932","author":[{"family":"Dai","given":"Qingxia"},{"family":"Dong","given":"Yan"}],"issued":{"date-parts":[["2001",3]]}}}],"schema":"https://github.com/citation-style-language/schema/raw/master/csl-citation.json"} </w:instrText>
      </w:r>
      <w:r w:rsidRPr="00FA5AA0">
        <w:rPr>
          <w:rFonts w:asciiTheme="majorHAnsi" w:hAnsiTheme="majorHAnsi"/>
          <w:sz w:val="22"/>
          <w:szCs w:val="22"/>
        </w:rPr>
        <w:fldChar w:fldCharType="separate"/>
      </w:r>
      <w:r w:rsidRPr="00FA5AA0">
        <w:rPr>
          <w:rFonts w:asciiTheme="majorHAnsi" w:hAnsiTheme="majorHAnsi"/>
          <w:sz w:val="22"/>
          <w:szCs w:val="22"/>
        </w:rPr>
        <w:t>(Bass, 1998, pp. 18–21; Dai &amp; Dong, 2001; e.g., Postiglione, 2009; Tsung, 2009, Chapter 4)</w:t>
      </w:r>
      <w:r w:rsidRPr="00FA5AA0">
        <w:rPr>
          <w:rFonts w:asciiTheme="majorHAnsi" w:hAnsiTheme="majorHAnsi"/>
          <w:sz w:val="22"/>
          <w:szCs w:val="22"/>
        </w:rPr>
        <w:fldChar w:fldCharType="end"/>
      </w:r>
      <w:r w:rsidRPr="00FA5AA0">
        <w:rPr>
          <w:rFonts w:asciiTheme="majorHAnsi" w:hAnsiTheme="majorHAnsi"/>
          <w:sz w:val="22"/>
          <w:szCs w:val="22"/>
        </w:rPr>
        <w:t xml:space="preserve">.  </w:t>
      </w:r>
      <w:proofErr w:type="spellStart"/>
      <w:r w:rsidRPr="00FA5AA0">
        <w:rPr>
          <w:rFonts w:asciiTheme="majorHAnsi" w:hAnsiTheme="majorHAnsi"/>
          <w:sz w:val="22"/>
          <w:szCs w:val="22"/>
        </w:rPr>
        <w:t>Iredale</w:t>
      </w:r>
      <w:proofErr w:type="spellEnd"/>
      <w:r w:rsidRPr="00FA5AA0">
        <w:rPr>
          <w:rFonts w:asciiTheme="majorHAnsi" w:hAnsiTheme="majorHAnsi"/>
          <w:sz w:val="22"/>
          <w:szCs w:val="22"/>
        </w:rPr>
        <w:t xml:space="preserve"> et al (2001) and Hannum and Wang (2012) provide brief reviews of reform-era minority education policies in the context of broader development policies and demographic trends, highlighting provincial “twinning” of rich provinces with poor and minority provinces and autonomous regions for educational support; preferential treatment of minority areas in poverty alleviation targeting; and various affirmative action policies for matriculation into colleges and universities; subsidies for minority students, and establishment of inland (</w:t>
      </w:r>
      <w:proofErr w:type="spellStart"/>
      <w:r w:rsidRPr="00FA5AA0">
        <w:rPr>
          <w:rFonts w:asciiTheme="majorHAnsi" w:hAnsiTheme="majorHAnsi"/>
          <w:i/>
          <w:sz w:val="22"/>
          <w:szCs w:val="22"/>
        </w:rPr>
        <w:t>neidi</w:t>
      </w:r>
      <w:proofErr w:type="spellEnd"/>
      <w:r w:rsidRPr="00FA5AA0">
        <w:rPr>
          <w:rFonts w:asciiTheme="majorHAnsi" w:hAnsiTheme="majorHAnsi"/>
          <w:sz w:val="22"/>
          <w:szCs w:val="22"/>
        </w:rPr>
        <w:t xml:space="preserve">, </w:t>
      </w:r>
      <w:proofErr w:type="spellStart"/>
      <w:r w:rsidRPr="00FA5AA0">
        <w:rPr>
          <w:rFonts w:asciiTheme="majorHAnsi" w:hAnsiTheme="majorHAnsi"/>
          <w:sz w:val="22"/>
          <w:szCs w:val="22"/>
        </w:rPr>
        <w:t>内地</w:t>
      </w:r>
      <w:proofErr w:type="spellEnd"/>
      <w:r w:rsidRPr="00FA5AA0">
        <w:rPr>
          <w:rFonts w:asciiTheme="majorHAnsi" w:hAnsiTheme="majorHAnsi"/>
          <w:sz w:val="22"/>
          <w:szCs w:val="22"/>
        </w:rPr>
        <w:t>)</w:t>
      </w:r>
      <w:r w:rsidRPr="00FA5AA0">
        <w:rPr>
          <w:rFonts w:asciiTheme="majorHAnsi" w:hAnsiTheme="majorHAnsi"/>
          <w:sz w:val="22"/>
          <w:szCs w:val="22"/>
          <w:lang w:eastAsia="zh-CN"/>
        </w:rPr>
        <w:t xml:space="preserve"> </w:t>
      </w:r>
      <w:r w:rsidRPr="00FA5AA0">
        <w:rPr>
          <w:rFonts w:asciiTheme="majorHAnsi" w:hAnsiTheme="majorHAnsi"/>
          <w:sz w:val="22"/>
          <w:szCs w:val="22"/>
        </w:rPr>
        <w:t xml:space="preserve">minority boarding schools in China’s heartland </w:t>
      </w:r>
      <w:r w:rsidRPr="00FA5AA0">
        <w:rPr>
          <w:rFonts w:asciiTheme="majorHAnsi" w:hAnsiTheme="majorHAnsi"/>
          <w:sz w:val="22"/>
          <w:szCs w:val="22"/>
        </w:rPr>
        <w:fldChar w:fldCharType="begin"/>
      </w:r>
      <w:r w:rsidRPr="00FA5AA0">
        <w:rPr>
          <w:rFonts w:asciiTheme="majorHAnsi" w:hAnsiTheme="majorHAnsi"/>
          <w:sz w:val="22"/>
          <w:szCs w:val="22"/>
        </w:rPr>
        <w:instrText xml:space="preserve"> ADDIN ZOTERO_ITEM CSL_CITATION {"citationID":"84nCQ3yf","properties":{"formattedCitation":"(Hannum &amp; Wang, 2012; Iredale, Bilik, &amp; Su, 2001)","plainCitation":"(Hannum &amp; Wang, 2012; Iredale, Bilik, &amp; Su, 2001)"},"citationItems":[{"id":1302,"uris":["http://zotero.org/users/992731/items/XR4KM9DS"],"uri":["http://zotero.org/users/992731/items/XR4KM9DS"],"itemData":{"id":1302,"type":"book","title":"Contemporary Minority Migration, Education, and Ethnicity in China","publisher":"Edward Elgar Northampton, MA","author":[{"family":"Iredale","given":"R. R."},{"family":"Bilik","given":"N."},{"family":"Su","given":"W."}],"issued":{"date-parts":[[2001]]}}},{"id":1062,"uris":["http://zotero.org/users/992731/items/FUFFIB96"],"uri":["http://zotero.org/users/992731/items/FUFFIB96"],"itemData":{"id":1062,"type":"chapter","title":"China: A Case Study in Rapid Poverty Reduction","collection-title":"Indigenous Peoples, Poverty, and Development","publisher":"Cambridge University Press","publisher-place":"Cambridge, UK","event-place":"Cambridge, UK","author":[{"family":"Hannum","given":"Emily"},{"family":"Wang","given":"Meiyan"}],"editor":[{"family":"Hall","given":"Gillette"},{"family":"Patrinos","given":"Harry A."}],"issued":{"date-parts":[[2012]]}}}],"schema":"https://github.com/citation-style-language/schema/raw/master/csl-citation.json"} </w:instrText>
      </w:r>
      <w:r w:rsidRPr="00FA5AA0">
        <w:rPr>
          <w:rFonts w:asciiTheme="majorHAnsi" w:hAnsiTheme="majorHAnsi"/>
          <w:sz w:val="22"/>
          <w:szCs w:val="22"/>
        </w:rPr>
        <w:fldChar w:fldCharType="separate"/>
      </w:r>
      <w:r w:rsidRPr="00FA5AA0">
        <w:rPr>
          <w:rFonts w:asciiTheme="majorHAnsi" w:eastAsia="SimSun" w:hAnsiTheme="majorHAnsi"/>
          <w:sz w:val="22"/>
          <w:szCs w:val="22"/>
          <w:lang w:eastAsia="zh-CN"/>
        </w:rPr>
        <w:t>(Hannum &amp; Wang, 2012; Iredale, Bilik, &amp; Su, 2001)</w:t>
      </w:r>
      <w:r w:rsidRPr="00FA5AA0">
        <w:rPr>
          <w:rFonts w:asciiTheme="majorHAnsi" w:hAnsiTheme="majorHAnsi"/>
          <w:sz w:val="22"/>
          <w:szCs w:val="22"/>
        </w:rPr>
        <w:fldChar w:fldCharType="end"/>
      </w:r>
      <w:r w:rsidRPr="00FA5AA0">
        <w:rPr>
          <w:rFonts w:asciiTheme="majorHAnsi" w:hAnsiTheme="majorHAnsi"/>
          <w:sz w:val="22"/>
          <w:szCs w:val="22"/>
        </w:rPr>
        <w:t xml:space="preserve">.  Zhou and Hill have compiled an extensive series of studies addressing multiple dimensions of affirmative action policies in China </w:t>
      </w:r>
      <w:r w:rsidRPr="00FA5AA0">
        <w:rPr>
          <w:rFonts w:asciiTheme="majorHAnsi" w:hAnsiTheme="majorHAnsi"/>
          <w:sz w:val="22"/>
          <w:szCs w:val="22"/>
        </w:rPr>
        <w:fldChar w:fldCharType="begin"/>
      </w:r>
      <w:r w:rsidRPr="00FA5AA0">
        <w:rPr>
          <w:rFonts w:asciiTheme="majorHAnsi" w:hAnsiTheme="majorHAnsi"/>
          <w:sz w:val="22"/>
          <w:szCs w:val="22"/>
        </w:rPr>
        <w:instrText xml:space="preserve"> ADDIN ZOTERO_ITEM CSL_CITATION {"citationID":"80QoCXbU","properties":{"formattedCitation":"(M. Zhou &amp; Hill, 2010)","plainCitation":"(M. Zhou &amp; Hill, 2010)"},"citationItems":[{"id":3362,"uris":["http://zotero.org/users/992731/items/U5SVFM48"],"uri":["http://zotero.org/users/992731/items/U5SVFM48"],"itemData":{"id":3362,"type":"book","title":"Affirmative Action in China and the U.S.: A Dialogue on Inequality and Minority Education","publisher":"Palgrave Macmillan. 175 Fifth Avenue, New York, NY 10010. Tel: 888-830-8477; Fax: 800-672-2054; Web site: http://www.palgrave-usa.com","abstract":"This volume is the first to comprehensively examine Chinese's affirmative action policies in the critical area of minority education, the most important conduit to employment and economic success in the People's Republic of China after the economic reforms begun in the late 1970s. This book contains four parts. Part I, \"Debating China's Positive Policies: Historical Antecedents and Contemporary Practice\", contains: (1) Mandarins, Marxists, and Minorities (Walker Connor); (2) Tracking the Historical Development of China's Positive Policies or Preferential Policies for Minority Education: Continuities and Discontinuities (Minglang Zhou); (3) Minority Policies and Equality in College Admission Examinations in China (Tiezhi Wang); (4) Preferential Policies for Ethnic Minorities and Equality in Higher Education in China (Xing Teng and Xiaoyi Ma); and (5) Yunnan's Preferential Policies in Minority Education Since the 1980s: Retrospect and Prospects (Yanchun Dai and Changjiang Xu). Part II, \"Between State Education and Local Cultures\", contains: (6) Compulsory Education in the Eastern Tibetan Areas: A Field Survey in Kangding and Machu Counties (Gelek); (7) Tibetan Students Perspectives on Neidi Schools (Gerard Postiglione, Ben Jiao, and Ngawang Tsering); and (8) School Consolidation in Rural Sichuan: Quality Vs. Equality (Christina Y. Chan and Stevan Harrell). Part III, \"Between Market Competitiveness and Cultural/Linguistic Identities\", contains: (9) The Trade Culture of a Hui Community and Local Education: An Anthropological Case Study (Ma Xiaoyi); (10) Issues of Minority Education in Xinjiang China (Rong Ma); and (11) Using Yugur in Local Schools: Reflections on China's Policy for Minority Language and Education (Zhanlong Ba). Part IV, \"Globalizing the Discourse on Inequality and Education\", contains: (12) Natives and Nation: Assimilation and Indigenous Peoples in China and the U.S. (Ann Maxwell Hill); (13) Affirmative Action, Civil Rights and Racial Preferences in the United States: Some General Observations (Evelyn Hu-DeHart); and (14) Learning about Equality: Affirmative Action, College Admissions, and the Law of the United States (Doug Edlin). An introduction by Ann Maxwell Hill and Minglang Zhou is also included.","URL":"http://search.proquest.com/docview/822507612?accountid=14707","ISBN":"0230613349","author":[{"family":"Zhou","given":"Minglang"},{"family":"Hill","given":"Ann Maxwell"}],"issued":{"date-parts":[[2010]]}}}],"schema":"https://github.com/citation-style-language/schema/raw/master/csl-citation.json"} </w:instrText>
      </w:r>
      <w:r w:rsidRPr="00FA5AA0">
        <w:rPr>
          <w:rFonts w:asciiTheme="majorHAnsi" w:hAnsiTheme="majorHAnsi"/>
          <w:sz w:val="22"/>
          <w:szCs w:val="22"/>
        </w:rPr>
        <w:fldChar w:fldCharType="separate"/>
      </w:r>
      <w:r w:rsidRPr="00FA5AA0">
        <w:rPr>
          <w:rFonts w:asciiTheme="majorHAnsi" w:eastAsia="SimSun" w:hAnsiTheme="majorHAnsi"/>
          <w:sz w:val="22"/>
          <w:szCs w:val="22"/>
          <w:lang w:eastAsia="zh-CN"/>
        </w:rPr>
        <w:t>(Zhou &amp; Hill, 2010)</w:t>
      </w:r>
      <w:r w:rsidRPr="00FA5AA0">
        <w:rPr>
          <w:rFonts w:asciiTheme="majorHAnsi" w:hAnsiTheme="majorHAnsi"/>
          <w:sz w:val="22"/>
          <w:szCs w:val="22"/>
        </w:rPr>
        <w:fldChar w:fldCharType="end"/>
      </w:r>
      <w:r w:rsidRPr="00FA5AA0">
        <w:rPr>
          <w:rFonts w:asciiTheme="majorHAnsi" w:hAnsiTheme="majorHAnsi"/>
          <w:sz w:val="22"/>
          <w:szCs w:val="22"/>
        </w:rPr>
        <w:t xml:space="preserve">.  </w:t>
      </w:r>
      <w:proofErr w:type="spellStart"/>
      <w:r w:rsidRPr="00FA5AA0">
        <w:rPr>
          <w:rFonts w:asciiTheme="majorHAnsi" w:hAnsiTheme="majorHAnsi"/>
          <w:sz w:val="22"/>
          <w:szCs w:val="22"/>
        </w:rPr>
        <w:t>Clothey</w:t>
      </w:r>
      <w:proofErr w:type="spellEnd"/>
      <w:r w:rsidRPr="00FA5AA0">
        <w:rPr>
          <w:rFonts w:asciiTheme="majorHAnsi" w:hAnsiTheme="majorHAnsi"/>
          <w:sz w:val="22"/>
          <w:szCs w:val="22"/>
        </w:rPr>
        <w:t xml:space="preserve"> </w:t>
      </w:r>
      <w:r w:rsidRPr="00FA5AA0">
        <w:rPr>
          <w:rFonts w:asciiTheme="majorHAnsi" w:hAnsiTheme="majorHAnsi"/>
          <w:sz w:val="22"/>
          <w:szCs w:val="22"/>
          <w:lang w:eastAsia="zh-CN"/>
        </w:rPr>
        <w:t xml:space="preserve">(2005) has catalogued policies related to higher education, including </w:t>
      </w:r>
      <w:r w:rsidRPr="00FA5AA0">
        <w:rPr>
          <w:rFonts w:asciiTheme="majorHAnsi" w:hAnsiTheme="majorHAnsi"/>
          <w:sz w:val="22"/>
          <w:szCs w:val="22"/>
        </w:rPr>
        <w:t>university admission quotas that reserve spots only for minorities at universities, admissions policies under which minorities can be accepted with lower entrance scores on the Unified Examination for University Entrance (</w:t>
      </w:r>
      <w:proofErr w:type="spellStart"/>
      <w:r w:rsidRPr="00FA5AA0">
        <w:rPr>
          <w:rFonts w:asciiTheme="majorHAnsi" w:hAnsiTheme="majorHAnsi"/>
          <w:i/>
          <w:sz w:val="22"/>
          <w:szCs w:val="22"/>
        </w:rPr>
        <w:t>gaokao</w:t>
      </w:r>
      <w:proofErr w:type="spellEnd"/>
      <w:r w:rsidRPr="00FA5AA0">
        <w:rPr>
          <w:rFonts w:asciiTheme="majorHAnsi" w:hAnsiTheme="majorHAnsi"/>
          <w:sz w:val="22"/>
          <w:szCs w:val="22"/>
        </w:rPr>
        <w:t xml:space="preserve">, </w:t>
      </w:r>
      <w:proofErr w:type="spellStart"/>
      <w:r w:rsidRPr="00FA5AA0">
        <w:rPr>
          <w:rFonts w:asciiTheme="majorHAnsi" w:eastAsia="MS Mincho" w:hAnsiTheme="majorHAnsi"/>
          <w:sz w:val="22"/>
          <w:szCs w:val="22"/>
        </w:rPr>
        <w:t>高考</w:t>
      </w:r>
      <w:proofErr w:type="spellEnd"/>
      <w:r w:rsidRPr="00FA5AA0">
        <w:rPr>
          <w:rFonts w:asciiTheme="majorHAnsi" w:hAnsiTheme="majorHAnsi"/>
          <w:sz w:val="22"/>
          <w:szCs w:val="22"/>
        </w:rPr>
        <w:t xml:space="preserve">), and the establishment of twelve national minority institutes and one national minority university  dedicated specifically to the higher education of minority students </w:t>
      </w:r>
      <w:r w:rsidRPr="00FA5AA0">
        <w:rPr>
          <w:rFonts w:asciiTheme="majorHAnsi" w:hAnsiTheme="majorHAnsi"/>
          <w:sz w:val="22"/>
          <w:szCs w:val="22"/>
        </w:rPr>
        <w:fldChar w:fldCharType="begin"/>
      </w:r>
      <w:r w:rsidRPr="00FA5AA0">
        <w:rPr>
          <w:rFonts w:asciiTheme="majorHAnsi" w:hAnsiTheme="majorHAnsi"/>
          <w:sz w:val="22"/>
          <w:szCs w:val="22"/>
        </w:rPr>
        <w:instrText xml:space="preserve"> ADDIN ZOTERO_ITEM CSL_CITATION {"citationID":"zr5rO21J","properties":{"formattedCitation":"(R. Clothey, 2005; see also Lang, 2010 on this topic)","plainCitation":"(R. Clothey, 2005; see also Lang, 2010 on this topic)"},"citationItems":[{"id":505,"uris":["http://zotero.org/users/992731/items/G5P75HWK"],"uri":["http://zotero.org/users/992731/items/G5P75HWK"],"itemData":{"id":505,"type":"article-journal","title":"China's Policies for Minority Nationalities in Higher Education: Negotiating National Values and Ethnic Identities","container-title":"Comparative Education Review","page":"389-409","volume":"49","issue":"3","abstract":"This article presents a study which explores China's educational policies for ethnic minorities in one particular academic setting, the Central University for Nationalities (CUN) in Beijing, and how these policies are experienced by the students who are supposed to benefit from them. The study takes an emic perspective by looking at the perceptions of minority students at CUN on how these policies shape their social and economic opportunities and at how these students negotiate their ethnic identity within the context of a university specifically designed for the education of minorities. The study considers the experience of minority students with two types of educational background: those who entered the university after completing bilingual schooling; and those who entered the university after completing an education in Mandarin Chinese, the dominant language of China. This article discusses the debates on language and ethnicity in education. Then, it examines relevant educational policies that are implemented in China and how these are used to create tertiary opportunities for China's minority nationalities. Finally, the interplay between these policies and minority nationalities' self-perceptions are analyzed and the implications the policies and the minority self-perceptions have for education and economic opportunity in China are considered.","note":"M3: Article; Accession Number: 17710478; Clothey, Rebecca; Source Info: Aug2005, Vol. 49 Issue 3, p389; Subject Term: EDUCATION &amp; state; Subject Term: CHINA – Social conditions – 2000-; Subject Term: LANGUAGE &amp; education; Subject Term: MINORITIES – Education; Subject Term: ZHONG yang min zu da xue (China); Subject Term: UNIVERSITIES &amp; colleges; Subject Term: BEIJING (China); Company/Entity: ZHONG yang min zu da xue (China); NAICS/Industry Codes: 611310 Colleges, Universities, and Professional Schools; Number of Pages: 21p; Document Type: Article","author":[{"family":"Clothey","given":"Rebecca"}],"issued":{"date-parts":[["2005"]]}}},{"id":3764,"uris":["http://zotero.org/users/992731/items/EZXAHV4J"],"uri":["http://zotero.org/users/992731/items/EZXAHV4J"],"itemData":{"id":3764,"type":"article-journal","title":"Entrance Exam Admission Policies on Ethnic Minorities and Equal Educational Rights for Minorities in China.","container-title":"Chinese Education &amp; Society","page":"41-48","volume":"43","issue":"4","abstract":"In 1977, the Chinese government reinstated the national unified college entrance exam enrollment system. As a part of this system, the government also implemented preferential policies on the enrollment of minorities that authorized the increase or decrease of exam scores and enrollment cutoff points; the policies were therefore seen as discriminatory. Although these policies were the expression of minorities' right to an education, some questioned their appropriateness. How did these policies affect minorities' educational rights? I address these topics in this paper. [ABSTRACT FROM AUTHOR]\nCopyright of Chinese Education &amp; Society is the property of M.E. Sharpe Inc. and its content may not be copied or emailed to multiple sites or posted to a listserv without the copyright holder's express written permission. However, users may print, download, or email articles for individual use. This abstract may be abridged. No warranty is given about the accuracy of the copy. Users should refer to the original published version of the material for the full abstract. (Copyright applies to all Abstracts.)","DOI":"Article","ISSN":"10611932","author":[{"family":"Lang","given":"Weiwei"}],"issued":{"date-parts":[["2010",7]]}},"prefix":"see also","suffix":"on this topic"}],"schema":"https://github.com/citation-style-language/schema/raw/master/csl-citation.json"} </w:instrText>
      </w:r>
      <w:r w:rsidRPr="00FA5AA0">
        <w:rPr>
          <w:rFonts w:asciiTheme="majorHAnsi" w:hAnsiTheme="majorHAnsi"/>
          <w:sz w:val="22"/>
          <w:szCs w:val="22"/>
        </w:rPr>
        <w:fldChar w:fldCharType="separate"/>
      </w:r>
      <w:r w:rsidRPr="00FA5AA0">
        <w:rPr>
          <w:rFonts w:asciiTheme="majorHAnsi" w:eastAsia="SimSun" w:hAnsiTheme="majorHAnsi"/>
          <w:sz w:val="22"/>
          <w:szCs w:val="22"/>
          <w:lang w:eastAsia="zh-CN"/>
        </w:rPr>
        <w:t>(Clothey, 2005; see also Lang, 2010 on this topic)</w:t>
      </w:r>
      <w:r w:rsidRPr="00FA5AA0">
        <w:rPr>
          <w:rFonts w:asciiTheme="majorHAnsi" w:hAnsiTheme="majorHAnsi"/>
          <w:sz w:val="22"/>
          <w:szCs w:val="22"/>
        </w:rPr>
        <w:fldChar w:fldCharType="end"/>
      </w:r>
      <w:r w:rsidRPr="00FA5AA0">
        <w:rPr>
          <w:rFonts w:asciiTheme="majorHAnsi" w:hAnsiTheme="majorHAnsi"/>
          <w:sz w:val="22"/>
          <w:szCs w:val="22"/>
        </w:rPr>
        <w:t xml:space="preserve">.  Candidates for nationalities institutes may sit the </w:t>
      </w:r>
      <w:proofErr w:type="spellStart"/>
      <w:r w:rsidRPr="00FA5AA0">
        <w:rPr>
          <w:rFonts w:asciiTheme="majorHAnsi" w:hAnsiTheme="majorHAnsi"/>
          <w:i/>
          <w:sz w:val="22"/>
          <w:szCs w:val="22"/>
        </w:rPr>
        <w:t>gaokao</w:t>
      </w:r>
      <w:proofErr w:type="spellEnd"/>
      <w:r w:rsidRPr="00FA5AA0">
        <w:rPr>
          <w:rFonts w:asciiTheme="majorHAnsi" w:hAnsiTheme="majorHAnsi"/>
          <w:sz w:val="22"/>
          <w:szCs w:val="22"/>
        </w:rPr>
        <w:t xml:space="preserve"> in their native language, some applicants to minority region comprehensive universities and polytechnic institutes may also take the exam in their native language, and minority students may take higher-education courses in their region’s main nationality language </w:t>
      </w:r>
      <w:r w:rsidRPr="00FA5AA0">
        <w:rPr>
          <w:rFonts w:asciiTheme="majorHAnsi" w:hAnsiTheme="majorHAnsi"/>
          <w:sz w:val="22"/>
          <w:szCs w:val="22"/>
        </w:rPr>
        <w:fldChar w:fldCharType="begin"/>
      </w:r>
      <w:r w:rsidRPr="00FA5AA0">
        <w:rPr>
          <w:rFonts w:asciiTheme="majorHAnsi" w:hAnsiTheme="majorHAnsi"/>
          <w:sz w:val="22"/>
          <w:szCs w:val="22"/>
        </w:rPr>
        <w:instrText xml:space="preserve"> ADDIN ZOTERO_ITEM CSL_CITATION {"citationID":"vLTVPzda","properties":{"formattedCitation":"(R. Clothey, 2005)","plainCitation":"(R. Clothey, 2005)"},"citationItems":[{"id":505,"uris":["http://zotero.org/users/992731/items/G5P75HWK"],"uri":["http://zotero.org/users/992731/items/G5P75HWK"],"itemData":{"id":505,"type":"article-journal","title":"China's Policies for Minority Nationalities in Higher Education: Negotiating National Values and Ethnic Identities","container-title":"Comparative Education Review","page":"389-409","volume":"49","issue":"3","abstract":"This article presents a study which explores China's educational policies for ethnic minorities in one particular academic setting, the Central University for Nationalities (CUN) in Beijing, and how these policies are experienced by the students who are supposed to benefit from them. The study takes an emic perspective by looking at the perceptions of minority students at CUN on how these policies shape their social and economic opportunities and at how these students negotiate their ethnic identity within the context of a university specifically designed for the education of minorities. The study considers the experience of minority students with two types of educational background: those who entered the university after completing bilingual schooling; and those who entered the university after completing an education in Mandarin Chinese, the dominant language of China. This article discusses the debates on language and ethnicity in education. Then, it examines relevant educational policies that are implemented in China and how these are used to create tertiary opportunities for China's minority nationalities. Finally, the interplay between these policies and minority nationalities' self-perceptions are analyzed and the implications the policies and the minority self-perceptions have for education and economic opportunity in China are considered.","note":"M3: Article; Accession Number: 17710478; Clothey, Rebecca; Source Info: Aug2005, Vol. 49 Issue 3, p389; Subject Term: EDUCATION &amp; state; Subject Term: CHINA – Social conditions – 2000-; Subject Term: LANGUAGE &amp; education; Subject Term: MINORITIES – Education; Subject Term: ZHONG yang min zu da xue (China); Subject Term: UNIVERSITIES &amp; colleges; Subject Term: BEIJING (China); Company/Entity: ZHONG yang min zu da xue (China); NAICS/Industry Codes: 611310 Colleges, Universities, and Professional Schools; Number of Pages: 21p; Document Type: Article","author":[{"family":"Clothey","given":"Rebecca"}],"issued":{"date-parts":[["2005"]]}}}],"schema":"https://github.com/citation-style-language/schema/raw/master/csl-citation.json"} </w:instrText>
      </w:r>
      <w:r w:rsidRPr="00FA5AA0">
        <w:rPr>
          <w:rFonts w:asciiTheme="majorHAnsi" w:hAnsiTheme="majorHAnsi"/>
          <w:sz w:val="22"/>
          <w:szCs w:val="22"/>
        </w:rPr>
        <w:fldChar w:fldCharType="separate"/>
      </w:r>
      <w:r w:rsidRPr="00FA5AA0">
        <w:rPr>
          <w:rFonts w:asciiTheme="majorHAnsi" w:eastAsia="SimSun" w:hAnsiTheme="majorHAnsi"/>
          <w:sz w:val="22"/>
          <w:szCs w:val="22"/>
          <w:lang w:eastAsia="zh-CN"/>
        </w:rPr>
        <w:t>(Clothey, 2005)</w:t>
      </w:r>
      <w:r w:rsidRPr="00FA5AA0">
        <w:rPr>
          <w:rFonts w:asciiTheme="majorHAnsi" w:hAnsiTheme="majorHAnsi"/>
          <w:sz w:val="22"/>
          <w:szCs w:val="22"/>
        </w:rPr>
        <w:fldChar w:fldCharType="end"/>
      </w:r>
      <w:r w:rsidRPr="00FA5AA0">
        <w:rPr>
          <w:rFonts w:asciiTheme="majorHAnsi" w:hAnsiTheme="majorHAnsi"/>
          <w:sz w:val="22"/>
          <w:szCs w:val="22"/>
        </w:rPr>
        <w:t>.</w:t>
      </w:r>
      <w:r w:rsidRPr="00FA5AA0">
        <w:rPr>
          <w:rStyle w:val="FootnoteReference"/>
          <w:rFonts w:asciiTheme="majorHAnsi" w:hAnsiTheme="majorHAnsi"/>
          <w:sz w:val="22"/>
          <w:szCs w:val="22"/>
        </w:rPr>
        <w:footnoteReference w:id="6"/>
      </w:r>
      <w:r w:rsidRPr="00FA5AA0">
        <w:rPr>
          <w:rFonts w:asciiTheme="majorHAnsi" w:hAnsiTheme="majorHAnsi"/>
          <w:sz w:val="22"/>
          <w:szCs w:val="22"/>
        </w:rPr>
        <w:t xml:space="preserve">  </w:t>
      </w:r>
    </w:p>
    <w:p w:rsidR="00FA5AA0" w:rsidRPr="00FA5AA0" w:rsidRDefault="00FA5AA0" w:rsidP="00627031">
      <w:pPr>
        <w:pStyle w:val="NormalIndent"/>
        <w:spacing w:line="240" w:lineRule="auto"/>
        <w:contextualSpacing/>
        <w:rPr>
          <w:rFonts w:asciiTheme="majorHAnsi" w:hAnsiTheme="majorHAnsi"/>
          <w:sz w:val="22"/>
          <w:szCs w:val="22"/>
        </w:rPr>
      </w:pPr>
      <w:r w:rsidRPr="00FA5AA0">
        <w:rPr>
          <w:rFonts w:asciiTheme="majorHAnsi" w:hAnsiTheme="majorHAnsi"/>
          <w:sz w:val="22"/>
          <w:szCs w:val="22"/>
        </w:rPr>
        <w:t xml:space="preserve">A related line of work has considered language policies (for a recent review covering the course of the PRC period, see </w:t>
      </w:r>
      <w:r w:rsidRPr="00FA5AA0">
        <w:rPr>
          <w:rFonts w:asciiTheme="majorHAnsi" w:hAnsiTheme="majorHAnsi"/>
          <w:sz w:val="22"/>
          <w:szCs w:val="22"/>
        </w:rPr>
        <w:fldChar w:fldCharType="begin"/>
      </w:r>
      <w:r w:rsidRPr="00FA5AA0">
        <w:rPr>
          <w:rFonts w:asciiTheme="majorHAnsi" w:hAnsiTheme="majorHAnsi"/>
          <w:sz w:val="22"/>
          <w:szCs w:val="22"/>
        </w:rPr>
        <w:instrText xml:space="preserve"> ADDIN ZOTERO_ITEM CSL_CITATION {"citationID":"lv8Lqfho","properties":{"formattedCitation":"(L. Tsung, 2009, Chapter 5)","plainCitation":"(L. Tsung, 2009, Chapter 5)"},"citationItems":[{"id":3630,"uris":["http://zotero.org/users/992731/items/FBM22NPT"],"uri":["http://zotero.org/users/992731/items/FBM22NPT"],"itemData":{"id":3630,"type":"book","title":"Minority Languages, Education and Communities in China","publisher":"Palgrave Macmillan","publisher-place":"London","event-place":"London","URL":"http://www.palgrave.com/products/title.aspx?PID=280404","author":[{"family":"Tsung","given":"Linda"}],"issued":{"date-parts":[[2009]]},"accessed":{"date-parts":[[2012,4,29]]}},"locator":"5","label":"chapter"}],"schema":"https://github.com/citation-style-language/schema/raw/master/csl-citation.json"} </w:instrText>
      </w:r>
      <w:r w:rsidRPr="00FA5AA0">
        <w:rPr>
          <w:rFonts w:asciiTheme="majorHAnsi" w:hAnsiTheme="majorHAnsi"/>
          <w:sz w:val="22"/>
          <w:szCs w:val="22"/>
        </w:rPr>
        <w:fldChar w:fldCharType="separate"/>
      </w:r>
      <w:r w:rsidRPr="00FA5AA0">
        <w:rPr>
          <w:rFonts w:asciiTheme="majorHAnsi" w:hAnsiTheme="majorHAnsi"/>
          <w:sz w:val="22"/>
          <w:szCs w:val="22"/>
        </w:rPr>
        <w:t>(Tsung, 2009, Chapter 5)</w:t>
      </w:r>
      <w:r w:rsidRPr="00FA5AA0">
        <w:rPr>
          <w:rFonts w:asciiTheme="majorHAnsi" w:hAnsiTheme="majorHAnsi"/>
          <w:sz w:val="22"/>
          <w:szCs w:val="22"/>
        </w:rPr>
        <w:fldChar w:fldCharType="end"/>
      </w:r>
      <w:r w:rsidRPr="00FA5AA0">
        <w:rPr>
          <w:rFonts w:asciiTheme="majorHAnsi" w:hAnsiTheme="majorHAnsi"/>
          <w:sz w:val="22"/>
          <w:szCs w:val="22"/>
        </w:rPr>
        <w:t xml:space="preserve">.  The Chinese constitution has two provisions concerning language </w:t>
      </w:r>
      <w:r w:rsidRPr="00FA5AA0">
        <w:rPr>
          <w:rFonts w:asciiTheme="majorHAnsi" w:hAnsiTheme="majorHAnsi"/>
          <w:sz w:val="22"/>
          <w:szCs w:val="22"/>
        </w:rPr>
        <w:fldChar w:fldCharType="begin"/>
      </w:r>
      <w:r w:rsidRPr="00FA5AA0">
        <w:rPr>
          <w:rFonts w:asciiTheme="majorHAnsi" w:hAnsiTheme="majorHAnsi"/>
          <w:sz w:val="22"/>
          <w:szCs w:val="22"/>
        </w:rPr>
        <w:instrText xml:space="preserve"> ADDIN ZOTERO_ITEM CSL_CITATION {"citationID":"odg60He4","properties":{"formattedCitation":"(Ma, 2007)","plainCitation":"(Ma, 2007)"},"citationItems":[{"id":1762,"uris":["http://zotero.org/users/992731/items/QSPX4T5J"],"uri":["http://zotero.org/users/992731/items/QSPX4T5J"],"itemData":{"id":1762,"type":"article-journal","title":"Bilingual Education for China's Ethnic Minorities","container-title":"Chinese Education and Society","page":"9-25","volume":"40","issue":"2","abstract":"The article refers to research on multilingualism in China and suggests bilingual education for ethnic minorities. Although there are 55 ethnic minorities, the \"lingua franca\" is the Chinese of the Han-Chinese nationality or Mandarin. Two articles in the Chinese constitution and Article 6 of the Compulsory Education Law support a bilingual system of instruction in the local language environment that leads to interethnic use of the common language in the national language environment. Topics include the system of bilingual education in the Tibetan Autonomous Region, which also has dialects and minority languages, and the potential loss of the Mongolian language.","note":"M3: Article; Accession Number: 25796235; Ma Rong 1; Affiliation: 1: Chair Professor and Dean of Department of Sociology, Peking University; Source Info: Mar/Apr2007, Vol. 40 Issue 2, p9; Subject Term: ETHNOLINGUISTIC groups; Subject Term: CHINA – Social conditions – 2000-; Subject Term: LANGUAGE policy; Subject Term: EDUCATION, Bilingual; Subject Term: NATIVE language &amp; education; Subject Term: CHINESE language – Dialects; Subject Term: MULTICULTURALISM; Subject Term: LANGUAGE &amp; culture; Subject Term: CHINA; Number of Pages: 17p; Illustrations: 1 diagram; Document Type: Article","author":[{"family":"Ma","given":"Rong"}],"issued":{"date-parts":[[2007]]}}}],"schema":"https://github.com/citation-style-language/schema/raw/master/csl-citation.json"} </w:instrText>
      </w:r>
      <w:r w:rsidRPr="00FA5AA0">
        <w:rPr>
          <w:rFonts w:asciiTheme="majorHAnsi" w:hAnsiTheme="majorHAnsi"/>
          <w:sz w:val="22"/>
          <w:szCs w:val="22"/>
        </w:rPr>
        <w:fldChar w:fldCharType="separate"/>
      </w:r>
      <w:r w:rsidRPr="00FA5AA0">
        <w:rPr>
          <w:rFonts w:asciiTheme="majorHAnsi" w:eastAsia="SimSun" w:hAnsiTheme="majorHAnsi"/>
          <w:sz w:val="22"/>
          <w:szCs w:val="22"/>
          <w:lang w:eastAsia="zh-CN"/>
        </w:rPr>
        <w:t>(Ma, 2007)</w:t>
      </w:r>
      <w:r w:rsidRPr="00FA5AA0">
        <w:rPr>
          <w:rFonts w:asciiTheme="majorHAnsi" w:hAnsiTheme="majorHAnsi"/>
          <w:sz w:val="22"/>
          <w:szCs w:val="22"/>
        </w:rPr>
        <w:fldChar w:fldCharType="end"/>
      </w:r>
      <w:r w:rsidRPr="00FA5AA0">
        <w:rPr>
          <w:rFonts w:asciiTheme="majorHAnsi" w:hAnsiTheme="majorHAnsi"/>
          <w:sz w:val="22"/>
          <w:szCs w:val="22"/>
        </w:rPr>
        <w:t xml:space="preserve">: Article 4 states that each ethnic group has the freedom to use and develop its own language and writing system, and Article 19 states that the national government will promote a common language to be used throughout the country. The reform era dating from the late 1970s has seen increased support by policy makers for the use of minority scripts in literacy education and for increased bilingual education, with the goal that schools with a majority of minority language users can use minority languages as the primary medium of instruction </w:t>
      </w:r>
      <w:r w:rsidRPr="00FA5AA0">
        <w:rPr>
          <w:rFonts w:asciiTheme="majorHAnsi" w:hAnsiTheme="majorHAnsi"/>
          <w:sz w:val="22"/>
          <w:szCs w:val="22"/>
        </w:rPr>
        <w:fldChar w:fldCharType="begin"/>
      </w:r>
      <w:r w:rsidRPr="00FA5AA0">
        <w:rPr>
          <w:rFonts w:asciiTheme="majorHAnsi" w:hAnsiTheme="majorHAnsi"/>
          <w:sz w:val="22"/>
          <w:szCs w:val="22"/>
        </w:rPr>
        <w:instrText xml:space="preserve"> ADDIN ZOTERO_ITEM CSL_CITATION {"citationID":"s24TOu4w","properties":{"formattedCitation":"(Adamson &amp; Feng, 2009, p. 323; Education, 1986, Article 6)","plainCitation":"(Adamson &amp; Feng, 2009, p. 323; Education, 1986, Article 6)"},"citationItems":[{"id":1913,"uris":["http://zotero.org/users/992731/items/T466EW5B"],"uri":["http://zotero.org/users/992731/items/T466EW5B"],"itemData":{"id":1913,"type":"book","title":"People's Republic of China Law on Compulsory Education","collection-number":"04/02","volume":"2009","abstract":"Compulsory Education Law of the People’s Republic of China 2005-01-14 (Adopted at the Fourth Session of the Sixth National People’s Congress, promulgated by Order No.38 of the President of the People’s Republic of China on April 12, 1986, and effective as of July 1, 1986) Article 1 This Law is formulated, in accordance with the Constitution and the actual conditions in China, for the purpose of promoting elementary education and the building of a socialist society that is advanced culturally and ideologically as well as materially. Article 2 The state shall institute a system of nine-year compulsory education. The authorities of provinces, autonomous regions, and municipalities directly under the Central Government shall decide on measures to promote compulsory education, in accordance with the degree of economic and cultural development in their own localities. Article 3 In compulsory education, the state policy on education must be implemented to improve the quality of instruction and enable children and adolescents to achieve all-round development–morally, intellectually and physically-so as to lay the foundation for improving the quality of the entire nation and for cultivating well-educated and self-disciplined builders of socialism with high ideals and moral integrity. Article 4 The state, the community, schools and families shall, in accordance with the law, safeguard the right to compulsory education of school-age children and adolescents. Article 5 All children who have reached the age of six shall enroll in school and receive compulsory education for the prescribed number of years, regardless of sex, nationality or race. In areas where that is not possible, the beginning of schooling may be postponed to the age of seven. Article 6 Schools shall promote the use of putonghua (common speech based on Beijing pronunciation ), which is in common use throughout the nation. Schools in which the majority of students are of students are of minority nationalities may use the spoken and written languages of those nationalities in instruction. Article 7 Compulsory education shall be divided into two stages: primary school education and junior middle school education. Once primary education has been made universal, junior middle school education shall follow. The department in charge of education under the State Council shall decide on the duration of each stage. Article 8 Under the leadership of the State Council, local authorities shall assume responsibility for compulsory education, and it shall be administered at different levels. The department in charge of education under the State Council shall, in accordance with the needs of the socialist modernization and with the physical and mental development of children and adolescents, decide on the teaching methods, the courses to be offered and their content, and the selection of textbooks for compulsory education. Article 9 Local people’s governments at various levels shall establish primary schools and junior middle schools at such locations that children and adolescents can attend schools near their homes. Local people’s governments shall establish special schools (or classes) for children and adolescents who are blind, deaf-mute or retarded. The state shall encourage enterprises, institutions and other segments of society to establish schools of the types prescribed by this Law, under unified administration by local people’s governments and in compliance with the basic requirements of the state. Appropriate facilities for compulsory education must be included in the plans for construction and development of both urban and rural areas. Article 10 The state shall not charge tuition for students receiving compulsory education. The state shall establish a system of grants-in-aid to support the school attendance of poor students. Article 11 When children have reached school age, their parents of guardians shall send them to school to receive compulsory education for the prescribed number of years. If, on account of illness or other special circumstances, school-age children or adolescents need to postpone enrollment or be exempted from schooling, their parents or guardians shall submit an application to that effect to the local people’s government for approval. No organization or individual shall employ school-age children or adolescents who should receive compulsory education. Article 12 The State Council and the local people’s governments at various levels shall be responsible for raising funds for the operating expenses and capital construction investment needed for the implementation of compulsory education, and the funds must be fully guaranteed. State appropriations for compulsory education shall increase at a faster rate than regular state revenues, and the average expenditure on education per student shall also increase steadily. In accordance with the provisions of the State Council, the local people’s governments at various levels shall levy a surtax for education, which shall be used mainly for compulsory education. The state shall subsidize those areas that are unable to introduce compulsory education because of financial difficulties. The state shall assist areas inhabited by minority nationalities to implement compulsory education by providinhg them with teachers and funds. Article 13 The state shall take measures to strengthen and develop normal schools and colleges in order to accelerate the training of teachers, so as to ensure, in a planned way, that all primary school teachers have received at least secondary normal school education and that all junior middle school teachers have received at least higher normal school education. The state shall establish a system to test the qualifications of teachers and shall issue qualification certificates to those who pass the test. All graduates of normal schools and colleges must engage in educational work, as required by the relevant regulations. The state shall encourage teachers to make education their long-term career. Article 14 Teachers should be respected by the public. The state shall safeguard the teachers’ lawful rights and interests, and take measures to raise their social status and improve their material benefits. It shall reward outstanding educational workers. Teachers should be committed to the cause of socialist education, endeavour to raise their own ideological and cultural levels as well as professional competence, show concern for their students and be devoted to their duties. Article 15 The local people’s governments at various levels must create conditions for all school-age children and adolescents to enrol in schools and receive compulsory education. In cases where school-age children or adolescents do not enrol in school and receive compulsory education, with the exception of those who, on account of illness or other special circumstances, are allowed by the local people’s governments not to go to school, the local people’s governments shall admonish and criticize the parents or guardians of those children or adolescents, and adopt effective measures to order them to send the children or wards to school. In cases where organizations or individuals employ school-age children or adolescents for work, the local people’s governments shall admonish and criticize them and shall order them to stop such employment. In serious cases, the offenders may be fined, ordered to suspend their business operations or have their business licences revoked. Article 16 No organization or individual may appropriate, withhold or misuse funds earmarked for compulsory education, disrupt order in education, or occupy or damage school buildings, grounds or facilities. It shall be forbidden to insult or assault teachers. It shall be forbidden to inflict physical punishment on students. No one may make use of religion to engage in activities which interfere with the implementation of compulsory education. Persons who violate the provisions of the preceding two paragraphs shall be subject to administrative sanctions or penalties depending on the circumstances. In case damage is caused, the offender shall be ordered to make compensation. If the circumstances are serious and a crime is committed, criminal responsibility shall be investigated in accordance with the law. Article 17 The department in charge of education under the State Council shall, in accordance with this Law, formulate rules for its implementation, which shall come into force after being submitted to and approved by the State Council. The standing committees of the people’s congresses of provinces, autonomous regions, and municipalities directly under the Central Government may formulate specific measures for implementation in accordance with this Law and their local conditions. Article 18 This law shall go into effect as of July 1, 1986. National People","author":[{"family":"Education","given":"Ministry of"}],"issued":{"date-parts":[["1986"]],"season":"01"}},"suffix":", Article 6"},{"id":62,"uris":["http://zotero.org/users/992731/items/94CETEW9"],"uri":["http://zotero.org/users/992731/items/94CETEW9"],"itemData":{"id":62,"type":"article-journal","title":"A Comparison of Trilingual Education Policies for Ethnic Minorities in China","container-title":"Compare: A Journal of Comparative and International Education","page":"321-333","volume":"39","issue":"3","abstract":"In recent decades, the People's Republic of China (PRC) has instigated language policies in education ostensibly designed to foster trilingualism in ethnic minority groups. The policies, which, as this paper shows, vary from region to region, encompass the minority group's home language, Chinese, and English. Based on data arising from interviews, documentary analysis and secondary sources, this paper examines the tensions behind these trilingual education policies by comparing the implementation of policies for three minority groups: the Zhuang, the Uyghur and the Yi people. It identifies some of the facilitators and barriers that affect the achievement of trilingualism, and finds that ethnic minority languages are at a disadvantage compared with Chinese and English. The paper concludes by making some suggestions for enhancing the effectiveness of the trilingualism policy. (Contains 1 figure.)","note":"Source type: scholarlyjournals; Object type: Report; Object type: Article; CSAUnique: EJ855550; AccNum: EJ855550; ISSN: 0305-7925; Peer Reviewed: true","author":[{"family":"Adamson","given":"Bob"},{"family":"Feng","given":"Anwei"}],"issued":{"date-parts":[["2009",5]]}},"locator":"323"}],"schema":"https://github.com/citation-style-language/schema/raw/master/csl-citation.json"} </w:instrText>
      </w:r>
      <w:r w:rsidRPr="00FA5AA0">
        <w:rPr>
          <w:rFonts w:asciiTheme="majorHAnsi" w:hAnsiTheme="majorHAnsi"/>
          <w:sz w:val="22"/>
          <w:szCs w:val="22"/>
        </w:rPr>
        <w:fldChar w:fldCharType="separate"/>
      </w:r>
      <w:r w:rsidRPr="00FA5AA0">
        <w:rPr>
          <w:rFonts w:asciiTheme="majorHAnsi" w:eastAsia="SimSun" w:hAnsiTheme="majorHAnsi"/>
          <w:sz w:val="22"/>
          <w:szCs w:val="22"/>
          <w:lang w:eastAsia="zh-CN"/>
        </w:rPr>
        <w:t>(Adamson &amp; Feng, 2009, p. 323; Ministry of Education, 1986, Article 6</w:t>
      </w:r>
      <w:r w:rsidRPr="00FA5AA0">
        <w:rPr>
          <w:rFonts w:asciiTheme="majorHAnsi" w:hAnsiTheme="majorHAnsi"/>
          <w:sz w:val="22"/>
          <w:szCs w:val="22"/>
        </w:rPr>
        <w:fldChar w:fldCharType="end"/>
      </w:r>
      <w:r w:rsidRPr="00FA5AA0">
        <w:rPr>
          <w:rFonts w:asciiTheme="majorHAnsi" w:hAnsiTheme="majorHAnsi"/>
          <w:sz w:val="22"/>
          <w:szCs w:val="22"/>
        </w:rPr>
        <w:t xml:space="preserve">; </w:t>
      </w:r>
      <w:r w:rsidRPr="00FA5AA0">
        <w:rPr>
          <w:rFonts w:asciiTheme="majorHAnsi" w:hAnsiTheme="majorHAnsi"/>
          <w:sz w:val="22"/>
          <w:szCs w:val="22"/>
        </w:rPr>
        <w:fldChar w:fldCharType="begin"/>
      </w:r>
      <w:r w:rsidRPr="00FA5AA0">
        <w:rPr>
          <w:rFonts w:asciiTheme="majorHAnsi" w:hAnsiTheme="majorHAnsi"/>
          <w:sz w:val="22"/>
          <w:szCs w:val="22"/>
        </w:rPr>
        <w:instrText xml:space="preserve"> ADDIN ZOTERO_ITEM CSL_CITATION {"citationID":"o1K0w5XC","properties":{"formattedCitation":"(Education, 1995, Article 12)","plainCitation":"(Education, 1995, Article 12)"},"citationItems":[{"id":1912,"uris":["http://zotero.org/users/992731/items/3ZHTF325"],"uri":["http://zotero.org/users/992731/items/3ZHTF325"],"itemData":{"id":1912,"type":"book","title":"People's Republic of China Education Law","collection-number":"July 10","volume":"2011","number-of-pages":"9","author":[{"family":"Education","given":"Ministry of"}],"issued":{"year":1995,"month":9,"day":26}},"suffix":", Article 12"}],"schema":"https://github.com/citation-style-language/schema/raw/master/csl-citation.json"} </w:instrText>
      </w:r>
      <w:r w:rsidRPr="00FA5AA0">
        <w:rPr>
          <w:rFonts w:asciiTheme="majorHAnsi" w:hAnsiTheme="majorHAnsi"/>
          <w:sz w:val="22"/>
          <w:szCs w:val="22"/>
        </w:rPr>
        <w:fldChar w:fldCharType="separate"/>
      </w:r>
      <w:r w:rsidRPr="00FA5AA0">
        <w:rPr>
          <w:rFonts w:asciiTheme="majorHAnsi" w:eastAsia="SimSun" w:hAnsiTheme="majorHAnsi"/>
          <w:sz w:val="22"/>
          <w:szCs w:val="22"/>
          <w:lang w:eastAsia="zh-CN"/>
        </w:rPr>
        <w:t xml:space="preserve">Ministry of Education, 1995, Article 12; </w:t>
      </w:r>
      <w:r w:rsidRPr="00FA5AA0">
        <w:rPr>
          <w:rFonts w:asciiTheme="majorHAnsi" w:hAnsiTheme="majorHAnsi"/>
          <w:sz w:val="22"/>
          <w:szCs w:val="22"/>
        </w:rPr>
        <w:fldChar w:fldCharType="end"/>
      </w:r>
      <w:r w:rsidRPr="00FA5AA0">
        <w:rPr>
          <w:rFonts w:asciiTheme="majorHAnsi" w:hAnsiTheme="majorHAnsi"/>
          <w:sz w:val="22"/>
          <w:szCs w:val="22"/>
        </w:rPr>
        <w:fldChar w:fldCharType="begin"/>
      </w:r>
      <w:r w:rsidRPr="00FA5AA0">
        <w:rPr>
          <w:rFonts w:asciiTheme="majorHAnsi" w:hAnsiTheme="majorHAnsi"/>
          <w:sz w:val="22"/>
          <w:szCs w:val="22"/>
        </w:rPr>
        <w:instrText xml:space="preserve"> ADDIN ZOTERO_ITEM CSL_CITATION {"citationID":"VCRzXZJh","properties":{"formattedCitation":"(Lin, 1997)","plainCitation":"(Lin, 1997)"},"citationItems":[{"id":1663,"uris":["http://zotero.org/users/992731/items/FT7IM9KV"],"uri":["http://zotero.org/users/992731/items/FT7IM9KV"],"itemData":{"id":1663,"type":"article-journal","title":"Policies and Practices of Bilingual Education for the Minorities in China","container-title":"Journal of Multilingual and Multicultural Development","page":"193-205","volume":"18","issue":"3","abstract":"Bilingual education for minorities in the People's Republic of China has always been closely linked with political policies held by the government. Chinese scholars have argued that bilingual education is necessary to advance learning among minority students. However, schools attempting to implement bilingual teaching are faced with many problems – notably with respect to curriculum, textbook publishing, teacher training, &amp; instructional adjustments. Even greater problems lie within society at large, where minorities still suffer discrimination &amp; bias. 24 References. Adapted from the source document.","note":"Source type: scholarlyjournals; Object type: Article; Object type: Feature; CSAUnique: SA-306807334; AccNum: 9815212; ISSN: 0143-4632; CODEN: JMUDDP; Peer Reviewed: true","author":[{"family":"Lin","given":"Jing"}],"issued":{"date-parts":[[1997]]}}}],"schema":"https://github.com/citation-style-language/schema/raw/master/csl-citation.json"} </w:instrText>
      </w:r>
      <w:r w:rsidRPr="00FA5AA0">
        <w:rPr>
          <w:rFonts w:asciiTheme="majorHAnsi" w:hAnsiTheme="majorHAnsi"/>
          <w:sz w:val="22"/>
          <w:szCs w:val="22"/>
        </w:rPr>
        <w:fldChar w:fldCharType="separate"/>
      </w:r>
      <w:r w:rsidRPr="00FA5AA0">
        <w:rPr>
          <w:rFonts w:asciiTheme="majorHAnsi" w:eastAsia="SimSun" w:hAnsiTheme="majorHAnsi"/>
          <w:sz w:val="22"/>
          <w:szCs w:val="22"/>
          <w:lang w:val="de-DE" w:eastAsia="zh-CN"/>
        </w:rPr>
        <w:t>Lin, 1997</w:t>
      </w:r>
      <w:r w:rsidRPr="00FA5AA0">
        <w:rPr>
          <w:rFonts w:asciiTheme="majorHAnsi" w:hAnsiTheme="majorHAnsi"/>
          <w:sz w:val="22"/>
          <w:szCs w:val="22"/>
        </w:rPr>
        <w:fldChar w:fldCharType="end"/>
      </w:r>
      <w:r w:rsidRPr="00FA5AA0">
        <w:rPr>
          <w:rFonts w:asciiTheme="majorHAnsi" w:hAnsiTheme="majorHAnsi"/>
          <w:sz w:val="22"/>
          <w:szCs w:val="22"/>
          <w:lang w:val="de-DE"/>
        </w:rPr>
        <w:t xml:space="preserve">; </w:t>
      </w:r>
      <w:r w:rsidRPr="00FA5AA0">
        <w:rPr>
          <w:rFonts w:asciiTheme="majorHAnsi" w:hAnsiTheme="majorHAnsi"/>
          <w:sz w:val="22"/>
          <w:szCs w:val="22"/>
        </w:rPr>
        <w:fldChar w:fldCharType="begin"/>
      </w:r>
      <w:r w:rsidRPr="00FA5AA0">
        <w:rPr>
          <w:rFonts w:asciiTheme="majorHAnsi" w:hAnsiTheme="majorHAnsi"/>
          <w:sz w:val="22"/>
          <w:szCs w:val="22"/>
          <w:lang w:val="de-DE"/>
        </w:rPr>
        <w:instrText xml:space="preserve"> ADDIN ZOTERO_ITEM CSL_CITATION {"citationID":"TmhVnQfl","properties":{"formattedCitation":"(Ross, 2006, p. 25)","plainCitation":"(Ross, 2006, p. 25)"},"citationItems":[{"id":2292,"uris":["http://zotero.org/users/992731/items/4XWJ2NSR"],"uri":["http://zotero.org/users/992731/items/4XWJ2NSR"],"itemData":{"id":2292,"type":"article-journal","title":"Where and Who are the World’s Illiterates: China","container-title":"UNESCO Global Monitoring Report China Country Study","page":"65","note":"P. 39: To meet the basic learning needs of girls and boys in impoverished regions of western China, the central government launched a massive education project for children living in poor areas between 1995 and 2000 with a total investment of 1.2 billion dollars, the most intensive allocation of educational funding in the last 50 years. Linked to this initiative and in order to close the gender gap between urban and rural regions, especially in national minority areas, the Ministry of Education proposed a ten-item integrated intervention initiative in 1996 to enhance the provision of education for the school-aged girls. The comprehensive plan included strengthening government commitment to and social awareness of girls’ education; creating policies to encourage girls to attend and stay in school (such as reduced fees, stipends, and girls’ schools); increasing the number of qualified female teachers; reforming the curriculum; conducting research on girls’ education; cooperating with domestic and international organizations, monitoring progress, and establishing with the support of government extension offices literacy programs for female dropouts and literacy training for women and youths.","author":[{"family":"Ross","given":"Heidi"}],"issued":{"date-parts":[["2006",6,20]]}},"locator":"25"}],"schema":"https://github.com/citation-style-language/schema/raw/master/csl-citation.json"} </w:instrText>
      </w:r>
      <w:r w:rsidRPr="00FA5AA0">
        <w:rPr>
          <w:rFonts w:asciiTheme="majorHAnsi" w:hAnsiTheme="majorHAnsi"/>
          <w:sz w:val="22"/>
          <w:szCs w:val="22"/>
        </w:rPr>
        <w:fldChar w:fldCharType="separate"/>
      </w:r>
      <w:r w:rsidRPr="00FA5AA0">
        <w:rPr>
          <w:rFonts w:asciiTheme="majorHAnsi" w:eastAsia="SimSun" w:hAnsiTheme="majorHAnsi"/>
          <w:sz w:val="22"/>
          <w:szCs w:val="22"/>
          <w:lang w:val="de-DE" w:eastAsia="zh-CN"/>
        </w:rPr>
        <w:t>Ross, 2006, p. 25; Sautman, 1999, p. 289)</w:t>
      </w:r>
      <w:r w:rsidRPr="00FA5AA0">
        <w:rPr>
          <w:rFonts w:asciiTheme="majorHAnsi" w:hAnsiTheme="majorHAnsi"/>
          <w:sz w:val="22"/>
          <w:szCs w:val="22"/>
        </w:rPr>
        <w:fldChar w:fldCharType="end"/>
      </w:r>
      <w:r w:rsidRPr="00FA5AA0">
        <w:rPr>
          <w:rFonts w:asciiTheme="majorHAnsi" w:hAnsiTheme="majorHAnsi"/>
          <w:sz w:val="22"/>
          <w:szCs w:val="22"/>
          <w:lang w:val="de-DE"/>
        </w:rPr>
        <w:t>.  In a 1980 publication,</w:t>
      </w:r>
      <w:r w:rsidRPr="00FA5AA0">
        <w:rPr>
          <w:rFonts w:asciiTheme="majorHAnsi" w:hAnsiTheme="majorHAnsi"/>
          <w:sz w:val="22"/>
          <w:szCs w:val="22"/>
          <w:vertAlign w:val="superscript"/>
        </w:rPr>
        <w:endnoteReference w:id="1"/>
      </w:r>
      <w:r w:rsidRPr="00FA5AA0">
        <w:rPr>
          <w:rFonts w:asciiTheme="majorHAnsi" w:hAnsiTheme="majorHAnsi"/>
          <w:sz w:val="22"/>
          <w:szCs w:val="22"/>
          <w:lang w:val="de-DE"/>
        </w:rPr>
        <w:t xml:space="preserve"> the Ministry of Education and the China State Ethnic Affairs Commission required that every ethnic group with a language and writing system use that language for educational instruction, while also learning spoken and written Mandarin </w:t>
      </w:r>
      <w:r w:rsidRPr="00FA5AA0">
        <w:rPr>
          <w:rFonts w:asciiTheme="majorHAnsi" w:hAnsiTheme="majorHAnsi"/>
          <w:sz w:val="22"/>
          <w:szCs w:val="22"/>
        </w:rPr>
        <w:fldChar w:fldCharType="begin"/>
      </w:r>
      <w:r w:rsidRPr="00FA5AA0">
        <w:rPr>
          <w:rFonts w:asciiTheme="majorHAnsi" w:hAnsiTheme="majorHAnsi"/>
          <w:sz w:val="22"/>
          <w:szCs w:val="22"/>
          <w:lang w:val="de-DE"/>
        </w:rPr>
        <w:instrText xml:space="preserve"> ADDIN ZOTERO_ITEM CSL_CITATION {"citationID":"sMmDJha4","properties":{"formattedCitation":"(Ma, 2007)","plainCitation":"(Ma, 2007)"},"citationItems":[{"id":1762,"uris":["http://zotero.org/users/992731/items/QSPX4T5J"],"uri":["http://zotero.org/users/992731/items/QSPX4T5J"],"itemData":{"id":1762,"type":"article-journal","title":"Bilingual Education for China's Ethnic Minorities","container-title":"Chinese Education and Society","page":"9-25","volume":"40","issue":"2","abstract":"The article refers to research on multilingualism in China and suggests bilingual education for ethnic minorities. Although there are 55 ethnic minorities, the \"lingua franca\" is the Chinese of the Han-Chinese nationality or Mandarin. Two articles in the Chinese constitution and Article 6 of the Compulsory Education Law support a bilingual system of instruction in the local language environment that leads to interethnic use of the common language in the national language environment. Topics include the system of bilingual education in the Tibetan Autonomous Region, which also has dialects and minority languages, and the potential loss of the Mongolian language.","note":"M3: Article; Accession Number: 25796235; Ma Rong 1; Affiliation: 1: Chair Professor and Dean of Department of Sociology, Peking University; Source Info: Mar/Apr2007, Vol. 40 Issue 2, p9; Subject Term: ETHNOLINGUISTIC groups; Subject Term: CHINA – Social conditions – 2000-; Subject Term: LANGUAGE policy; Subject Term: EDUCATION, Bilingual; Subject Term: NATIVE language &amp; education; Subject Term: CHINESE language – Dialects; Subject Term: MULTICULTURALISM; Subject Term: LANGUAGE &amp; culture; Subject Term: CHINA; Number of Pages: 17p; Illustrations: 1 diagram; Document Type: Article","author":[{"family":"Ma","given":"Rong"}],"issued":{"date-parts":[[2007]]}}}],"schema":"https://github.com/citation-style-language/schema/raw/master/csl-citation.json"} </w:instrText>
      </w:r>
      <w:r w:rsidRPr="00FA5AA0">
        <w:rPr>
          <w:rFonts w:asciiTheme="majorHAnsi" w:hAnsiTheme="majorHAnsi"/>
          <w:sz w:val="22"/>
          <w:szCs w:val="22"/>
        </w:rPr>
        <w:fldChar w:fldCharType="separate"/>
      </w:r>
      <w:r w:rsidRPr="00FA5AA0">
        <w:rPr>
          <w:rFonts w:asciiTheme="majorHAnsi" w:eastAsia="SimSun" w:hAnsiTheme="majorHAnsi"/>
          <w:sz w:val="22"/>
          <w:szCs w:val="22"/>
          <w:lang w:eastAsia="zh-CN"/>
        </w:rPr>
        <w:t>(Ma, 2007)</w:t>
      </w:r>
      <w:r w:rsidRPr="00FA5AA0">
        <w:rPr>
          <w:rFonts w:asciiTheme="majorHAnsi" w:hAnsiTheme="majorHAnsi"/>
          <w:sz w:val="22"/>
          <w:szCs w:val="22"/>
        </w:rPr>
        <w:fldChar w:fldCharType="end"/>
      </w:r>
      <w:r w:rsidRPr="00FA5AA0">
        <w:rPr>
          <w:rFonts w:asciiTheme="majorHAnsi" w:hAnsiTheme="majorHAnsi"/>
          <w:sz w:val="22"/>
          <w:szCs w:val="22"/>
        </w:rPr>
        <w:t>.  1986 and 1995 education laws emphasize popularization of Mandarin, as well as use of minority languages. For example, the 1995 law states, “The Chinese language, both oral and written, shall be the basic oral and written language for education in schools and other educational institutions. Schools or other educational institutions which mainly consist of students from minority nationalities may use in education the language of the respective nationality or the native language commonly adopted in that region.  Schools and other educational institutions shall in their educational activities popularize the nationally common spoken Chinese and the standard written characters” (Article 12).</w:t>
      </w:r>
    </w:p>
    <w:p w:rsidR="00FA5AA0" w:rsidRPr="00FA5AA0" w:rsidRDefault="00FA5AA0" w:rsidP="00627031">
      <w:pPr>
        <w:pStyle w:val="NormalIndent"/>
        <w:spacing w:line="240" w:lineRule="auto"/>
        <w:contextualSpacing/>
        <w:rPr>
          <w:rFonts w:asciiTheme="majorHAnsi" w:hAnsiTheme="majorHAnsi"/>
          <w:sz w:val="22"/>
          <w:szCs w:val="22"/>
        </w:rPr>
      </w:pPr>
      <w:r w:rsidRPr="00FA5AA0">
        <w:rPr>
          <w:rFonts w:asciiTheme="majorHAnsi" w:hAnsiTheme="majorHAnsi"/>
          <w:sz w:val="22"/>
          <w:szCs w:val="22"/>
        </w:rPr>
        <w:t xml:space="preserve">Ross’s (2006) review notes a significant commitment to minority language maintenance and bilingual education in China’s language laws.  At the same time, scholars have observed that there are gaps between policy and implementation, and that there are immense discrepancies in bilingual practice across minority regions, with regard to both state policies and local arrangements </w:t>
      </w:r>
      <w:r w:rsidRPr="00FA5AA0">
        <w:rPr>
          <w:rFonts w:asciiTheme="majorHAnsi" w:hAnsiTheme="majorHAnsi"/>
          <w:sz w:val="22"/>
          <w:szCs w:val="22"/>
        </w:rPr>
        <w:fldChar w:fldCharType="begin"/>
      </w:r>
      <w:r w:rsidRPr="00FA5AA0">
        <w:rPr>
          <w:rFonts w:asciiTheme="majorHAnsi" w:hAnsiTheme="majorHAnsi"/>
          <w:sz w:val="22"/>
          <w:szCs w:val="22"/>
        </w:rPr>
        <w:instrText xml:space="preserve"> ADDIN ZOTERO_ITEM CSL_CITATION {"citationID":"hSDADLMh","properties":{"formattedCitation":"(Adamson &amp; Feng, 2009; Feng &amp; Sunuodula, 2009; Gao, 2010; Gerard Postiglione, 2009)","plainCitation":"(Adamson &amp; Feng, 2009; Feng &amp; Sunuodula, 2009; Gao, 2010; Gerard Postiglione, 2009)"},"citationItems":[{"id":3660,"uris":["http://zotero.org/users/992731/items/A49FVQAB"],"uri":["http://zotero.org/users/992731/items/A49FVQAB"],"itemData":{"id":3660,"type":"article-journal","title":"Bilingual Education Among Ethnic Koreans in China.","container-title":"Chinese Education &amp; Society","page":"82-92","volume":"43","issue":"1","abstract":"The author discusses a study of a bilingual Korean school in China which gives voice to ethnic teachers and provides detailed evidence that the school curriculum in designated schools for ethnic groups in fact ignores their ethnic culture and traditions and gives some attention only to the most pronounced markers of ethnic culture, that is, language. The finding mirrors respective case studies of Mongols and the Naxi. It answers the question why does a system designated to give cultural autonomy fail to gain popularity among non-Han ethnic individuals.","DOI":"Article","ISSN":"10611932","author":[{"family":"Gao","given":"Fang"}],"issued":{"date-parts":[["2010",1]],"season":"Jan"}}},{"id":3684,"uris":["http://zotero.org/users/992731/items/AHBS4KF7"],"uri":["http://zotero.org/users/992731/items/AHBS4KF7"],"itemData":{"id":3684,"type":"chapter","title":"Education of Ethnic Groups in China","container-title":"The Routledge International Companion to Multicultural Education","publisher":"Routledge","publisher-place":"New York and London","page":"501-511","event-place":"New York and London","URL":"http://www0.hku.hk/chinaed/papers/Prof.%20G.A.%20Postiglione/The_Education_of_Ethnic_Minority_Groups_in_China.doc","author":[{"family":"Postiglione","given":"Gerard"}],"editor":[{"family":"Banks","given":"James"}],"issued":{"date-parts":[[2009]]},"accessed":{"date-parts":[[2012,5,6]]}}},{"id":62,"uris":["http://zotero.org/users/992731/items/94CETEW9"],"uri":["http://zotero.org/users/992731/items/94CETEW9"],"itemData":{"id":62,"type":"article-journal","title":"A Comparison of Trilingual Education Policies for Ethnic Minorities in China","container-title":"Compare: A Journal of Comparative and International Education","page":"321-333","volume":"39","issue":"3","abstract":"In recent decades, the People's Republic of China (PRC) has instigated language policies in education ostensibly designed to foster trilingualism in ethnic minority groups. The policies, which, as this paper shows, vary from region to region, encompass the minority group's home language, Chinese, and English. Based on data arising from interviews, documentary analysis and secondary sources, this paper examines the tensions behind these trilingual education policies by comparing the implementation of policies for three minority groups: the Zhuang, the Uyghur and the Yi people. It identifies some of the facilitators and barriers that affect the achievement of trilingualism, and finds that ethnic minority languages are at a disadvantage compared with Chinese and English. The paper concludes by making some suggestions for enhancing the effectiveness of the trilingualism policy. (Contains 1 figure.)","note":"Source type: scholarlyjournals; Object type: Report; Object type: Article; CSAUnique: EJ855550; AccNum: EJ855550; ISSN: 0305-7925; Peer Reviewed: true","author":[{"family":"Adamson","given":"Bob"},{"family":"Feng","given":"Anwei"}],"issued":{"date-parts":[["2009",5]]}}},{"id":3429,"uris":["http://zotero.org/users/992731/items/3H6D6TBT"],"uri":["http://zotero.org/users/992731/items/3H6D6TBT"],"itemData":{"id":3429,"type":"article-journal","title":"Analysing Language Education Policy for China's Minority Groups in Its Entirety","container-title":"International Journal of Bilingual Education and Bilingualism","page":"685-704","volume":"12","issue":"6","abstract":"Two main bodies of literature are identifiable in minority education policy studies in China. Many adopt a descriptive approach to examining policy documents and general outcomes in their historical contexts while others focus on evaluating preferential policies made to address inequality issues in minority education. In most discussions, educators and scholars analyse or speculate about rationale behind minority education policies promulgated by governments at various levels in different periods. Rare attempts are made to develop a conceptual framework to make it possible to analyse the policy process in its entirety. Scholars and educators have seldom defined the relevant actors of a policy, to relate the policy to issues concerning these actors in the matrix of the social hierarchy, and to evaluate how policy outcomes feed back into the policy making and implementation cycle. This paper proposes an analytical framework that addresses these issues on the basis of a comparative analysis of recent literature on bi/trilingual education policies, official policy documents for minority groups and their implementation. The comparative overview is complemented by three case studies in three regions where empirical data were collected. (Contains 3 notes and 4 figures.)","ISSN":"1367-0050, 1367-0050","author":[{"family":"Feng","given":"Anwei"},{"family":"Sunuodula","given":"Mamtimyn"}],"issued":{"date-parts":[[2009]]}}}],"schema":"https://github.com/citation-style-language/schema/raw/master/csl-citation.json"} </w:instrText>
      </w:r>
      <w:r w:rsidRPr="00FA5AA0">
        <w:rPr>
          <w:rFonts w:asciiTheme="majorHAnsi" w:hAnsiTheme="majorHAnsi"/>
          <w:sz w:val="22"/>
          <w:szCs w:val="22"/>
        </w:rPr>
        <w:fldChar w:fldCharType="separate"/>
      </w:r>
      <w:r w:rsidRPr="00FA5AA0">
        <w:rPr>
          <w:rFonts w:asciiTheme="majorHAnsi" w:eastAsia="SimSun" w:hAnsiTheme="majorHAnsi"/>
          <w:sz w:val="22"/>
          <w:szCs w:val="22"/>
          <w:lang w:eastAsia="zh-CN"/>
        </w:rPr>
        <w:t>(Adamson &amp; Feng, 2009; Feng &amp; Sunuodula, 2009; Gao, 2010; Postiglione, 2009)</w:t>
      </w:r>
      <w:r w:rsidRPr="00FA5AA0">
        <w:rPr>
          <w:rFonts w:asciiTheme="majorHAnsi" w:hAnsiTheme="majorHAnsi"/>
          <w:sz w:val="22"/>
          <w:szCs w:val="22"/>
        </w:rPr>
        <w:fldChar w:fldCharType="end"/>
      </w:r>
      <w:r w:rsidRPr="00FA5AA0">
        <w:rPr>
          <w:rFonts w:asciiTheme="majorHAnsi" w:hAnsiTheme="majorHAnsi"/>
          <w:sz w:val="22"/>
          <w:szCs w:val="22"/>
        </w:rPr>
        <w:t>.  Regional and local considerations—linguistic, demographic, and political—shape the ways in which bilingual and multicultural education can be and are incorporated into education across China.</w:t>
      </w:r>
      <w:r w:rsidRPr="00FA5AA0">
        <w:rPr>
          <w:rStyle w:val="FootnoteReference"/>
          <w:rFonts w:asciiTheme="majorHAnsi" w:hAnsiTheme="majorHAnsi"/>
          <w:sz w:val="22"/>
          <w:szCs w:val="22"/>
        </w:rPr>
        <w:footnoteReference w:id="7"/>
      </w:r>
      <w:r w:rsidRPr="00FA5AA0">
        <w:rPr>
          <w:rFonts w:asciiTheme="majorHAnsi" w:hAnsiTheme="majorHAnsi"/>
          <w:sz w:val="22"/>
          <w:szCs w:val="22"/>
        </w:rPr>
        <w:t xml:space="preserve">  Linguistic and demographic factors matter a lot: Ma </w:t>
      </w:r>
      <w:r w:rsidRPr="00FA5AA0">
        <w:rPr>
          <w:rFonts w:asciiTheme="majorHAnsi" w:hAnsiTheme="majorHAnsi"/>
          <w:sz w:val="22"/>
          <w:szCs w:val="22"/>
        </w:rPr>
        <w:fldChar w:fldCharType="begin"/>
      </w:r>
      <w:r w:rsidRPr="00FA5AA0">
        <w:rPr>
          <w:rFonts w:asciiTheme="majorHAnsi" w:hAnsiTheme="majorHAnsi"/>
          <w:sz w:val="22"/>
          <w:szCs w:val="22"/>
        </w:rPr>
        <w:instrText xml:space="preserve"> ADDIN ZOTERO_ITEM CSL_CITATION {"citationID":"R5Ho34Rh","properties":{"formattedCitation":"(Ma, 2007)","plainCitation":"(Ma, 2007)"},"citationItems":[{"id":1762,"uris":["http://zotero.org/users/992731/items/QSPX4T5J"],"uri":["http://zotero.org/users/992731/items/QSPX4T5J"],"itemData":{"id":1762,"type":"article-journal","title":"Bilingual Education for China's Ethnic Minorities","container-title":"Chinese Education and Society","page":"9-25","volume":"40","issue":"2","abstract":"The article refers to research on multilingualism in China and suggests bilingual education for ethnic minorities. Although there are 55 ethnic minorities, the \"lingua franca\" is the Chinese of the Han-Chinese nationality or Mandarin. Two articles in the Chinese constitution and Article 6 of the Compulsory Education Law support a bilingual system of instruction in the local language environment that leads to interethnic use of the common language in the national language environment. Topics include the system of bilingual education in the Tibetan Autonomous Region, which also has dialects and minority languages, and the potential loss of the Mongolian language.","note":"M3: Article; Accession Number: 25796235; Ma Rong 1; Affiliation: 1: Chair Professor and Dean of Department of Sociology, Peking University; Source Info: Mar/Apr2007, Vol. 40 Issue 2, p9; Subject Term: ETHNOLINGUISTIC groups; Subject Term: CHINA – Social conditions – 2000-; Subject Term: LANGUAGE policy; Subject Term: EDUCATION, Bilingual; Subject Term: NATIVE language &amp; education; Subject Term: CHINESE language – Dialects; Subject Term: MULTICULTURALISM; Subject Term: LANGUAGE &amp; culture; Subject Term: CHINA; Number of Pages: 17p; Illustrations: 1 diagram; Document Type: Article","author":[{"family":"Ma","given":"Rong"}],"issued":{"date-parts":[[2007]]}}}],"schema":"https://github.com/citation-style-language/schema/raw/master/csl-citation.json"} </w:instrText>
      </w:r>
      <w:r w:rsidRPr="00FA5AA0">
        <w:rPr>
          <w:rFonts w:asciiTheme="majorHAnsi" w:hAnsiTheme="majorHAnsi"/>
          <w:sz w:val="22"/>
          <w:szCs w:val="22"/>
        </w:rPr>
        <w:fldChar w:fldCharType="separate"/>
      </w:r>
      <w:r w:rsidRPr="00FA5AA0">
        <w:rPr>
          <w:rFonts w:asciiTheme="majorHAnsi" w:eastAsia="SimSun" w:hAnsiTheme="majorHAnsi"/>
          <w:sz w:val="22"/>
          <w:szCs w:val="22"/>
          <w:lang w:eastAsia="zh-CN"/>
        </w:rPr>
        <w:t>(2007)</w:t>
      </w:r>
      <w:r w:rsidRPr="00FA5AA0">
        <w:rPr>
          <w:rFonts w:asciiTheme="majorHAnsi" w:hAnsiTheme="majorHAnsi"/>
          <w:sz w:val="22"/>
          <w:szCs w:val="22"/>
        </w:rPr>
        <w:fldChar w:fldCharType="end"/>
      </w:r>
      <w:r w:rsidRPr="00FA5AA0">
        <w:rPr>
          <w:rFonts w:asciiTheme="majorHAnsi" w:hAnsiTheme="majorHAnsi"/>
          <w:sz w:val="22"/>
          <w:szCs w:val="22"/>
        </w:rPr>
        <w:t xml:space="preserve">, referencing </w:t>
      </w:r>
      <w:r w:rsidRPr="00FA5AA0">
        <w:rPr>
          <w:rFonts w:asciiTheme="majorHAnsi" w:hAnsiTheme="majorHAnsi"/>
          <w:sz w:val="22"/>
          <w:szCs w:val="22"/>
        </w:rPr>
        <w:fldChar w:fldCharType="begin"/>
      </w:r>
      <w:r w:rsidRPr="00FA5AA0">
        <w:rPr>
          <w:rFonts w:asciiTheme="majorHAnsi" w:hAnsiTheme="majorHAnsi"/>
          <w:sz w:val="22"/>
          <w:szCs w:val="22"/>
        </w:rPr>
        <w:instrText xml:space="preserve"> ADDIN ZOTERO_ITEM CSL_CITATION {"citationID":"I8h0EcZy","properties":{"formattedCitation":"(W. Zhou, 1989)","plainCitation":"(W. Zhou, 1989)"},"citationItems":[{"id":3138,"uris":["http://zotero.org/users/992731/items/UWT25KXQ"],"uri":["http://zotero.org/users/992731/items/UWT25KXQ"],"itemData":{"id":3138,"type":"chapter","title":"</w:instrText>
      </w:r>
      <w:r w:rsidRPr="00FA5AA0">
        <w:rPr>
          <w:rFonts w:asciiTheme="majorHAnsi" w:hAnsiTheme="majorHAnsi"/>
          <w:sz w:val="22"/>
          <w:szCs w:val="22"/>
        </w:rPr>
        <w:instrText>谈四川民族地区的教育体系问题</w:instrText>
      </w:r>
      <w:r w:rsidRPr="00FA5AA0">
        <w:rPr>
          <w:rFonts w:asciiTheme="majorHAnsi" w:hAnsiTheme="majorHAnsi"/>
          <w:sz w:val="22"/>
          <w:szCs w:val="22"/>
        </w:rPr>
        <w:instrText xml:space="preserve"> [A discussion of problems in the education system in minority areas of Sichuan]","container-title":"</w:instrText>
      </w:r>
      <w:r w:rsidRPr="00FA5AA0">
        <w:rPr>
          <w:rFonts w:asciiTheme="majorHAnsi" w:hAnsiTheme="majorHAnsi"/>
          <w:sz w:val="22"/>
          <w:szCs w:val="22"/>
        </w:rPr>
        <w:instrText>中国民族教育论丛</w:instrText>
      </w:r>
      <w:r w:rsidRPr="00FA5AA0">
        <w:rPr>
          <w:rFonts w:asciiTheme="majorHAnsi" w:hAnsiTheme="majorHAnsi"/>
          <w:sz w:val="22"/>
          <w:szCs w:val="22"/>
        </w:rPr>
        <w:instrText xml:space="preserve"> (Collected essays on ethnic education), Vol. 4","publisher":"Central University for Nationalities (Minzu Daxue) Press","publisher-place":"Beijing","page":"18-38","volume":"4","event-place":"Beijing","author":[{"family":"Zhou","given":"Wangyun"}],"editor":[{"family":"Chen","given":"Hongtao"},{"family":"Meng","given":"Zhuqun"}],"issued":{"date-parts":[[1989]]}}}],"schema":"https://github.com/citation-style-language/schema/raw/master/csl-citation.json"} </w:instrText>
      </w:r>
      <w:r w:rsidRPr="00FA5AA0">
        <w:rPr>
          <w:rFonts w:asciiTheme="majorHAnsi" w:hAnsiTheme="majorHAnsi"/>
          <w:sz w:val="22"/>
          <w:szCs w:val="22"/>
        </w:rPr>
        <w:fldChar w:fldCharType="separate"/>
      </w:r>
      <w:r w:rsidRPr="00FA5AA0">
        <w:rPr>
          <w:rFonts w:asciiTheme="majorHAnsi" w:eastAsia="SimSun" w:hAnsiTheme="majorHAnsi"/>
          <w:sz w:val="22"/>
          <w:szCs w:val="22"/>
          <w:lang w:eastAsia="zh-CN"/>
        </w:rPr>
        <w:t>Zhou (1989</w:t>
      </w:r>
      <w:r w:rsidRPr="00FA5AA0">
        <w:rPr>
          <w:rFonts w:asciiTheme="majorHAnsi" w:hAnsiTheme="majorHAnsi"/>
          <w:sz w:val="22"/>
          <w:szCs w:val="22"/>
        </w:rPr>
        <w:fldChar w:fldCharType="end"/>
      </w:r>
      <w:r w:rsidRPr="00FA5AA0">
        <w:rPr>
          <w:rFonts w:asciiTheme="majorHAnsi" w:hAnsiTheme="majorHAnsi"/>
          <w:sz w:val="22"/>
          <w:szCs w:val="22"/>
        </w:rPr>
        <w:t xml:space="preserve"> , p. 31), states that when governmental educational authorities were planning and developing bilingual education, the principle they employed was consideration of the existing local language environment, along with social and economic development needs, pedagogical benefits, and preferences of residents. Scholars classify the modes of bilingual education in China as falling into transition models (transitioning to Mandarin) or maintenance models (maintaining the origin language), with the determination between the two affected by the existence of a well-established writing system and the ethnic composition of local areas  </w:t>
      </w:r>
      <w:r w:rsidRPr="00FA5AA0">
        <w:rPr>
          <w:rFonts w:asciiTheme="majorHAnsi" w:hAnsiTheme="majorHAnsi"/>
          <w:sz w:val="22"/>
          <w:szCs w:val="22"/>
        </w:rPr>
        <w:fldChar w:fldCharType="begin"/>
      </w:r>
      <w:r w:rsidRPr="00FA5AA0">
        <w:rPr>
          <w:rFonts w:asciiTheme="majorHAnsi" w:hAnsiTheme="majorHAnsi"/>
          <w:sz w:val="22"/>
          <w:szCs w:val="22"/>
        </w:rPr>
        <w:instrText xml:space="preserve"> ADDIN ZOTERO_ITEM CSL_CITATION {"citationID":"eBASluIR","properties":{"formattedCitation":"(Feng, 2005, p. 534; Lin, 1997; Teng, 2002)","plainCitation":"(Feng, 2005, p. 534; Lin, 1997; Teng, 2002)"},"citationItems":[{"id":792,"uris":["http://zotero.org/users/992731/items/WP7TEXT9"],"uri":["http://zotero.org/users/992731/items/WP7TEXT9"],"itemData":{"id":792,"type":"article-journal","title":"Bilingualism for the minor or the major? An evaluative analysis of parallel conceptions in China.","container-title":"International Journal of Bilingual Education and Bilingualism","page":"529-551","volume":"8","issue":"6","abstract":"This paper is an analysis of two conceptions of bilingualism that exist in parallel in China. One is traditional bilingualism referring to the use of a native minority language and standard Chinese by minority groups and the other, seen as bilingualism with modern characteristics, is a modern-day phenomenon in which the majority Han group aspire to produce bilinguals with a strong competence in mother tongue Chinese and a foreign language, primarily English, by using Chinese and the foreign language as mediums of instruction in teaching school subjects. The focus of the analysis is on the latter for the simple reason that current literature on the new phenomenon is mostly available only in Chinese. An equally important aim of this paper is to explore the impact of the new phenomenon on minority education and to examine the reason why this impact is largely ignored in bilingualism discussions, despite obvious consequences with respect to ethnic identity, personality development and academic performance of minority students. Thus, the traditional conception is briefly reviewed at the start. (PsycINFO Database Record (c) 2010 APA, all rights reserved)(journal abstract)","note":"Source type: scholarlyjournals; Object type: Article; Object type: Feature; CSAUnique: PSIN-2006-00839-003; AccNum: 2006-00839-003; ISSN: 1367-0050; ElecISSN: 1747-7522; Peer Reviewed: true","author":[{"family":"Feng","given":"Anwei"}],"issued":{"date-parts":[[2005]]}},"locator":"534"},{"id":1663,"uris":["http://zotero.org/users/992731/items/FT7IM9KV"],"uri":["http://zotero.org/users/992731/items/FT7IM9KV"],"itemData":{"id":1663,"type":"article-journal","title":"Policies and Practices of Bilingual Education for the Minorities in China","container-title":"Journal of Multilingual and Multicultural Development","page":"193-205","volume":"18","issue":"3","abstract":"Bilingual education for minorities in the People's Republic of China has always been closely linked with political policies held by the government. Chinese scholars have argued that bilingual education is necessary to advance learning among minority students. However, schools attempting to implement bilingual teaching are faced with many problems – notably with respect to curriculum, textbook publishing, teacher training, &amp; instructional adjustments. Even greater problems lie within society at large, where minorities still suffer discrimination &amp; bias. 24 References. Adapted from the source document.","note":"Source type: scholarlyjournals; Object type: Article; Object type: Feature; CSAUnique: SA-306807334; AccNum: 9815212; ISSN: 0143-4632; CODEN: JMUDDP; Peer Reviewed: true","author":[{"family":"Lin","given":"Jing"}],"issued":{"date-parts":[[1997]]}}},{"id":2581,"uris":["http://zotero.org/users/992731/items/Z4W7QQ6J"],"uri":["http://zotero.org/users/992731/items/Z4W7QQ6J"],"itemData":{"id":2581,"type":"article-journal","title":"Bilingual Society and Bilingual Education of the Yi Ethnic Minority of the Liangshan Yi Ethnic Minority Autonomous Prefecture in China Amid Cultural Changes–History, Present Situation, Problems, and Analysis","container-title":"Chinese Education &amp; Society","page":"65","volume":"35","issue":"3","abstract":"Investigates the bilingual education (BE) policies on the Yi ethnic minority in Liangshan, China. Efforts of the Asian Development Bank to offer financial aid to ethnic minorities in the country; Importance of BE in the achievement of bilingual society; History of teaching Yi writing in the region.","note":"J1: Chinese Education &amp; Society; M3: Article; Teng Xing; Source Information: May/Jun2002, Vol. 35 Issue 3, p65; Subject Term: EDUCATION, BilingualSubject Term: YI (Chinese people); Subject Term: CHINA; Company/Entity: ASIAN Development Bank (Company); Number of Pages: 22p; Document Type: Article","author":[{"family":"Teng","given":"Xing"}],"issued":{"date-parts":[[2002]]}}}],"schema":"https://github.com/citation-style-language/schema/raw/master/csl-citation.json"} </w:instrText>
      </w:r>
      <w:r w:rsidRPr="00FA5AA0">
        <w:rPr>
          <w:rFonts w:asciiTheme="majorHAnsi" w:hAnsiTheme="majorHAnsi"/>
          <w:sz w:val="22"/>
          <w:szCs w:val="22"/>
        </w:rPr>
        <w:fldChar w:fldCharType="separate"/>
      </w:r>
      <w:r w:rsidRPr="00FA5AA0">
        <w:rPr>
          <w:rFonts w:asciiTheme="majorHAnsi" w:eastAsia="SimSun" w:hAnsiTheme="majorHAnsi"/>
          <w:sz w:val="22"/>
          <w:szCs w:val="22"/>
          <w:lang w:eastAsia="zh-CN"/>
        </w:rPr>
        <w:t>(Feng, 2005, p. 534; Lin, 1997; Teng, 2002)</w:t>
      </w:r>
      <w:r w:rsidRPr="00FA5AA0">
        <w:rPr>
          <w:rFonts w:asciiTheme="majorHAnsi" w:hAnsiTheme="majorHAnsi"/>
          <w:sz w:val="22"/>
          <w:szCs w:val="22"/>
        </w:rPr>
        <w:fldChar w:fldCharType="end"/>
      </w:r>
      <w:r w:rsidRPr="00FA5AA0">
        <w:rPr>
          <w:rFonts w:asciiTheme="majorHAnsi" w:hAnsiTheme="majorHAnsi"/>
          <w:sz w:val="22"/>
          <w:szCs w:val="22"/>
        </w:rPr>
        <w:t xml:space="preserve">. </w:t>
      </w:r>
    </w:p>
    <w:p w:rsidR="00FA5AA0" w:rsidRPr="00FA5AA0" w:rsidRDefault="00FA5AA0" w:rsidP="00627031">
      <w:pPr>
        <w:pStyle w:val="NormalIndent"/>
        <w:spacing w:line="240" w:lineRule="auto"/>
        <w:contextualSpacing/>
        <w:rPr>
          <w:rFonts w:asciiTheme="majorHAnsi" w:hAnsiTheme="majorHAnsi"/>
          <w:sz w:val="22"/>
          <w:szCs w:val="22"/>
        </w:rPr>
      </w:pPr>
      <w:r w:rsidRPr="00FA5AA0">
        <w:rPr>
          <w:rFonts w:asciiTheme="majorHAnsi" w:hAnsiTheme="majorHAnsi"/>
          <w:sz w:val="22"/>
          <w:szCs w:val="22"/>
        </w:rPr>
        <w:t xml:space="preserve">Political considerations are also important.  Scholars have argued that the design and implementation of minority language policies relates to the histories and political statuses of the groups and regions involved </w:t>
      </w:r>
      <w:r w:rsidRPr="00FA5AA0">
        <w:rPr>
          <w:rFonts w:asciiTheme="majorHAnsi" w:hAnsiTheme="majorHAnsi"/>
          <w:sz w:val="22"/>
          <w:szCs w:val="22"/>
        </w:rPr>
        <w:fldChar w:fldCharType="begin"/>
      </w:r>
      <w:r w:rsidRPr="00FA5AA0">
        <w:rPr>
          <w:rFonts w:asciiTheme="majorHAnsi" w:hAnsiTheme="majorHAnsi"/>
          <w:sz w:val="22"/>
          <w:szCs w:val="22"/>
        </w:rPr>
        <w:instrText xml:space="preserve"> ADDIN ZOTERO_ITEM CSL_CITATION {"citationID":"n4TMPInX","properties":{"formattedCitation":"(Adamson &amp; Feng, 2009; see also Feng &amp; Sunuodula, 2009)","plainCitation":"(Adamson &amp; Feng, 2009; see also Feng &amp; Sunuodula, 2009)"},"citationItems":[{"id":62,"uris":["http://zotero.org/users/992731/items/94CETEW9"],"uri":["http://zotero.org/users/992731/items/94CETEW9"],"itemData":{"id":62,"type":"article-journal","title":"A Comparison of Trilingual Education Policies for Ethnic Minorities in China","container-title":"Compare: A Journal of Comparative and International Education","page":"321-333","volume":"39","issue":"3","abstract":"In recent decades, the People's Republic of China (PRC) has instigated language policies in education ostensibly designed to foster trilingualism in ethnic minority groups. The policies, which, as this paper shows, vary from region to region, encompass the minority group's home language, Chinese, and English. Based on data arising from interviews, documentary analysis and secondary sources, this paper examines the tensions behind these trilingual education policies by comparing the implementation of policies for three minority groups: the Zhuang, the Uyghur and the Yi people. It identifies some of the facilitators and barriers that affect the achievement of trilingualism, and finds that ethnic minority languages are at a disadvantage compared with Chinese and English. The paper concludes by making some suggestions for enhancing the effectiveness of the trilingualism policy. (Contains 1 figure.)","note":"Source type: scholarlyjournals; Object type: Report; Object type: Article; CSAUnique: EJ855550; AccNum: EJ855550; ISSN: 0305-7925; Peer Reviewed: true","author":[{"family":"Adamson","given":"Bob"},{"family":"Feng","given":"Anwei"}],"issued":{"date-parts":[["2009",5]]}}},{"id":3429,"uris":["http://zotero.org/users/992731/items/3H6D6TBT"],"uri":["http://zotero.org/users/992731/items/3H6D6TBT"],"itemData":{"id":3429,"type":"article-journal","title":"Analysing Language Education Policy for China's Minority Groups in Its Entirety","container-title":"International Journal of Bilingual Education and Bilingualism","page":"685-704","volume":"12","issue":"6","abstract":"Two main bodies of literature are identifiable in minority education policy studies in China. Many adopt a descriptive approach to examining policy documents and general outcomes in their historical contexts while others focus on evaluating preferential policies made to address inequality issues in minority education. In most discussions, educators and scholars analyse or speculate about rationale behind minority education policies promulgated by governments at various levels in different periods. Rare attempts are made to develop a conceptual framework to make it possible to analyse the policy process in its entirety. Scholars and educators have seldom defined the relevant actors of a policy, to relate the policy to issues concerning these actors in the matrix of the social hierarchy, and to evaluate how policy outcomes feed back into the policy making and implementation cycle. This paper proposes an analytical framework that addresses these issues on the basis of a comparative analysis of recent literature on bi/trilingual education policies, official policy documents for minority groups and their implementation. The comparative overview is complemented by three case studies in three regions where empirical data were collected. (Contains 3 notes and 4 figures.)","ISSN":"1367-0050, 1367-0050","author":[{"family":"Feng","given":"Anwei"},{"family":"Sunuodula","given":"Mamtimyn"}],"issued":{"date-parts":[[2009]]}},"prefix":"see also "}],"schema":"https://github.com/citation-style-language/schema/raw/master/csl-citation.json"} </w:instrText>
      </w:r>
      <w:r w:rsidRPr="00FA5AA0">
        <w:rPr>
          <w:rFonts w:asciiTheme="majorHAnsi" w:hAnsiTheme="majorHAnsi"/>
          <w:sz w:val="22"/>
          <w:szCs w:val="22"/>
        </w:rPr>
        <w:fldChar w:fldCharType="separate"/>
      </w:r>
      <w:r w:rsidRPr="00FA5AA0">
        <w:rPr>
          <w:rFonts w:asciiTheme="majorHAnsi" w:eastAsia="SimSun" w:hAnsiTheme="majorHAnsi"/>
          <w:sz w:val="22"/>
          <w:szCs w:val="22"/>
          <w:lang w:eastAsia="zh-CN"/>
        </w:rPr>
        <w:t>(Adamson &amp; Feng, 2009; see also Feng &amp; Sunuodula, 2009)</w:t>
      </w:r>
      <w:r w:rsidRPr="00FA5AA0">
        <w:rPr>
          <w:rFonts w:asciiTheme="majorHAnsi" w:hAnsiTheme="majorHAnsi"/>
          <w:sz w:val="22"/>
          <w:szCs w:val="22"/>
        </w:rPr>
        <w:fldChar w:fldCharType="end"/>
      </w:r>
      <w:r w:rsidRPr="00FA5AA0">
        <w:rPr>
          <w:rFonts w:asciiTheme="majorHAnsi" w:hAnsiTheme="majorHAnsi"/>
          <w:sz w:val="22"/>
          <w:szCs w:val="22"/>
        </w:rPr>
        <w:t>.</w:t>
      </w:r>
      <w:r w:rsidRPr="00FA5AA0">
        <w:rPr>
          <w:rStyle w:val="FootnoteReference"/>
          <w:rFonts w:asciiTheme="majorHAnsi" w:hAnsiTheme="majorHAnsi"/>
          <w:sz w:val="22"/>
          <w:szCs w:val="22"/>
        </w:rPr>
        <w:footnoteReference w:id="8"/>
      </w:r>
      <w:r w:rsidRPr="00FA5AA0">
        <w:rPr>
          <w:rFonts w:asciiTheme="majorHAnsi" w:hAnsiTheme="majorHAnsi"/>
          <w:sz w:val="22"/>
          <w:szCs w:val="22"/>
        </w:rPr>
        <w:t xml:space="preserve">  For example, </w:t>
      </w:r>
      <w:proofErr w:type="spellStart"/>
      <w:r w:rsidRPr="00FA5AA0">
        <w:rPr>
          <w:rFonts w:asciiTheme="majorHAnsi" w:hAnsiTheme="majorHAnsi"/>
          <w:sz w:val="22"/>
          <w:szCs w:val="22"/>
        </w:rPr>
        <w:t>Catriona</w:t>
      </w:r>
      <w:proofErr w:type="spellEnd"/>
      <w:r w:rsidRPr="00FA5AA0">
        <w:rPr>
          <w:rFonts w:asciiTheme="majorHAnsi" w:hAnsiTheme="majorHAnsi"/>
          <w:sz w:val="22"/>
          <w:szCs w:val="22"/>
        </w:rPr>
        <w:t xml:space="preserve"> Bass notes that in the wake of the resurgence of a pro-independence movement in Tibet in the late 1980s, the primary political goal</w:t>
      </w:r>
      <w:r w:rsidRPr="00FA5AA0">
        <w:rPr>
          <w:rFonts w:asciiTheme="majorHAnsi" w:hAnsiTheme="majorHAnsi"/>
          <w:sz w:val="22"/>
          <w:szCs w:val="22"/>
          <w:lang w:eastAsia="zh-CN"/>
        </w:rPr>
        <w:t xml:space="preserve"> for minority education</w:t>
      </w:r>
      <w:r w:rsidRPr="00FA5AA0">
        <w:rPr>
          <w:rFonts w:asciiTheme="majorHAnsi" w:hAnsiTheme="majorHAnsi"/>
          <w:sz w:val="22"/>
          <w:szCs w:val="22"/>
        </w:rPr>
        <w:t xml:space="preserve">—ethnic unity—was reasserted, and concessions to Tibetan language and culturally relevant curriculum made in the 1980s partially eroded </w:t>
      </w:r>
      <w:r w:rsidRPr="00FA5AA0">
        <w:rPr>
          <w:rFonts w:asciiTheme="majorHAnsi" w:hAnsiTheme="majorHAnsi"/>
          <w:sz w:val="22"/>
          <w:szCs w:val="22"/>
        </w:rPr>
        <w:fldChar w:fldCharType="begin"/>
      </w:r>
      <w:r w:rsidRPr="00FA5AA0">
        <w:rPr>
          <w:rFonts w:asciiTheme="majorHAnsi" w:hAnsiTheme="majorHAnsi"/>
          <w:sz w:val="22"/>
          <w:szCs w:val="22"/>
        </w:rPr>
        <w:instrText xml:space="preserve"> ADDIN ZOTERO_ITEM CSL_CITATION {"citationID":"C1tEHlAA","properties":{"formattedCitation":"(Bass, 1998, p. 4)","plainCitation":"(Bass, 1998, p. 4)"},"citationItems":[{"id":3566,"uris":["http://zotero.org/users/992731/items/2NS86FFB"],"uri":["http://zotero.org/users/992731/items/2NS86FFB"],"itemData":{"id":3566,"type":"book","title":"Education in Tibet","collection-title":"Politics in contemporary Asia series; Variation:                Politics in contemporary Asia.","publisher":"St. Martin's Press","publisher-place":"New York","source":"OCLC WorldCat FirstSearch","event-place":"New York","ISBN":"1856496732","note":"Access: http://catdir.loc.gov/catdir/bios/hol058/98036349.html\nExternal Resources: Cite This Item Search for versions with same title and author | Advanced options ...\nLanguage: English\nContents: Preface -- Introduction -- Part One: Background -- Red or Expert: Shifting Priorities in Education, 1950-1978 -- Socialist Modernisation, 1978-97 -- Regional Disparity in Education Provision -- Part Two: Primary Education -- Funding of Primary Education: Urban versus Rural -- General Secondary Education -- Vocational Secondary Education -- Higher Education -- Pre-school Education, Education for Girls, Special Needs Education -- Teachers and Teaching -- Tibetan Language Policy in Education -- Concluding Comments.\nAccess: Materials specified:      Contributor biographical information http://catdir.loc.gov/catdir/bios/hol058/98036349.html\nMaterials specified: Publisher description http://catdir.loc.gov/catdir/description/hol056/98036349.html\nMaterials specified: Table of contents http://catdir.loc.gov/catdir/toc/hol052/98036349.html\nGeographic: Tibet. China.\nNote(s): Includes bibliographical references (p. [283]-292) and index.\nGeneral Info: National bibliography no: GB98-W7723 Other format available:   Online version:; Bass, Catriona.; Education in Tibet.; London ; New York : Zed Books ; London ; Jackson, Wy : Tibet Information Network ; New York : St. Martin's Press [distributor], 1998; Online version:; Bass, Catriona.; Education in Tibet.; London ; New York : Zed Books ; London ; Jackson, Wy : Tibet Information Network ; New York : St. Martin's Press [distributor], 1998\nClass Descriptors: LC: LC94.C5; Dewey: 379.414\nResponsibility: Catriona Bass.\nMore Records: Show record information\nVendor Info: Baker and Taylor Baker &amp; Taylor Baker &amp; Taylor YBP Library Services (BTCP BKTY BKTY YANK) 80.00 32.00 Status:                   active active\nMaterial Type: Internet resource (url)\nDate of Entry: 19980715\nUpdate: 20111128\nProvider: OCLC\n2 Red or Expert: Shifting Priorities in Education, 1949-78 ( 26 ) 'Democratic Revolution', 'Socialist Reconstruction' and 'Socialist Transformation' in China, 1949-65 ( 26 ) The 'minority' nationality education policy and Tibet, 1950-65 ( 28 ) The Cultural Revolution in China, 1966-76 ( 34 ) The Cultural Revolution in the TAR, 1966-76 ( 36 ) Summary ( 41 ) 3oSiclasi toMednrzitaoi,n1 79-879 ( 47 )\nhT eoFruM doreinazitno: sr teru nfoq auilyto ev ruqnaityt ( 47 ) Changes in China's 'minority' nationality education policy ( 50 )\ndEcutaoi nerofmr snit ehT RA : ht e9108s ( 51 ) Patriotic education and the political role of 'minority' nationality education in the TAR: 1990s ( 54 ) Summary ( 59 )\n4 Economic Reform: Regional Disparity in Education Provision ( 63 )\nFunding: diversification of sources ( 63 ) Nine-year compulsory education: regional disparity in implementation ( 66 ) Summary ( 69 ) 5 Primary Education ( 72 ) The 'consolidation' of primary schools, 1978-84 ( 72 ) Enrolment in primary education ( 75 ) Urban versus rural provision in the TAR ( 77 ) Drop-out from primary education ( 78 ) Illiteracy ( 82 ) Low enrolment and high drop-out in rural schools: a review of contributory factors ( 86 ) uSmmray ( 106 ) Official statistics and basic facts ( 107 )\n6 Funding of Primary Education: Urban Versus Rural ( 114 ) Government funding ( 114 ) Non-government funding ( 118 )\nReassessment of funding reforms in the 1990s: recentralization and renewed emphasis on government funding ( 124 ) Summary ( 131 ) 7 General Secondary Education ( 137 ) Elite versus mass education ( 137 ) Enrolment in secondary education ( 137 ) Urban-rural distribution of secondary schools ( 141 ) Key schools ( 141 ) The streaming system in secondary schools ( 145 ) The education of children from the TAR in Central China ( 149 ) Summary ( 153 ) Official statistics and basic facts 1994 ( 155 ) 8oVacitnolaS cenoadyrE udacitno ( 159 ) The development of vocational secondary education in the TAR since 1978 ( 159 ) Funding of vocational secondary education ( 162 ) Enrolment in vocational secondary education in the TAR ( 162 ) Senior secondary specialized schools in the TAR ( 163 ) Summary ( 167 ) Official statistics and basic facts ( 169 ) 9 Higher Education ( 172 )\nFunding of higher education in the 1980s: higher education versus basic education ( 174 )\nFunding crisis in higher education in the 1990s: recentralization of control ( 176 ) Enrolment in higher education ( 179 ) Enrolment in higher education in the TAR ( 184 )\nLow enrolment of Tibetans in higher education: factors involved ( 191 ) Summary ( 196 ) Official statistics and basic facts ( 198 ) 10 Pre-school Education, Education for Girls, and Special Needs Education ( 205 ) Pre-school education ( 205 ) Education for girls ( 206 ) Special needs education ( 206 ) 11T aehcre sna deTcaihgn ( 209 ) Teachers and the Communist Party ( 209 ) The economic status of teachers ( 210 ) Teacher shortages ( 214 ) Teaching quality ( 216 ) Teacher training ( 219 ) Summary ( 224 ) Official statistics and basic facts ( 225 ) 12 Tibetan Language Policy in Education ( 229 ) nAo evvreiw ( 229 ) Provision of Tibetan medium education ( 233 ) Experimental Tibetan medium secondary schools ( 235 ) rPboelsmo fmilpmeneatitno ( 237 ) Summary ( 244 ) 13 Concluding Comments ( 250 ) Education in the TAR and China's broader economic concerns ( 252 ) Education in the TAR and China's strategic concerns ( 256 )","shortTitle":"Education in Tibet","author":[{"family":"Bass","given":"Catriona"}],"issued":{"date-parts":[[1998]]}},"locator":"4"}],"schema":"https://github.com/citation-style-language/schema/raw/master/csl-citation.json"} </w:instrText>
      </w:r>
      <w:r w:rsidRPr="00FA5AA0">
        <w:rPr>
          <w:rFonts w:asciiTheme="majorHAnsi" w:hAnsiTheme="majorHAnsi"/>
          <w:sz w:val="22"/>
          <w:szCs w:val="22"/>
        </w:rPr>
        <w:fldChar w:fldCharType="separate"/>
      </w:r>
      <w:r w:rsidRPr="00FA5AA0">
        <w:rPr>
          <w:rFonts w:asciiTheme="majorHAnsi" w:eastAsia="SimSun" w:hAnsiTheme="majorHAnsi"/>
          <w:sz w:val="22"/>
          <w:szCs w:val="22"/>
          <w:lang w:eastAsia="zh-CN"/>
        </w:rPr>
        <w:t>(Bass, 1998, p. 4)</w:t>
      </w:r>
      <w:r w:rsidRPr="00FA5AA0">
        <w:rPr>
          <w:rFonts w:asciiTheme="majorHAnsi" w:hAnsiTheme="majorHAnsi"/>
          <w:sz w:val="22"/>
          <w:szCs w:val="22"/>
        </w:rPr>
        <w:fldChar w:fldCharType="end"/>
      </w:r>
      <w:r w:rsidRPr="00FA5AA0">
        <w:rPr>
          <w:rFonts w:asciiTheme="majorHAnsi" w:hAnsiTheme="majorHAnsi"/>
          <w:sz w:val="22"/>
          <w:szCs w:val="22"/>
        </w:rPr>
        <w:t xml:space="preserve">.  This development also led to retrenchment on some preferential policies to promote secondary and higher education among Tibetans, due to fears about these policies causing tension between nationalities. </w:t>
      </w:r>
    </w:p>
    <w:p w:rsidR="00FA5AA0" w:rsidRPr="00FA5AA0" w:rsidRDefault="00FA5AA0" w:rsidP="00627031">
      <w:pPr>
        <w:pStyle w:val="NormalIndent"/>
        <w:spacing w:line="240" w:lineRule="auto"/>
        <w:contextualSpacing/>
        <w:rPr>
          <w:rFonts w:asciiTheme="majorHAnsi" w:hAnsiTheme="majorHAnsi"/>
          <w:sz w:val="22"/>
          <w:szCs w:val="22"/>
        </w:rPr>
      </w:pPr>
      <w:proofErr w:type="spellStart"/>
      <w:r w:rsidRPr="00FA5AA0">
        <w:rPr>
          <w:rFonts w:asciiTheme="majorHAnsi" w:hAnsiTheme="majorHAnsi"/>
          <w:sz w:val="22"/>
          <w:szCs w:val="22"/>
        </w:rPr>
        <w:t>Postiglione</w:t>
      </w:r>
      <w:proofErr w:type="spellEnd"/>
      <w:r w:rsidRPr="00FA5AA0">
        <w:rPr>
          <w:rFonts w:asciiTheme="majorHAnsi" w:hAnsiTheme="majorHAnsi"/>
          <w:sz w:val="22"/>
          <w:szCs w:val="22"/>
        </w:rPr>
        <w:t xml:space="preserve"> (2009) notes that </w:t>
      </w:r>
      <w:proofErr w:type="spellStart"/>
      <w:r w:rsidRPr="00FA5AA0">
        <w:rPr>
          <w:rFonts w:asciiTheme="majorHAnsi" w:hAnsiTheme="majorHAnsi"/>
          <w:i/>
          <w:sz w:val="22"/>
          <w:szCs w:val="22"/>
        </w:rPr>
        <w:t>neidi</w:t>
      </w:r>
      <w:proofErr w:type="spellEnd"/>
      <w:r w:rsidRPr="00FA5AA0">
        <w:rPr>
          <w:rFonts w:asciiTheme="majorHAnsi" w:hAnsiTheme="majorHAnsi"/>
          <w:sz w:val="22"/>
          <w:szCs w:val="22"/>
        </w:rPr>
        <w:t xml:space="preserve"> middle schools accepting Tibetan students in the 1980s recruited mainly from elementary schools where the medium of instruction was Chinese, although students were still instructed in Tibetan for one year to ease the language transition.  In later years, these schools started to accept more students from Tibetan-language elementary schools, and in 1993, students were no longer categorized by the language of instruction in elementary school.  In interviews with students, the author found that </w:t>
      </w:r>
      <w:proofErr w:type="spellStart"/>
      <w:r w:rsidRPr="00FA5AA0">
        <w:rPr>
          <w:rFonts w:asciiTheme="majorHAnsi" w:hAnsiTheme="majorHAnsi"/>
          <w:i/>
          <w:sz w:val="22"/>
          <w:szCs w:val="22"/>
        </w:rPr>
        <w:t>neidi</w:t>
      </w:r>
      <w:proofErr w:type="spellEnd"/>
      <w:r w:rsidRPr="00FA5AA0">
        <w:rPr>
          <w:rFonts w:asciiTheme="majorHAnsi" w:hAnsiTheme="majorHAnsi"/>
          <w:sz w:val="22"/>
          <w:szCs w:val="22"/>
        </w:rPr>
        <w:t xml:space="preserve"> schools did not improve Tibetan language skills, and in many cases, students reported their knowledge of Tibetan language had deteriorated.  </w:t>
      </w:r>
    </w:p>
    <w:p w:rsidR="00FA5AA0" w:rsidRPr="00FA5AA0" w:rsidRDefault="00FA5AA0" w:rsidP="00627031">
      <w:pPr>
        <w:pStyle w:val="NormalIndent"/>
        <w:spacing w:line="240" w:lineRule="auto"/>
        <w:contextualSpacing/>
        <w:rPr>
          <w:rFonts w:asciiTheme="majorHAnsi" w:hAnsiTheme="majorHAnsi"/>
          <w:sz w:val="22"/>
          <w:szCs w:val="22"/>
        </w:rPr>
      </w:pPr>
      <w:r w:rsidRPr="00FA5AA0">
        <w:rPr>
          <w:rFonts w:asciiTheme="majorHAnsi" w:hAnsiTheme="majorHAnsi"/>
          <w:sz w:val="22"/>
          <w:szCs w:val="22"/>
        </w:rPr>
        <w:t xml:space="preserve">Similar to the case of Tibet, in Adamson and </w:t>
      </w:r>
      <w:proofErr w:type="spellStart"/>
      <w:r w:rsidRPr="00FA5AA0">
        <w:rPr>
          <w:rFonts w:asciiTheme="majorHAnsi" w:hAnsiTheme="majorHAnsi"/>
          <w:sz w:val="22"/>
          <w:szCs w:val="22"/>
        </w:rPr>
        <w:t>Feng’s</w:t>
      </w:r>
      <w:proofErr w:type="spellEnd"/>
      <w:r w:rsidRPr="00FA5AA0">
        <w:rPr>
          <w:rFonts w:asciiTheme="majorHAnsi" w:hAnsiTheme="majorHAnsi"/>
          <w:sz w:val="22"/>
          <w:szCs w:val="22"/>
        </w:rPr>
        <w:t xml:space="preserve"> </w:t>
      </w:r>
      <w:r w:rsidRPr="00FA5AA0">
        <w:rPr>
          <w:rFonts w:asciiTheme="majorHAnsi" w:hAnsiTheme="majorHAnsi"/>
          <w:sz w:val="22"/>
          <w:szCs w:val="22"/>
        </w:rPr>
        <w:fldChar w:fldCharType="begin"/>
      </w:r>
      <w:r w:rsidRPr="00FA5AA0">
        <w:rPr>
          <w:rFonts w:asciiTheme="majorHAnsi" w:hAnsiTheme="majorHAnsi"/>
          <w:sz w:val="22"/>
          <w:szCs w:val="22"/>
        </w:rPr>
        <w:instrText xml:space="preserve"> ADDIN ZOTERO_ITEM CSL_CITATION {"citationID":"ZMzJAahs","properties":{"formattedCitation":"(2009)","plainCitation":"(2009)"},"citationItems":[{"id":62,"uris":["http://zotero.org/users/992731/items/94CETEW9"],"uri":["http://zotero.org/users/992731/items/94CETEW9"],"itemData":{"id":62,"type":"article-journal","title":"A Comparison of Trilingual Education Policies for Ethnic Minorities in China","container-title":"Compare: A Journal of Comparative and International Education","page":"321-333","volume":"39","issue":"3","abstract":"In recent decades, the People's Republic of China (PRC) has instigated language policies in education ostensibly designed to foster trilingualism in ethnic minority groups. The policies, which, as this paper shows, vary from region to region, encompass the minority group's home language, Chinese, and English. Based on data arising from interviews, documentary analysis and secondary sources, this paper examines the tensions behind these trilingual education policies by comparing the implementation of policies for three minority groups: the Zhuang, the Uyghur and the Yi people. It identifies some of the facilitators and barriers that affect the achievement of trilingualism, and finds that ethnic minority languages are at a disadvantage compared with Chinese and English. The paper concludes by making some suggestions for enhancing the effectiveness of the trilingualism policy. (Contains 1 figure.)","note":"Source type: scholarlyjournals; Object type: Report; Object type: Article; CSAUnique: EJ855550; AccNum: EJ855550; ISSN: 0305-7925; Peer Reviewed: true","author":[{"family":"Adamson","given":"Bob"},{"family":"Feng","given":"Anwei"}],"issued":{"date-parts":[["2009",5]]}},"suppress-author":true}],"schema":"https://github.com/citation-style-language/schema/raw/master/csl-citation.json"} </w:instrText>
      </w:r>
      <w:r w:rsidRPr="00FA5AA0">
        <w:rPr>
          <w:rFonts w:asciiTheme="majorHAnsi" w:hAnsiTheme="majorHAnsi"/>
          <w:sz w:val="22"/>
          <w:szCs w:val="22"/>
        </w:rPr>
        <w:fldChar w:fldCharType="separate"/>
      </w:r>
      <w:r w:rsidRPr="00FA5AA0">
        <w:rPr>
          <w:rFonts w:asciiTheme="majorHAnsi" w:eastAsia="SimSun" w:hAnsiTheme="majorHAnsi"/>
          <w:sz w:val="22"/>
          <w:szCs w:val="22"/>
          <w:lang w:eastAsia="zh-CN"/>
        </w:rPr>
        <w:t>(2009)</w:t>
      </w:r>
      <w:r w:rsidRPr="00FA5AA0">
        <w:rPr>
          <w:rFonts w:asciiTheme="majorHAnsi" w:hAnsiTheme="majorHAnsi"/>
          <w:sz w:val="22"/>
          <w:szCs w:val="22"/>
        </w:rPr>
        <w:fldChar w:fldCharType="end"/>
      </w:r>
      <w:r w:rsidRPr="00FA5AA0">
        <w:rPr>
          <w:rFonts w:asciiTheme="majorHAnsi" w:hAnsiTheme="majorHAnsi"/>
          <w:sz w:val="22"/>
          <w:szCs w:val="22"/>
        </w:rPr>
        <w:t xml:space="preserve"> assessment, the difficult and contentious climate for political control in Xinjiang is reflected in the value attached to a distinct cultural identity by the people and a somewhat coercive edge to the promotion of standard Chinese as a language of instruction early on in school careers.  The provision of English is mandated from the third year of primary school, but English teaching is very limited compared to other many other parts of the PRC </w:t>
      </w:r>
      <w:r w:rsidRPr="00FA5AA0">
        <w:rPr>
          <w:rFonts w:asciiTheme="majorHAnsi" w:hAnsiTheme="majorHAnsi"/>
          <w:sz w:val="22"/>
          <w:szCs w:val="22"/>
        </w:rPr>
        <w:fldChar w:fldCharType="begin"/>
      </w:r>
      <w:r w:rsidRPr="00FA5AA0">
        <w:rPr>
          <w:rFonts w:asciiTheme="majorHAnsi" w:hAnsiTheme="majorHAnsi"/>
          <w:sz w:val="22"/>
          <w:szCs w:val="22"/>
        </w:rPr>
        <w:instrText xml:space="preserve"> ADDIN ZOTERO_ITEM CSL_CITATION {"citationID":"22PlR4X5","properties":{"formattedCitation":"(Adamson &amp; Feng, 2009, p. 328; Feng &amp; Sunuodula, 2009, p. 696; see also L. T. H. Tsung &amp; Cruickshank, 2009 for a case study in two schools in Xinjiang consistent with the notion of very limited English availability)","plainCitation":"(Adamson &amp; Feng, 2009, p. 328; Feng &amp; Sunuodula, 2009, p. 696; see also L. T. H. Tsung &amp; Cruickshank, 2009 for a case study in two schools in Xinjiang consistent with the notion of very limited English availability)"},"citationItems":[{"id":3429,"uris":["http://zotero.org/users/992731/items/3H6D6TBT"],"uri":["http://zotero.org/users/992731/items/3H6D6TBT"],"itemData":{"id":3429,"type":"article-journal","title":"Analysing Language Education Policy for China's Minority Groups in Its Entirety","container-title":"International Journal of Bilingual Education and Bilingualism","page":"685-704","volume":"12","issue":"6","abstract":"Two main bodies of literature are identifiable in minority education policy studies in China. Many adopt a descriptive approach to examining policy documents and general outcomes in their historical contexts while others focus on evaluating preferential policies made to address inequality issues in minority education. In most discussions, educators and scholars analyse or speculate about rationale behind minority education policies promulgated by governments at various levels in different periods. Rare attempts are made to develop a conceptual framework to make it possible to analyse the policy process in its entirety. Scholars and educators have seldom defined the relevant actors of a policy, to relate the policy to issues concerning these actors in the matrix of the social hierarchy, and to evaluate how policy outcomes feed back into the policy making and implementation cycle. This paper proposes an analytical framework that addresses these issues on the basis of a comparative analysis of recent literature on bi/trilingual education policies, official policy documents for minority groups and their implementation. The comparative overview is complemented by three case studies in three regions where empirical data were collected. (Contains 3 notes and 4 figures.)","ISSN":"1367-0050, 1367-0050","author":[{"family":"Feng","given":"Anwei"},{"family":"Sunuodula","given":"Mamtimyn"}],"issued":{"date-parts":[[2009]]}},"locator":"696"},{"id":62,"uris":["http://zotero.org/users/992731/items/94CETEW9"],"uri":["http://zotero.org/users/992731/items/94CETEW9"],"itemData":{"id":62,"type":"article-journal","title":"A Comparison of Trilingual Education Policies for Ethnic Minorities in China","container-title":"Compare: A Journal of Comparative and International Education","page":"321-333","volume":"39","issue":"3","abstract":"In recent decades, the People's Republic of China (PRC) has instigated language policies in education ostensibly designed to foster trilingualism in ethnic minority groups. The policies, which, as this paper shows, vary from region to region, encompass the minority group's home language, Chinese, and English. Based on data arising from interviews, documentary analysis and secondary sources, this paper examines the tensions behind these trilingual education policies by comparing the implementation of policies for three minority groups: the Zhuang, the Uyghur and the Yi people. It identifies some of the facilitators and barriers that affect the achievement of trilingualism, and finds that ethnic minority languages are at a disadvantage compared with Chinese and English. The paper concludes by making some suggestions for enhancing the effectiveness of the trilingualism policy. (Contains 1 figure.)","note":"Source type: scholarlyjournals; Object type: Report; Object type: Article; CSAUnique: EJ855550; AccNum: EJ855550; ISSN: 0305-7925; Peer Reviewed: true","author":[{"family":"Adamson","given":"Bob"},{"family":"Feng","given":"Anwei"}],"issued":{"date-parts":[["2009",5]]}},"locator":"328"},{"id":2639,"uris":["http://zotero.org/users/992731/items/7R88JA78"],"uri":["http://zotero.org/users/992731/items/7R88JA78"],"itemData":{"id":2639,"type":"article-journal","title":"Mother Tongue and Bilingual Minority Education in China","container-title":"International Journal of Bilingual Education and Bilingualism","page":"549-563","volume":"12","issue":"5","abstract":"Mother tongue education in separate schools has been in the norm for several of China's large minorities since 1949. In recent years, however, the shift in minority parental demand, media focus on low educational outcomes of mother tongue education combined with government concerns about separatism have led to the development of mixed schools for Chinese and minority students. In China's Xinjiang Uyghur Autonomous Region (XUAR) the government plans to merge all minority mother tongue schools with Chinese schools by the end of 2008. This paper explores the reasons for this policy change and examines whether the mixed schools will address the unsatisfactory educational outcomes for minority students. It draws on data of case studies of two schools in XUAR, a rural minority primary school and an urban mixed minority/Chinese school. The study found mixed schooling does not address the disparity in educational outcomes. Minority ethnic children in both schools have insufficient access to adequate education in their mother tongue, in the national language as well as in the third language, English. It questions whether either school provides genuine bilingual education but provides an example of how bilingual education in one of the schools can address issues of educational outcomes. (Contains 8 notes.)","note":"Source type: scholarlyjournals; Object type: Report; Object type: Article; CSAUnique: EJ862596; AccNum: EJ862596; ISSN: 1367-0050; Peer Reviewed: true","author":[{"family":"Tsung","given":"Linda T. H."},{"family":"Cruickshank","given":"Ken"}],"issued":{"date-parts":[["2009",9]]}},"prefix":"see also","suffix":"for a case study in two schools in Xinjiang consistent with the notion of very limited English availability"}],"schema":"https://github.com/citation-style-language/schema/raw/master/csl-citation.json"} </w:instrText>
      </w:r>
      <w:r w:rsidRPr="00FA5AA0">
        <w:rPr>
          <w:rFonts w:asciiTheme="majorHAnsi" w:hAnsiTheme="majorHAnsi"/>
          <w:sz w:val="22"/>
          <w:szCs w:val="22"/>
        </w:rPr>
        <w:fldChar w:fldCharType="separate"/>
      </w:r>
      <w:r w:rsidRPr="00FA5AA0">
        <w:rPr>
          <w:rFonts w:asciiTheme="majorHAnsi" w:eastAsia="SimSun" w:hAnsiTheme="majorHAnsi"/>
          <w:sz w:val="22"/>
          <w:szCs w:val="22"/>
          <w:lang w:eastAsia="zh-CN"/>
        </w:rPr>
        <w:t>(Adamson &amp; Feng, 2009, p. 328; Feng &amp; Sunuodula, 2009, p. 696; see also Tsung &amp; Cruickshank, 2009 for a case study in two schools in Xinjiang consistent with the notion of very limited English availability)</w:t>
      </w:r>
      <w:r w:rsidRPr="00FA5AA0">
        <w:rPr>
          <w:rFonts w:asciiTheme="majorHAnsi" w:hAnsiTheme="majorHAnsi"/>
          <w:sz w:val="22"/>
          <w:szCs w:val="22"/>
        </w:rPr>
        <w:fldChar w:fldCharType="end"/>
      </w:r>
      <w:r w:rsidRPr="00FA5AA0">
        <w:rPr>
          <w:rFonts w:asciiTheme="majorHAnsi" w:hAnsiTheme="majorHAnsi"/>
          <w:sz w:val="22"/>
          <w:szCs w:val="22"/>
        </w:rPr>
        <w:t xml:space="preserve">.  Adamson and </w:t>
      </w:r>
      <w:proofErr w:type="spellStart"/>
      <w:r w:rsidRPr="00FA5AA0">
        <w:rPr>
          <w:rFonts w:asciiTheme="majorHAnsi" w:hAnsiTheme="majorHAnsi"/>
          <w:sz w:val="22"/>
          <w:szCs w:val="22"/>
        </w:rPr>
        <w:t>Feng</w:t>
      </w:r>
      <w:proofErr w:type="spellEnd"/>
      <w:r w:rsidRPr="00FA5AA0">
        <w:rPr>
          <w:rFonts w:asciiTheme="majorHAnsi" w:hAnsiTheme="majorHAnsi"/>
          <w:sz w:val="22"/>
          <w:szCs w:val="22"/>
        </w:rPr>
        <w:t xml:space="preserve"> write, “The coercive nature of the language policies implemented in Xinjiang suggests that the rhetoric of a collaborative approach to language policies in minority areas uttered at the state level is not always translated into reality at the regional level, when national cohesion is deemed to be at stake” </w:t>
      </w:r>
      <w:r w:rsidRPr="00FA5AA0">
        <w:rPr>
          <w:rFonts w:asciiTheme="majorHAnsi" w:hAnsiTheme="majorHAnsi"/>
          <w:sz w:val="22"/>
          <w:szCs w:val="22"/>
        </w:rPr>
        <w:fldChar w:fldCharType="begin"/>
      </w:r>
      <w:r w:rsidRPr="00FA5AA0">
        <w:rPr>
          <w:rFonts w:asciiTheme="majorHAnsi" w:hAnsiTheme="majorHAnsi"/>
          <w:sz w:val="22"/>
          <w:szCs w:val="22"/>
        </w:rPr>
        <w:instrText xml:space="preserve"> ADDIN ZOTERO_ITEM CSL_CITATION {"citationID":"yo8vc0qT","properties":{"formattedCitation":"{\\rtf (2009, pp. 330\\uc0\\u8211{}331)}","plainCitation":"(2009, pp. 330–331)"},"citationItems":[{"id":62,"uris":["http://zotero.org/users/992731/items/94CETEW9"],"uri":["http://zotero.org/users/992731/items/94CETEW9"],"itemData":{"id":62,"type":"article-journal","title":"A Comparison of Trilingual Education Policies for Ethnic Minorities in China","container-title":"Compare: A Journal of Comparative and International Education","page":"321-333","volume":"39","issue":"3","abstract":"In recent decades, the People's Republic of China (PRC) has instigated language policies in education ostensibly designed to foster trilingualism in ethnic minority groups. The policies, which, as this paper shows, vary from region to region, encompass the minority group's home language, Chinese, and English. Based on data arising from interviews, documentary analysis and secondary sources, this paper examines the tensions behind these trilingual education policies by comparing the implementation of policies for three minority groups: the Zhuang, the Uyghur and the Yi people. It identifies some of the facilitators and barriers that affect the achievement of trilingualism, and finds that ethnic minority languages are at a disadvantage compared with Chinese and English. The paper concludes by making some suggestions for enhancing the effectiveness of the trilingualism policy. (Contains 1 figure.)","note":"Source type: scholarlyjournals; Object type: Report; Object type: Article; CSAUnique: EJ855550; AccNum: EJ855550; ISSN: 0305-7925; Peer Reviewed: true","author":[{"family":"Adamson","given":"Bob"},{"family":"Feng","given":"Anwei"}],"issued":{"date-parts":[["2009",5]]}},"locator":"330-331","suppress-author":true}],"schema":"https://github.com/citation-style-language/schema/raw/master/csl-citation.json"} </w:instrText>
      </w:r>
      <w:r w:rsidRPr="00FA5AA0">
        <w:rPr>
          <w:rFonts w:asciiTheme="majorHAnsi" w:hAnsiTheme="majorHAnsi"/>
          <w:sz w:val="22"/>
          <w:szCs w:val="22"/>
        </w:rPr>
        <w:fldChar w:fldCharType="separate"/>
      </w:r>
      <w:r w:rsidRPr="00FA5AA0">
        <w:rPr>
          <w:rFonts w:asciiTheme="majorHAnsi" w:hAnsiTheme="majorHAnsi"/>
          <w:sz w:val="22"/>
          <w:szCs w:val="22"/>
        </w:rPr>
        <w:t>(2009, pp. 330–331)</w:t>
      </w:r>
      <w:r w:rsidRPr="00FA5AA0">
        <w:rPr>
          <w:rFonts w:asciiTheme="majorHAnsi" w:hAnsiTheme="majorHAnsi"/>
          <w:sz w:val="22"/>
          <w:szCs w:val="22"/>
        </w:rPr>
        <w:fldChar w:fldCharType="end"/>
      </w:r>
      <w:r w:rsidRPr="00FA5AA0">
        <w:rPr>
          <w:rFonts w:asciiTheme="majorHAnsi" w:hAnsiTheme="majorHAnsi"/>
          <w:sz w:val="22"/>
          <w:szCs w:val="22"/>
        </w:rPr>
        <w:t xml:space="preserve">.  </w:t>
      </w:r>
    </w:p>
    <w:p w:rsidR="00FA5AA0" w:rsidRPr="00FA5AA0" w:rsidRDefault="00FA5AA0" w:rsidP="00627031">
      <w:pPr>
        <w:pStyle w:val="NormalIndent"/>
        <w:spacing w:line="240" w:lineRule="auto"/>
        <w:contextualSpacing/>
        <w:rPr>
          <w:rFonts w:asciiTheme="majorHAnsi" w:hAnsiTheme="majorHAnsi"/>
          <w:sz w:val="22"/>
          <w:szCs w:val="22"/>
        </w:rPr>
      </w:pPr>
      <w:r w:rsidRPr="00FA5AA0">
        <w:rPr>
          <w:rFonts w:asciiTheme="majorHAnsi" w:hAnsiTheme="majorHAnsi"/>
          <w:sz w:val="22"/>
          <w:szCs w:val="22"/>
        </w:rPr>
        <w:t xml:space="preserve">At the other extreme is the case of the </w:t>
      </w:r>
      <w:proofErr w:type="spellStart"/>
      <w:r w:rsidRPr="00FA5AA0">
        <w:rPr>
          <w:rFonts w:asciiTheme="majorHAnsi" w:hAnsiTheme="majorHAnsi"/>
          <w:sz w:val="22"/>
          <w:szCs w:val="22"/>
        </w:rPr>
        <w:t>Zhuang</w:t>
      </w:r>
      <w:proofErr w:type="spellEnd"/>
      <w:r w:rsidRPr="00FA5AA0">
        <w:rPr>
          <w:rFonts w:asciiTheme="majorHAnsi" w:hAnsiTheme="majorHAnsi"/>
          <w:sz w:val="22"/>
          <w:szCs w:val="22"/>
        </w:rPr>
        <w:t xml:space="preserve">, a group that Adamson and </w:t>
      </w:r>
      <w:proofErr w:type="spellStart"/>
      <w:r w:rsidRPr="00FA5AA0">
        <w:rPr>
          <w:rFonts w:asciiTheme="majorHAnsi" w:hAnsiTheme="majorHAnsi"/>
          <w:sz w:val="22"/>
          <w:szCs w:val="22"/>
        </w:rPr>
        <w:t>Feng</w:t>
      </w:r>
      <w:proofErr w:type="spellEnd"/>
      <w:r w:rsidRPr="00FA5AA0">
        <w:rPr>
          <w:rFonts w:asciiTheme="majorHAnsi" w:hAnsiTheme="majorHAnsi"/>
          <w:sz w:val="22"/>
          <w:szCs w:val="22"/>
        </w:rPr>
        <w:t xml:space="preserve"> characterize as highly assimilated and “until recently, [demonstrating] little interest in cultural diversity” </w:t>
      </w:r>
      <w:r w:rsidRPr="00FA5AA0">
        <w:rPr>
          <w:rFonts w:asciiTheme="majorHAnsi" w:hAnsiTheme="majorHAnsi"/>
          <w:sz w:val="22"/>
          <w:szCs w:val="22"/>
        </w:rPr>
        <w:fldChar w:fldCharType="begin"/>
      </w:r>
      <w:r w:rsidRPr="00FA5AA0">
        <w:rPr>
          <w:rFonts w:asciiTheme="majorHAnsi" w:hAnsiTheme="majorHAnsi"/>
          <w:sz w:val="22"/>
          <w:szCs w:val="22"/>
        </w:rPr>
        <w:instrText xml:space="preserve"> ADDIN ZOTERO_ITEM CSL_CITATION {"citationID":"gX9qqEPT","properties":{"formattedCitation":"(2009, p. 330)","plainCitation":"(2009, p. 330)"},"citationItems":[{"id":62,"uris":["http://zotero.org/users/992731/items/94CETEW9"],"uri":["http://zotero.org/users/992731/items/94CETEW9"],"itemData":{"id":62,"type":"article-journal","title":"A Comparison of Trilingual Education Policies for Ethnic Minorities in China","container-title":"Compare: A Journal of Comparative and International Education","page":"321-333","volume":"39","issue":"3","abstract":"In recent decades, the People's Republic of China (PRC) has instigated language policies in education ostensibly designed to foster trilingualism in ethnic minority groups. The policies, which, as this paper shows, vary from region to region, encompass the minority group's home language, Chinese, and English. Based on data arising from interviews, documentary analysis and secondary sources, this paper examines the tensions behind these trilingual education policies by comparing the implementation of policies for three minority groups: the Zhuang, the Uyghur and the Yi people. It identifies some of the facilitators and barriers that affect the achievement of trilingualism, and finds that ethnic minority languages are at a disadvantage compared with Chinese and English. The paper concludes by making some suggestions for enhancing the effectiveness of the trilingualism policy. (Contains 1 figure.)","note":"Source type: scholarlyjournals; Object type: Report; Object type: Article; CSAUnique: EJ855550; AccNum: EJ855550; ISSN: 0305-7925; Peer Reviewed: true","author":[{"family":"Adamson","given":"Bob"},{"family":"Feng","given":"Anwei"}],"issued":{"date-parts":[["2009",5]]}},"locator":"330","suppress-author":true}],"schema":"https://github.com/citation-style-language/schema/raw/master/csl-citation.json"} </w:instrText>
      </w:r>
      <w:r w:rsidRPr="00FA5AA0">
        <w:rPr>
          <w:rFonts w:asciiTheme="majorHAnsi" w:hAnsiTheme="majorHAnsi"/>
          <w:sz w:val="22"/>
          <w:szCs w:val="22"/>
        </w:rPr>
        <w:fldChar w:fldCharType="separate"/>
      </w:r>
      <w:r w:rsidRPr="00FA5AA0">
        <w:rPr>
          <w:rFonts w:asciiTheme="majorHAnsi" w:eastAsia="SimSun" w:hAnsiTheme="majorHAnsi"/>
          <w:sz w:val="22"/>
          <w:szCs w:val="22"/>
          <w:lang w:eastAsia="zh-CN"/>
        </w:rPr>
        <w:t>(2009, p. 330)</w:t>
      </w:r>
      <w:r w:rsidRPr="00FA5AA0">
        <w:rPr>
          <w:rFonts w:asciiTheme="majorHAnsi" w:hAnsiTheme="majorHAnsi"/>
          <w:sz w:val="22"/>
          <w:szCs w:val="22"/>
        </w:rPr>
        <w:fldChar w:fldCharType="end"/>
      </w:r>
      <w:r w:rsidRPr="00FA5AA0">
        <w:rPr>
          <w:rFonts w:asciiTheme="majorHAnsi" w:hAnsiTheme="majorHAnsi"/>
          <w:sz w:val="22"/>
          <w:szCs w:val="22"/>
        </w:rPr>
        <w:t xml:space="preserve">.  Adamson and </w:t>
      </w:r>
      <w:proofErr w:type="spellStart"/>
      <w:r w:rsidRPr="00FA5AA0">
        <w:rPr>
          <w:rFonts w:asciiTheme="majorHAnsi" w:hAnsiTheme="majorHAnsi"/>
          <w:sz w:val="22"/>
          <w:szCs w:val="22"/>
        </w:rPr>
        <w:t>Feng</w:t>
      </w:r>
      <w:proofErr w:type="spellEnd"/>
      <w:r w:rsidRPr="00FA5AA0">
        <w:rPr>
          <w:rFonts w:asciiTheme="majorHAnsi" w:hAnsiTheme="majorHAnsi"/>
          <w:sz w:val="22"/>
          <w:szCs w:val="22"/>
        </w:rPr>
        <w:t xml:space="preserve"> argue, in this case, that the prime status accorded to standard Chinese and the lower “vernacular” status accorded to the </w:t>
      </w:r>
      <w:proofErr w:type="spellStart"/>
      <w:r w:rsidRPr="00FA5AA0">
        <w:rPr>
          <w:rFonts w:asciiTheme="majorHAnsi" w:hAnsiTheme="majorHAnsi"/>
          <w:sz w:val="22"/>
          <w:szCs w:val="22"/>
        </w:rPr>
        <w:t>Zhuang</w:t>
      </w:r>
      <w:proofErr w:type="spellEnd"/>
      <w:r w:rsidRPr="00FA5AA0">
        <w:rPr>
          <w:rFonts w:asciiTheme="majorHAnsi" w:hAnsiTheme="majorHAnsi"/>
          <w:sz w:val="22"/>
          <w:szCs w:val="22"/>
        </w:rPr>
        <w:t xml:space="preserve"> language in the curriculum appeared consistent with a consensus (at least as observed in their fieldwork) about the appropriate roles for the languages, although the authors also argue that there is a lack of regional government commitment to “genuinely collaborative” language policies </w:t>
      </w:r>
      <w:r w:rsidRPr="00FA5AA0">
        <w:rPr>
          <w:rFonts w:asciiTheme="majorHAnsi" w:hAnsiTheme="majorHAnsi"/>
          <w:sz w:val="22"/>
          <w:szCs w:val="22"/>
        </w:rPr>
        <w:fldChar w:fldCharType="begin"/>
      </w:r>
      <w:r w:rsidRPr="00FA5AA0">
        <w:rPr>
          <w:rFonts w:asciiTheme="majorHAnsi" w:hAnsiTheme="majorHAnsi"/>
          <w:sz w:val="22"/>
          <w:szCs w:val="22"/>
        </w:rPr>
        <w:instrText xml:space="preserve"> ADDIN ZOTERO_ITEM CSL_CITATION {"citationID":"zSGGgWPg","properties":{"formattedCitation":"(2009, p. 326)","plainCitation":"(2009, p. 326)"},"citationItems":[{"id":62,"uris":["http://zotero.org/users/992731/items/94CETEW9"],"uri":["http://zotero.org/users/992731/items/94CETEW9"],"itemData":{"id":62,"type":"article-journal","title":"A Comparison of Trilingual Education Policies for Ethnic Minorities in China","container-title":"Compare: A Journal of Comparative and International Education","page":"321-333","volume":"39","issue":"3","abstract":"In recent decades, the People's Republic of China (PRC) has instigated language policies in education ostensibly designed to foster trilingualism in ethnic minority groups. The policies, which, as this paper shows, vary from region to region, encompass the minority group's home language, Chinese, and English. Based on data arising from interviews, documentary analysis and secondary sources, this paper examines the tensions behind these trilingual education policies by comparing the implementation of policies for three minority groups: the Zhuang, the Uyghur and the Yi people. It identifies some of the facilitators and barriers that affect the achievement of trilingualism, and finds that ethnic minority languages are at a disadvantage compared with Chinese and English. The paper concludes by making some suggestions for enhancing the effectiveness of the trilingualism policy. (Contains 1 figure.)","note":"Source type: scholarlyjournals; Object type: Report; Object type: Article; CSAUnique: EJ855550; AccNum: EJ855550; ISSN: 0305-7925; Peer Reviewed: true","author":[{"family":"Adamson","given":"Bob"},{"family":"Feng","given":"Anwei"}],"issued":{"date-parts":[["2009",5]]}},"locator":"326","suppress-author":true}],"schema":"https://github.com/citation-style-language/schema/raw/master/csl-citation.json"} </w:instrText>
      </w:r>
      <w:r w:rsidRPr="00FA5AA0">
        <w:rPr>
          <w:rFonts w:asciiTheme="majorHAnsi" w:hAnsiTheme="majorHAnsi"/>
          <w:sz w:val="22"/>
          <w:szCs w:val="22"/>
        </w:rPr>
        <w:fldChar w:fldCharType="separate"/>
      </w:r>
      <w:r w:rsidRPr="00FA5AA0">
        <w:rPr>
          <w:rFonts w:asciiTheme="majorHAnsi" w:eastAsia="SimSun" w:hAnsiTheme="majorHAnsi"/>
          <w:sz w:val="22"/>
          <w:szCs w:val="22"/>
          <w:lang w:eastAsia="zh-CN"/>
        </w:rPr>
        <w:t>(2009, p. 326)</w:t>
      </w:r>
      <w:r w:rsidRPr="00FA5AA0">
        <w:rPr>
          <w:rFonts w:asciiTheme="majorHAnsi" w:hAnsiTheme="majorHAnsi"/>
          <w:sz w:val="22"/>
          <w:szCs w:val="22"/>
        </w:rPr>
        <w:fldChar w:fldCharType="end"/>
      </w:r>
      <w:r w:rsidRPr="00FA5AA0">
        <w:rPr>
          <w:rFonts w:asciiTheme="majorHAnsi" w:hAnsiTheme="majorHAnsi"/>
          <w:sz w:val="22"/>
          <w:szCs w:val="22"/>
        </w:rPr>
        <w:t xml:space="preserve">.  English is offered, by policy, from the third year of primary school, but the predominance of standard Chinese as the language of instruction for English </w:t>
      </w:r>
      <w:proofErr w:type="gramStart"/>
      <w:r w:rsidRPr="00FA5AA0">
        <w:rPr>
          <w:rFonts w:asciiTheme="majorHAnsi" w:hAnsiTheme="majorHAnsi"/>
          <w:sz w:val="22"/>
          <w:szCs w:val="22"/>
        </w:rPr>
        <w:t>classes</w:t>
      </w:r>
      <w:proofErr w:type="gramEnd"/>
      <w:r w:rsidRPr="00FA5AA0">
        <w:rPr>
          <w:rFonts w:asciiTheme="majorHAnsi" w:hAnsiTheme="majorHAnsi"/>
          <w:sz w:val="22"/>
          <w:szCs w:val="22"/>
        </w:rPr>
        <w:t xml:space="preserve"> disadvantages </w:t>
      </w:r>
      <w:proofErr w:type="spellStart"/>
      <w:r w:rsidRPr="00FA5AA0">
        <w:rPr>
          <w:rFonts w:asciiTheme="majorHAnsi" w:hAnsiTheme="majorHAnsi"/>
          <w:sz w:val="22"/>
          <w:szCs w:val="22"/>
        </w:rPr>
        <w:t>Zhuang</w:t>
      </w:r>
      <w:proofErr w:type="spellEnd"/>
      <w:r w:rsidRPr="00FA5AA0">
        <w:rPr>
          <w:rFonts w:asciiTheme="majorHAnsi" w:hAnsiTheme="majorHAnsi"/>
          <w:sz w:val="22"/>
          <w:szCs w:val="22"/>
        </w:rPr>
        <w:t xml:space="preserve"> students.  </w:t>
      </w:r>
    </w:p>
    <w:p w:rsidR="00FA5AA0" w:rsidRPr="00FA5AA0" w:rsidRDefault="00FA5AA0" w:rsidP="00627031">
      <w:pPr>
        <w:pStyle w:val="NormalIndent"/>
        <w:spacing w:line="240" w:lineRule="auto"/>
        <w:contextualSpacing/>
        <w:rPr>
          <w:rFonts w:asciiTheme="majorHAnsi" w:hAnsiTheme="majorHAnsi"/>
          <w:sz w:val="22"/>
          <w:szCs w:val="22"/>
        </w:rPr>
      </w:pPr>
      <w:r w:rsidRPr="00FA5AA0">
        <w:rPr>
          <w:rFonts w:asciiTheme="majorHAnsi" w:hAnsiTheme="majorHAnsi"/>
          <w:sz w:val="22"/>
          <w:szCs w:val="22"/>
        </w:rPr>
        <w:t xml:space="preserve">The challenge of balancing preservation of minority languages against instrumental pressures favoring Chinese, and sometimes English, is a common theme.  In Adamson and </w:t>
      </w:r>
      <w:proofErr w:type="spellStart"/>
      <w:r w:rsidRPr="00FA5AA0">
        <w:rPr>
          <w:rFonts w:asciiTheme="majorHAnsi" w:hAnsiTheme="majorHAnsi"/>
          <w:sz w:val="22"/>
          <w:szCs w:val="22"/>
        </w:rPr>
        <w:t>Feng’s</w:t>
      </w:r>
      <w:proofErr w:type="spellEnd"/>
      <w:r w:rsidRPr="00FA5AA0">
        <w:rPr>
          <w:rFonts w:asciiTheme="majorHAnsi" w:hAnsiTheme="majorHAnsi"/>
          <w:sz w:val="22"/>
          <w:szCs w:val="22"/>
        </w:rPr>
        <w:t xml:space="preserve"> </w:t>
      </w:r>
      <w:r w:rsidRPr="00FA5AA0">
        <w:rPr>
          <w:rFonts w:asciiTheme="majorHAnsi" w:hAnsiTheme="majorHAnsi"/>
          <w:sz w:val="22"/>
          <w:szCs w:val="22"/>
        </w:rPr>
        <w:fldChar w:fldCharType="begin"/>
      </w:r>
      <w:r w:rsidRPr="00FA5AA0">
        <w:rPr>
          <w:rFonts w:asciiTheme="majorHAnsi" w:hAnsiTheme="majorHAnsi"/>
          <w:sz w:val="22"/>
          <w:szCs w:val="22"/>
        </w:rPr>
        <w:instrText xml:space="preserve"> ADDIN ZOTERO_ITEM CSL_CITATION {"citationID":"sPQaGtTt","properties":{"formattedCitation":"(Adamson &amp; Feng, 2009)","plainCitation":"(Adamson &amp; Feng, 2009)"},"citationItems":[{"id":62,"uris":["http://zotero.org/users/992731/items/94CETEW9"],"uri":["http://zotero.org/users/992731/items/94CETEW9"],"itemData":{"id":62,"type":"article-journal","title":"A Comparison of Trilingual Education Policies for Ethnic Minorities in China","container-title":"Compare: A Journal of Comparative and International Education","page":"321-333","volume":"39","issue":"3","abstract":"In recent decades, the People's Republic of China (PRC) has instigated language policies in education ostensibly designed to foster trilingualism in ethnic minority groups. The policies, which, as this paper shows, vary from region to region, encompass the minority group's home language, Chinese, and English. Based on data arising from interviews, documentary analysis and secondary sources, this paper examines the tensions behind these trilingual education policies by comparing the implementation of policies for three minority groups: the Zhuang, the Uyghur and the Yi people. It identifies some of the facilitators and barriers that affect the achievement of trilingualism, and finds that ethnic minority languages are at a disadvantage compared with Chinese and English. The paper concludes by making some suggestions for enhancing the effectiveness of the trilingualism policy. (Contains 1 figure.)","note":"Source type: scholarlyjournals; Object type: Report; Object type: Article; CSAUnique: EJ855550; AccNum: EJ855550; ISSN: 0305-7925; Peer Reviewed: true","author":[{"family":"Adamson","given":"Bob"},{"family":"Feng","given":"Anwei"}],"issued":{"date-parts":[["2009",5]]}}}],"schema":"https://github.com/citation-style-language/schema/raw/master/csl-citation.json"} </w:instrText>
      </w:r>
      <w:r w:rsidRPr="00FA5AA0">
        <w:rPr>
          <w:rFonts w:asciiTheme="majorHAnsi" w:hAnsiTheme="majorHAnsi"/>
          <w:sz w:val="22"/>
          <w:szCs w:val="22"/>
        </w:rPr>
        <w:fldChar w:fldCharType="separate"/>
      </w:r>
      <w:r w:rsidRPr="00FA5AA0">
        <w:rPr>
          <w:rFonts w:asciiTheme="majorHAnsi" w:eastAsia="SimSun" w:hAnsiTheme="majorHAnsi"/>
          <w:sz w:val="22"/>
          <w:szCs w:val="22"/>
          <w:lang w:eastAsia="zh-CN"/>
        </w:rPr>
        <w:t xml:space="preserve">(Adamson &amp; </w:t>
      </w:r>
      <w:proofErr w:type="spellStart"/>
      <w:r w:rsidRPr="00FA5AA0">
        <w:rPr>
          <w:rFonts w:asciiTheme="majorHAnsi" w:eastAsia="SimSun" w:hAnsiTheme="majorHAnsi"/>
          <w:sz w:val="22"/>
          <w:szCs w:val="22"/>
          <w:lang w:eastAsia="zh-CN"/>
        </w:rPr>
        <w:t>Feng</w:t>
      </w:r>
      <w:proofErr w:type="spellEnd"/>
      <w:r w:rsidRPr="00FA5AA0">
        <w:rPr>
          <w:rFonts w:asciiTheme="majorHAnsi" w:eastAsia="SimSun" w:hAnsiTheme="majorHAnsi"/>
          <w:sz w:val="22"/>
          <w:szCs w:val="22"/>
          <w:lang w:eastAsia="zh-CN"/>
        </w:rPr>
        <w:t>, 2009)</w:t>
      </w:r>
      <w:r w:rsidRPr="00FA5AA0">
        <w:rPr>
          <w:rFonts w:asciiTheme="majorHAnsi" w:hAnsiTheme="majorHAnsi"/>
          <w:sz w:val="22"/>
          <w:szCs w:val="22"/>
        </w:rPr>
        <w:fldChar w:fldCharType="end"/>
      </w:r>
      <w:r w:rsidRPr="00FA5AA0">
        <w:rPr>
          <w:rFonts w:asciiTheme="majorHAnsi" w:hAnsiTheme="majorHAnsi"/>
          <w:sz w:val="22"/>
          <w:szCs w:val="22"/>
        </w:rPr>
        <w:t xml:space="preserve"> assessment, the Yi in </w:t>
      </w:r>
      <w:proofErr w:type="spellStart"/>
      <w:r w:rsidRPr="00FA5AA0">
        <w:rPr>
          <w:rFonts w:asciiTheme="majorHAnsi" w:hAnsiTheme="majorHAnsi"/>
          <w:sz w:val="22"/>
          <w:szCs w:val="22"/>
        </w:rPr>
        <w:t>Liangshan</w:t>
      </w:r>
      <w:proofErr w:type="spellEnd"/>
      <w:r w:rsidRPr="00FA5AA0">
        <w:rPr>
          <w:rFonts w:asciiTheme="majorHAnsi" w:hAnsiTheme="majorHAnsi"/>
          <w:sz w:val="22"/>
          <w:szCs w:val="22"/>
        </w:rPr>
        <w:t xml:space="preserve"> Autonomous Prefecture in the Sichuan Province, in an impoverished area of western China, attach high value to maintaining a distinct cultural identity. Yet, Yi stakeholders face the systemic pressure for academic success in standard Chinese in the form of high stakes tests. This situation inhibits the capacity and motivation of teachers to teach the Yi language, and the engagement of some Yi students.  Here, English teaching is characterized as piecemeal.  </w:t>
      </w:r>
      <w:proofErr w:type="spellStart"/>
      <w:r w:rsidRPr="00FA5AA0">
        <w:rPr>
          <w:rFonts w:asciiTheme="majorHAnsi" w:hAnsiTheme="majorHAnsi"/>
          <w:sz w:val="22"/>
          <w:szCs w:val="22"/>
        </w:rPr>
        <w:t>Gao’s</w:t>
      </w:r>
      <w:proofErr w:type="spellEnd"/>
      <w:r w:rsidRPr="00FA5AA0">
        <w:rPr>
          <w:rFonts w:asciiTheme="majorHAnsi" w:hAnsiTheme="majorHAnsi"/>
          <w:sz w:val="22"/>
          <w:szCs w:val="22"/>
        </w:rPr>
        <w:t xml:space="preserve"> </w:t>
      </w:r>
      <w:r w:rsidRPr="00FA5AA0">
        <w:rPr>
          <w:rFonts w:asciiTheme="majorHAnsi" w:hAnsiTheme="majorHAnsi"/>
          <w:sz w:val="22"/>
          <w:szCs w:val="22"/>
        </w:rPr>
        <w:fldChar w:fldCharType="begin"/>
      </w:r>
      <w:r w:rsidRPr="00FA5AA0">
        <w:rPr>
          <w:rFonts w:asciiTheme="majorHAnsi" w:hAnsiTheme="majorHAnsi"/>
          <w:sz w:val="22"/>
          <w:szCs w:val="22"/>
        </w:rPr>
        <w:instrText xml:space="preserve"> ADDIN ZOTERO_ITEM CSL_CITATION {"citationID":"yM8mf5l9","properties":{"formattedCitation":"(2010)","plainCitation":"(2010)"},"citationItems":[{"id":3660,"uris":["http://zotero.org/users/992731/items/A49FVQAB"],"uri":["http://zotero.org/users/992731/items/A49FVQAB"],"itemData":{"id":3660,"type":"article-journal","title":"Bilingual Education Among Ethnic Koreans in China.","container-title":"Chinese Education &amp; Society","page":"82-92","volume":"43","issue":"1","abstract":"The author discusses a study of a bilingual Korean school in China which gives voice to ethnic teachers and provides detailed evidence that the school curriculum in designated schools for ethnic groups in fact ignores their ethnic culture and traditions and gives some attention only to the most pronounced markers of ethnic culture, that is, language. The finding mirrors respective case studies of Mongols and the Naxi. It answers the question why does a system designated to give cultural autonomy fail to gain popularity among non-Han ethnic individuals.","DOI":"Article","ISSN":"10611932","author":[{"family":"Gao","given":"Fang"}],"issued":{"date-parts":[["2010",1]],"season":"Jan"}},"suppress-author":true}],"schema":"https://github.com/citation-style-language/schema/raw/master/csl-citation.json"} </w:instrText>
      </w:r>
      <w:r w:rsidRPr="00FA5AA0">
        <w:rPr>
          <w:rFonts w:asciiTheme="majorHAnsi" w:hAnsiTheme="majorHAnsi"/>
          <w:sz w:val="22"/>
          <w:szCs w:val="22"/>
        </w:rPr>
        <w:fldChar w:fldCharType="separate"/>
      </w:r>
      <w:r w:rsidRPr="00FA5AA0">
        <w:rPr>
          <w:rFonts w:asciiTheme="majorHAnsi" w:eastAsia="SimSun" w:hAnsiTheme="majorHAnsi"/>
          <w:sz w:val="22"/>
          <w:szCs w:val="22"/>
          <w:lang w:eastAsia="zh-CN"/>
        </w:rPr>
        <w:t>(2010)</w:t>
      </w:r>
      <w:r w:rsidRPr="00FA5AA0">
        <w:rPr>
          <w:rFonts w:asciiTheme="majorHAnsi" w:hAnsiTheme="majorHAnsi"/>
          <w:sz w:val="22"/>
          <w:szCs w:val="22"/>
        </w:rPr>
        <w:fldChar w:fldCharType="end"/>
      </w:r>
      <w:r w:rsidRPr="00FA5AA0">
        <w:rPr>
          <w:rFonts w:asciiTheme="majorHAnsi" w:hAnsiTheme="majorHAnsi"/>
          <w:sz w:val="22"/>
          <w:szCs w:val="22"/>
        </w:rPr>
        <w:t xml:space="preserve"> study found certain parallels in a bilingual school in </w:t>
      </w:r>
      <w:proofErr w:type="spellStart"/>
      <w:r w:rsidRPr="00FA5AA0">
        <w:rPr>
          <w:rFonts w:asciiTheme="majorHAnsi" w:hAnsiTheme="majorHAnsi"/>
          <w:sz w:val="22"/>
          <w:szCs w:val="22"/>
        </w:rPr>
        <w:t>Yanbian</w:t>
      </w:r>
      <w:proofErr w:type="spellEnd"/>
      <w:r w:rsidRPr="00FA5AA0">
        <w:rPr>
          <w:rFonts w:asciiTheme="majorHAnsi" w:hAnsiTheme="majorHAnsi"/>
          <w:sz w:val="22"/>
          <w:szCs w:val="22"/>
        </w:rPr>
        <w:t xml:space="preserve"> Korean </w:t>
      </w:r>
      <w:proofErr w:type="spellStart"/>
      <w:r w:rsidRPr="00FA5AA0">
        <w:rPr>
          <w:rFonts w:asciiTheme="majorHAnsi" w:hAnsiTheme="majorHAnsi"/>
          <w:sz w:val="22"/>
          <w:szCs w:val="22"/>
        </w:rPr>
        <w:t>Automous</w:t>
      </w:r>
      <w:proofErr w:type="spellEnd"/>
      <w:r w:rsidRPr="00FA5AA0">
        <w:rPr>
          <w:rFonts w:asciiTheme="majorHAnsi" w:hAnsiTheme="majorHAnsi"/>
          <w:sz w:val="22"/>
          <w:szCs w:val="22"/>
        </w:rPr>
        <w:t xml:space="preserve"> Prefecture, despite dramatic differences in context.  Koreans in </w:t>
      </w:r>
      <w:proofErr w:type="spellStart"/>
      <w:r w:rsidRPr="00FA5AA0">
        <w:rPr>
          <w:rFonts w:asciiTheme="majorHAnsi" w:hAnsiTheme="majorHAnsi"/>
          <w:sz w:val="22"/>
          <w:szCs w:val="22"/>
        </w:rPr>
        <w:t>Yanbian</w:t>
      </w:r>
      <w:proofErr w:type="spellEnd"/>
      <w:r w:rsidRPr="00FA5AA0">
        <w:rPr>
          <w:rFonts w:asciiTheme="majorHAnsi" w:hAnsiTheme="majorHAnsi"/>
          <w:sz w:val="22"/>
          <w:szCs w:val="22"/>
        </w:rPr>
        <w:t xml:space="preserve"> live in the rustbelt </w:t>
      </w:r>
      <w:proofErr w:type="gramStart"/>
      <w:r w:rsidRPr="00FA5AA0">
        <w:rPr>
          <w:rFonts w:asciiTheme="majorHAnsi" w:hAnsiTheme="majorHAnsi"/>
          <w:sz w:val="22"/>
          <w:szCs w:val="22"/>
        </w:rPr>
        <w:t>Northeast</w:t>
      </w:r>
      <w:proofErr w:type="gramEnd"/>
      <w:r w:rsidRPr="00FA5AA0">
        <w:rPr>
          <w:rFonts w:asciiTheme="majorHAnsi" w:hAnsiTheme="majorHAnsi"/>
          <w:sz w:val="22"/>
          <w:szCs w:val="22"/>
        </w:rPr>
        <w:t xml:space="preserve">, an area in the old industrial heartland that was reasonably advantaged prior to the massive shut-downs of state-owned enterprises.  Koreans are a group with a history of very high educational attainment and they are a group whose home language is increasingly an economic asset—relevant to rising cross-border trade with Korea.  Yet, as in the case of the Yi, the author of this study found a strong tension among school teachers themselves between the desire to preserve Korean culture and identity, and the strong push toward promoting a curriculum that would enhance high performance in standard Chinese for test-taking, and thus economic mobility </w:t>
      </w:r>
      <w:r w:rsidRPr="00FA5AA0">
        <w:rPr>
          <w:rFonts w:asciiTheme="majorHAnsi" w:hAnsiTheme="majorHAnsi"/>
          <w:sz w:val="22"/>
          <w:szCs w:val="22"/>
        </w:rPr>
        <w:fldChar w:fldCharType="begin"/>
      </w:r>
      <w:r w:rsidRPr="00FA5AA0">
        <w:rPr>
          <w:rFonts w:asciiTheme="majorHAnsi" w:hAnsiTheme="majorHAnsi"/>
          <w:sz w:val="22"/>
          <w:szCs w:val="22"/>
        </w:rPr>
        <w:instrText xml:space="preserve"> ADDIN ZOTERO_ITEM CSL_CITATION {"citationID":"pCBi280E","properties":{"formattedCitation":"(see also Choi, 2010, p. 172; Gao, 2010)","plainCitation":"(see also Choi, 2010, p. 172; Gao, 2010)"},"citationItems":[{"id":3660,"uris":["http://zotero.org/users/992731/items/A49FVQAB"],"uri":["http://zotero.org/users/992731/items/A49FVQAB"],"itemData":{"id":3660,"type":"article-journal","title":"Bilingual Education Among Ethnic Koreans in China.","container-title":"Chinese Education &amp; Society","page":"82-92","volume":"43","issue":"1","abstract":"The author discusses a study of a bilingual Korean school in China which gives voice to ethnic teachers and provides detailed evidence that the school curriculum in designated schools for ethnic groups in fact ignores their ethnic culture and traditions and gives some attention only to the most pronounced markers of ethnic culture, that is, language. The finding mirrors respective case studies of Mongols and the Naxi. It answers the question why does a system designated to give cultural autonomy fail to gain popularity among non-Han ethnic individuals.","DOI":"Article","ISSN":"10611932","author":[{"family":"Gao","given":"Fang"}],"issued":{"date-parts":[["2010",1]],"season":"Jan"}}},{"id":484,"uris":["http://zotero.org/users/992731/items/QETRQ5VM"],"uri":["http://zotero.org/users/992731/items/QETRQ5VM"],"itemData":{"id":484,"type":"article-journal","title":"Globalization, China’s drive for world-class universities (211 Project) and the challenges of ethnic minority higher education: The case of Yanbian University.","container-title":"Asia Pacific Education Review","page":"169-178","volume":"11","issue":"2","abstract":"This case study of Yanbian University, a Korean minority university in China, examines the challenges faced, strategies employed, and resources mobilized by a minority university in its attempt to become a world-class university. Specifically, this case study focuses on how the University is attempting to reach its goals within the context of the 211 Project, China’s plan to create 100 world-class universities capable of meeting the challenges of the 21st century. The rise of the knowledge economy has resulted in an increased link between economic prosperity and higher education. Thus, higher education reform has explicitly tied higher education to economic development and attempted to transform economic structures by turning the labor force into a highly skilled, technologically competent, educated work force capable of competing in a global economy. The socioeconomic changes that have occurred as a result of globalization and China’s transition to a market economy have also created new imperatives and challenges for higher education institutions, particularly among minority higher education institutions endeavoring to carve out a unique place in China’s higher education landscape. (PsycINFO Database Record (c) 2011 APA, all rights reserved)(journal abstract)","note":"Source type: scholarlyjournals; Object type: Article; Object type: Feature; Copyright: © Education Research Institute, Seoul National University, Seoul, Korea 2010; CSAUnique: PSIN-2011-22317-007; AccNum: 2011-22317-007; DOI: 10.1007/s12564-010-9076-2; ISSN: 1598-1037; ElecISSN: 1876-407X; Peer Reviewed: true","author":[{"family":"Choi","given":"Sheena"}],"issued":{"date-parts":[[2010]]}},"locator":"172","prefix":"see also"}],"schema":"https://github.com/citation-style-language/schema/raw/master/csl-citation.json"} </w:instrText>
      </w:r>
      <w:r w:rsidRPr="00FA5AA0">
        <w:rPr>
          <w:rFonts w:asciiTheme="majorHAnsi" w:hAnsiTheme="majorHAnsi"/>
          <w:sz w:val="22"/>
          <w:szCs w:val="22"/>
        </w:rPr>
        <w:fldChar w:fldCharType="separate"/>
      </w:r>
      <w:r w:rsidRPr="00FA5AA0">
        <w:rPr>
          <w:rFonts w:asciiTheme="majorHAnsi" w:eastAsia="SimSun" w:hAnsiTheme="majorHAnsi"/>
          <w:sz w:val="22"/>
          <w:szCs w:val="22"/>
          <w:lang w:eastAsia="zh-CN"/>
        </w:rPr>
        <w:t>(see also Choi, 2010, p. 172; Gao, 2010)</w:t>
      </w:r>
      <w:r w:rsidRPr="00FA5AA0">
        <w:rPr>
          <w:rFonts w:asciiTheme="majorHAnsi" w:hAnsiTheme="majorHAnsi"/>
          <w:sz w:val="22"/>
          <w:szCs w:val="22"/>
        </w:rPr>
        <w:fldChar w:fldCharType="end"/>
      </w:r>
      <w:r w:rsidRPr="00FA5AA0">
        <w:rPr>
          <w:rFonts w:asciiTheme="majorHAnsi" w:hAnsiTheme="majorHAnsi"/>
          <w:sz w:val="22"/>
          <w:szCs w:val="22"/>
        </w:rPr>
        <w:t>.</w:t>
      </w:r>
      <w:r w:rsidRPr="00FA5AA0">
        <w:rPr>
          <w:rStyle w:val="FootnoteReference"/>
          <w:rFonts w:asciiTheme="majorHAnsi" w:hAnsiTheme="majorHAnsi"/>
          <w:sz w:val="22"/>
          <w:szCs w:val="22"/>
        </w:rPr>
        <w:footnoteReference w:id="9"/>
      </w:r>
    </w:p>
    <w:p w:rsidR="00FA5AA0" w:rsidRPr="00FA5AA0" w:rsidRDefault="00FA5AA0" w:rsidP="00627031">
      <w:pPr>
        <w:pStyle w:val="NormalIndent"/>
        <w:spacing w:line="240" w:lineRule="auto"/>
        <w:contextualSpacing/>
        <w:rPr>
          <w:rFonts w:asciiTheme="majorHAnsi" w:eastAsia="SimSun" w:hAnsiTheme="majorHAnsi"/>
          <w:sz w:val="22"/>
          <w:szCs w:val="22"/>
          <w:lang w:eastAsia="zh-CN"/>
        </w:rPr>
      </w:pPr>
      <w:r w:rsidRPr="00FA5AA0">
        <w:rPr>
          <w:rFonts w:asciiTheme="majorHAnsi" w:eastAsia="SimSun" w:hAnsiTheme="majorHAnsi"/>
          <w:sz w:val="22"/>
          <w:szCs w:val="22"/>
          <w:lang w:eastAsia="zh-CN"/>
        </w:rPr>
        <w:t xml:space="preserve">Adamson and </w:t>
      </w:r>
      <w:proofErr w:type="spellStart"/>
      <w:r w:rsidRPr="00FA5AA0">
        <w:rPr>
          <w:rFonts w:asciiTheme="majorHAnsi" w:eastAsia="SimSun" w:hAnsiTheme="majorHAnsi"/>
          <w:sz w:val="22"/>
          <w:szCs w:val="22"/>
          <w:lang w:eastAsia="zh-CN"/>
        </w:rPr>
        <w:t>Feng</w:t>
      </w:r>
      <w:proofErr w:type="spellEnd"/>
      <w:r w:rsidRPr="00FA5AA0">
        <w:rPr>
          <w:rFonts w:asciiTheme="majorHAnsi" w:eastAsia="SimSun" w:hAnsiTheme="majorHAnsi"/>
          <w:sz w:val="22"/>
          <w:szCs w:val="22"/>
          <w:lang w:eastAsia="zh-CN"/>
        </w:rPr>
        <w:t xml:space="preserve"> </w:t>
      </w:r>
      <w:r w:rsidRPr="00FA5AA0">
        <w:rPr>
          <w:rFonts w:asciiTheme="majorHAnsi" w:hAnsiTheme="majorHAnsi"/>
          <w:sz w:val="22"/>
          <w:szCs w:val="22"/>
        </w:rPr>
        <w:fldChar w:fldCharType="begin"/>
      </w:r>
      <w:r w:rsidRPr="00FA5AA0">
        <w:rPr>
          <w:rFonts w:asciiTheme="majorHAnsi" w:hAnsiTheme="majorHAnsi"/>
          <w:sz w:val="22"/>
          <w:szCs w:val="22"/>
        </w:rPr>
        <w:instrText xml:space="preserve"> ADDIN ZOTERO_ITEM CSL_CITATION {"citationID":"tmcWnAya","properties":{"formattedCitation":"(2009, p. 331)","plainCitation":"(2009, p. 331)"},"citationItems":[{"id":62,"uris":["http://zotero.org/users/992731/items/94CETEW9"],"uri":["http://zotero.org/users/992731/items/94CETEW9"],"itemData":{"id":62,"type":"article-journal","title":"A Comparison of Trilingual Education Policies for Ethnic Minorities in China","container-title":"Compare: A Journal of Comparative and International Education","page":"321-333","volume":"39","issue":"3","abstract":"In recent decades, the People's Republic of China (PRC) has instigated language policies in education ostensibly designed to foster trilingualism in ethnic minority groups. The policies, which, as this paper shows, vary from region to region, encompass the minority group's home language, Chinese, and English. Based on data arising from interviews, documentary analysis and secondary sources, this paper examines the tensions behind these trilingual education policies by comparing the implementation of policies for three minority groups: the Zhuang, the Uyghur and the Yi people. It identifies some of the facilitators and barriers that affect the achievement of trilingualism, and finds that ethnic minority languages are at a disadvantage compared with Chinese and English. The paper concludes by making some suggestions for enhancing the effectiveness of the trilingualism policy. (Contains 1 figure.)","note":"Source type: scholarlyjournals; Object type: Report; Object type: Article; CSAUnique: EJ855550; AccNum: EJ855550; ISSN: 0305-7925; Peer Reviewed: true","author":[{"family":"Adamson","given":"Bob"},{"family":"Feng","given":"Anwei"}],"issued":{"date-parts":[["2009",5]]}},"locator":"331","suppress-author":true}],"schema":"https://github.com/citation-style-language/schema/raw/master/csl-citation.json"} </w:instrText>
      </w:r>
      <w:r w:rsidRPr="00FA5AA0">
        <w:rPr>
          <w:rFonts w:asciiTheme="majorHAnsi" w:hAnsiTheme="majorHAnsi"/>
          <w:sz w:val="22"/>
          <w:szCs w:val="22"/>
        </w:rPr>
        <w:fldChar w:fldCharType="separate"/>
      </w:r>
      <w:r w:rsidRPr="00FA5AA0">
        <w:rPr>
          <w:rFonts w:asciiTheme="majorHAnsi" w:eastAsia="SimSun" w:hAnsiTheme="majorHAnsi"/>
          <w:sz w:val="22"/>
          <w:szCs w:val="22"/>
          <w:lang w:eastAsia="zh-CN"/>
        </w:rPr>
        <w:t>(2009, p. 331)</w:t>
      </w:r>
      <w:r w:rsidRPr="00FA5AA0">
        <w:rPr>
          <w:rFonts w:asciiTheme="majorHAnsi" w:hAnsiTheme="majorHAnsi"/>
          <w:sz w:val="22"/>
          <w:szCs w:val="22"/>
        </w:rPr>
        <w:fldChar w:fldCharType="end"/>
      </w:r>
      <w:r w:rsidRPr="00FA5AA0">
        <w:rPr>
          <w:rFonts w:asciiTheme="majorHAnsi" w:hAnsiTheme="majorHAnsi"/>
          <w:sz w:val="22"/>
          <w:szCs w:val="22"/>
        </w:rPr>
        <w:t xml:space="preserve"> conclude that “additive </w:t>
      </w:r>
      <w:proofErr w:type="spellStart"/>
      <w:r w:rsidRPr="00FA5AA0">
        <w:rPr>
          <w:rFonts w:asciiTheme="majorHAnsi" w:hAnsiTheme="majorHAnsi"/>
          <w:sz w:val="22"/>
          <w:szCs w:val="22"/>
        </w:rPr>
        <w:t>trilingualism</w:t>
      </w:r>
      <w:proofErr w:type="spellEnd"/>
      <w:r w:rsidRPr="00FA5AA0">
        <w:rPr>
          <w:rFonts w:asciiTheme="majorHAnsi" w:hAnsiTheme="majorHAnsi"/>
          <w:sz w:val="22"/>
          <w:szCs w:val="22"/>
        </w:rPr>
        <w:t xml:space="preserve">”, in which the learning of three languages is without mutual detriment, must address “the low social status ascribed to minority languages because of their lack of associated economic and political capital; the high status accorded to standard Chinese and English; reinforced by systemic mechanisms, such as university entrance exams; geopolitical tensions…; and a lack of resources to teach English to the level achieved in more affluent parts of the PRC”.  As Ma </w:t>
      </w:r>
      <w:r w:rsidRPr="00FA5AA0">
        <w:rPr>
          <w:rFonts w:asciiTheme="majorHAnsi" w:hAnsiTheme="majorHAnsi"/>
          <w:sz w:val="22"/>
          <w:szCs w:val="22"/>
        </w:rPr>
        <w:fldChar w:fldCharType="begin"/>
      </w:r>
      <w:r w:rsidRPr="00FA5AA0">
        <w:rPr>
          <w:rFonts w:asciiTheme="majorHAnsi" w:hAnsiTheme="majorHAnsi"/>
          <w:sz w:val="22"/>
          <w:szCs w:val="22"/>
        </w:rPr>
        <w:instrText xml:space="preserve"> ADDIN ZOTERO_ITEM CSL_CITATION {"citationID":"wog1LmPT","properties":{"formattedCitation":"(Ma, 2007, p. 11)","plainCitation":"(Ma, 2007, p. 11)"},"citationItems":[{"id":1762,"uris":["http://zotero.org/users/992731/items/QSPX4T5J"],"uri":["http://zotero.org/users/992731/items/QSPX4T5J"],"itemData":{"id":1762,"type":"article-journal","title":"Bilingual Education for China's Ethnic Minorities","container-title":"Chinese Education and Society","page":"9-25","volume":"40","issue":"2","abstract":"The article refers to research on multilingualism in China and suggests bilingual education for ethnic minorities. Although there are 55 ethnic minorities, the \"lingua franca\" is the Chinese of the Han-Chinese nationality or Mandarin. Two articles in the Chinese constitution and Article 6 of the Compulsory Education Law support a bilingual system of instruction in the local language environment that leads to interethnic use of the common language in the national language environment. Topics include the system of bilingual education in the Tibetan Autonomous Region, which also has dialects and minority languages, and the potential loss of the Mongolian language.","note":"M3: Article; Accession Number: 25796235; Ma Rong 1; Affiliation: 1: Chair Professor and Dean of Department of Sociology, Peking University; Source Info: Mar/Apr2007, Vol. 40 Issue 2, p9; Subject Term: ETHNOLINGUISTIC groups; Subject Term: CHINA – Social conditions – 2000-; Subject Term: LANGUAGE policy; Subject Term: EDUCATION, Bilingual; Subject Term: NATIVE language &amp; education; Subject Term: CHINESE language – Dialects; Subject Term: MULTICULTURALISM; Subject Term: LANGUAGE &amp; culture; Subject Term: CHINA; Number of Pages: 17p; Illustrations: 1 diagram; Document Type: Article","author":[{"family":"Ma","given":"Rong"}],"issued":{"date-parts":[[2007]]}},"locator":"11"}],"schema":"https://github.com/citation-style-language/schema/raw/master/csl-citation.json"} </w:instrText>
      </w:r>
      <w:r w:rsidRPr="00FA5AA0">
        <w:rPr>
          <w:rFonts w:asciiTheme="majorHAnsi" w:hAnsiTheme="majorHAnsi"/>
          <w:sz w:val="22"/>
          <w:szCs w:val="22"/>
        </w:rPr>
        <w:fldChar w:fldCharType="separate"/>
      </w:r>
      <w:r w:rsidRPr="00FA5AA0">
        <w:rPr>
          <w:rFonts w:asciiTheme="majorHAnsi" w:eastAsia="SimSun" w:hAnsiTheme="majorHAnsi"/>
          <w:sz w:val="22"/>
          <w:szCs w:val="22"/>
          <w:lang w:eastAsia="zh-CN"/>
        </w:rPr>
        <w:t>( 2007, p. 11)</w:t>
      </w:r>
      <w:r w:rsidRPr="00FA5AA0">
        <w:rPr>
          <w:rFonts w:asciiTheme="majorHAnsi" w:hAnsiTheme="majorHAnsi"/>
          <w:sz w:val="22"/>
          <w:szCs w:val="22"/>
        </w:rPr>
        <w:fldChar w:fldCharType="end"/>
      </w:r>
      <w:r w:rsidRPr="00FA5AA0">
        <w:rPr>
          <w:rFonts w:asciiTheme="majorHAnsi" w:hAnsiTheme="majorHAnsi"/>
          <w:sz w:val="22"/>
          <w:szCs w:val="22"/>
        </w:rPr>
        <w:t xml:space="preserve"> observes, the low perceived value of minority languages in general is reflected in the low number of Han people who learn minority languages, even where those languages are considered official languages.  </w:t>
      </w:r>
      <w:r w:rsidRPr="00FA5AA0">
        <w:rPr>
          <w:rFonts w:asciiTheme="majorHAnsi" w:eastAsia="SimSun" w:hAnsiTheme="majorHAnsi"/>
          <w:sz w:val="22"/>
          <w:szCs w:val="22"/>
          <w:lang w:eastAsia="zh-CN"/>
        </w:rPr>
        <w:t>Language policy can be linked very directly to issues of equity.  Standard Chinese and, increasingly, English are key to the strong test performance necessary for promotion in the Chinese educational system and for economic mobility.</w:t>
      </w:r>
      <w:r w:rsidRPr="00FA5AA0">
        <w:rPr>
          <w:rStyle w:val="FootnoteReference"/>
          <w:rFonts w:asciiTheme="majorHAnsi" w:hAnsiTheme="majorHAnsi"/>
          <w:sz w:val="22"/>
          <w:szCs w:val="22"/>
        </w:rPr>
        <w:footnoteReference w:id="10"/>
      </w:r>
      <w:r w:rsidRPr="00FA5AA0">
        <w:rPr>
          <w:rFonts w:asciiTheme="majorHAnsi" w:eastAsia="SimSun" w:hAnsiTheme="majorHAnsi"/>
          <w:sz w:val="22"/>
          <w:szCs w:val="22"/>
          <w:lang w:eastAsia="zh-CN"/>
        </w:rPr>
        <w:t xml:space="preserve">  </w:t>
      </w:r>
    </w:p>
    <w:p w:rsidR="00FA5AA0" w:rsidRPr="00FA5AA0" w:rsidRDefault="00FA5AA0" w:rsidP="00627031">
      <w:pPr>
        <w:pStyle w:val="NormalIndent"/>
        <w:spacing w:line="240" w:lineRule="auto"/>
        <w:contextualSpacing/>
        <w:rPr>
          <w:rFonts w:asciiTheme="majorHAnsi" w:eastAsia="SimSun" w:hAnsiTheme="majorHAnsi"/>
          <w:sz w:val="22"/>
          <w:szCs w:val="22"/>
          <w:lang w:eastAsia="zh-CN"/>
        </w:rPr>
      </w:pPr>
    </w:p>
    <w:p w:rsidR="00FA5AA0" w:rsidRPr="00FA5AA0" w:rsidRDefault="00FA5AA0" w:rsidP="00627031">
      <w:pPr>
        <w:pStyle w:val="Heading2"/>
        <w:spacing w:line="240" w:lineRule="auto"/>
        <w:contextualSpacing/>
        <w:rPr>
          <w:rFonts w:asciiTheme="majorHAnsi" w:hAnsiTheme="majorHAnsi"/>
          <w:sz w:val="22"/>
          <w:szCs w:val="22"/>
        </w:rPr>
      </w:pPr>
      <w:r w:rsidRPr="00FA5AA0">
        <w:rPr>
          <w:rFonts w:asciiTheme="majorHAnsi" w:hAnsiTheme="majorHAnsi"/>
          <w:sz w:val="22"/>
          <w:szCs w:val="22"/>
        </w:rPr>
        <w:t>Education and Ethnic Identity</w:t>
      </w:r>
    </w:p>
    <w:p w:rsidR="00FA5AA0" w:rsidRPr="00FA5AA0" w:rsidRDefault="00FA5AA0" w:rsidP="00627031">
      <w:pPr>
        <w:pStyle w:val="Heading3"/>
        <w:spacing w:line="240" w:lineRule="auto"/>
        <w:contextualSpacing/>
        <w:rPr>
          <w:rFonts w:asciiTheme="majorHAnsi" w:hAnsiTheme="majorHAnsi"/>
          <w:sz w:val="22"/>
          <w:szCs w:val="22"/>
        </w:rPr>
      </w:pPr>
      <w:r w:rsidRPr="00FA5AA0">
        <w:rPr>
          <w:rFonts w:asciiTheme="majorHAnsi" w:hAnsiTheme="majorHAnsi"/>
          <w:sz w:val="22"/>
          <w:szCs w:val="22"/>
        </w:rPr>
        <w:t>The “Civilizing Project” of the State</w:t>
      </w:r>
    </w:p>
    <w:p w:rsidR="00FA5AA0" w:rsidRPr="00FA5AA0" w:rsidRDefault="00FA5AA0" w:rsidP="00627031">
      <w:pPr>
        <w:pStyle w:val="NormalIndent"/>
        <w:spacing w:line="240" w:lineRule="auto"/>
        <w:contextualSpacing/>
        <w:rPr>
          <w:rFonts w:asciiTheme="majorHAnsi" w:hAnsiTheme="majorHAnsi"/>
          <w:sz w:val="22"/>
          <w:szCs w:val="22"/>
        </w:rPr>
      </w:pPr>
      <w:r w:rsidRPr="00FA5AA0">
        <w:rPr>
          <w:rFonts w:asciiTheme="majorHAnsi" w:hAnsiTheme="majorHAnsi"/>
          <w:sz w:val="22"/>
          <w:szCs w:val="22"/>
        </w:rPr>
        <w:t xml:space="preserve">As </w:t>
      </w:r>
      <w:proofErr w:type="spellStart"/>
      <w:r w:rsidRPr="00FA5AA0">
        <w:rPr>
          <w:rFonts w:asciiTheme="majorHAnsi" w:hAnsiTheme="majorHAnsi"/>
          <w:sz w:val="22"/>
          <w:szCs w:val="22"/>
        </w:rPr>
        <w:t>Postiglione</w:t>
      </w:r>
      <w:proofErr w:type="spellEnd"/>
      <w:r w:rsidRPr="00FA5AA0">
        <w:rPr>
          <w:rFonts w:asciiTheme="majorHAnsi" w:hAnsiTheme="majorHAnsi"/>
          <w:sz w:val="22"/>
          <w:szCs w:val="22"/>
        </w:rPr>
        <w:t xml:space="preserve"> </w:t>
      </w:r>
      <w:r w:rsidRPr="00FA5AA0">
        <w:rPr>
          <w:rFonts w:asciiTheme="majorHAnsi" w:hAnsiTheme="majorHAnsi"/>
          <w:sz w:val="22"/>
          <w:szCs w:val="22"/>
        </w:rPr>
        <w:fldChar w:fldCharType="begin"/>
      </w:r>
      <w:r w:rsidRPr="00FA5AA0">
        <w:rPr>
          <w:rFonts w:asciiTheme="majorHAnsi" w:hAnsiTheme="majorHAnsi"/>
          <w:sz w:val="22"/>
          <w:szCs w:val="22"/>
        </w:rPr>
        <w:instrText xml:space="preserve"> ADDIN ZOTERO_ITEM CSL_CITATION {"citationID":"UMwFii3E","properties":{"formattedCitation":"(2009, p. 5)","plainCitation":"(2009, p. 5)"},"citationItems":[{"id":3684,"uris":["http://zotero.org/users/992731/items/AHBS4KF7"],"uri":["http://zotero.org/users/992731/items/AHBS4KF7"],"itemData":{"id":3684,"type":"chapter","title":"Education of Ethnic Groups in China","container-title":"The Routledge International Companion to Multicultural Education","publisher":"Routledge","publisher-place":"New York and London","page":"501-511","event-place":"New York and London","URL":"http://www0.hku.hk/chinaed/papers/Prof.%20G.A.%20Postiglione/The_Education_of_Ethnic_Minority_Groups_in_China.doc","author":[{"family":"Postiglione","given":"Gerard"}],"editor":[{"family":"Banks","given":"James"}],"issued":{"date-parts":[[2009]]},"accessed":{"date-parts":[[2012,5,6]]}},"locator":"5","suppress-author":true}],"schema":"https://github.com/citation-style-language/schema/raw/master/csl-citation.json"} </w:instrText>
      </w:r>
      <w:r w:rsidRPr="00FA5AA0">
        <w:rPr>
          <w:rFonts w:asciiTheme="majorHAnsi" w:hAnsiTheme="majorHAnsi"/>
          <w:sz w:val="22"/>
          <w:szCs w:val="22"/>
        </w:rPr>
        <w:fldChar w:fldCharType="separate"/>
      </w:r>
      <w:r w:rsidRPr="00FA5AA0">
        <w:rPr>
          <w:rFonts w:asciiTheme="majorHAnsi" w:eastAsia="SimSun" w:hAnsiTheme="majorHAnsi"/>
          <w:sz w:val="22"/>
          <w:szCs w:val="22"/>
          <w:lang w:eastAsia="zh-CN"/>
        </w:rPr>
        <w:t>(2009, p. 5)</w:t>
      </w:r>
      <w:r w:rsidRPr="00FA5AA0">
        <w:rPr>
          <w:rFonts w:asciiTheme="majorHAnsi" w:hAnsiTheme="majorHAnsi"/>
          <w:sz w:val="22"/>
          <w:szCs w:val="22"/>
        </w:rPr>
        <w:fldChar w:fldCharType="end"/>
      </w:r>
      <w:r w:rsidRPr="00FA5AA0">
        <w:rPr>
          <w:rFonts w:asciiTheme="majorHAnsi" w:hAnsiTheme="majorHAnsi"/>
          <w:sz w:val="22"/>
          <w:szCs w:val="22"/>
        </w:rPr>
        <w:t xml:space="preserve"> writes, “…the extent to which schools in China create an atmosphere that has positive institutional norms toward diverse cultural groups is limited by notions of cultural backwardness.”  A significant line of research in English is grounded in this observation.  Drawing on critical anthropological and sociological perspectives, much of this work focuses on the ideological objectives of the state, and their impact on students.  </w:t>
      </w:r>
    </w:p>
    <w:p w:rsidR="00FA5AA0" w:rsidRPr="00FA5AA0" w:rsidRDefault="00FA5AA0" w:rsidP="00627031">
      <w:pPr>
        <w:pStyle w:val="NormalIndent"/>
        <w:spacing w:line="240" w:lineRule="auto"/>
        <w:contextualSpacing/>
        <w:rPr>
          <w:rFonts w:asciiTheme="majorHAnsi" w:hAnsiTheme="majorHAnsi"/>
          <w:sz w:val="22"/>
          <w:szCs w:val="22"/>
        </w:rPr>
      </w:pPr>
      <w:r w:rsidRPr="00FA5AA0">
        <w:rPr>
          <w:rFonts w:asciiTheme="majorHAnsi" w:hAnsiTheme="majorHAnsi"/>
          <w:sz w:val="22"/>
          <w:szCs w:val="22"/>
        </w:rPr>
        <w:t xml:space="preserve">Citing </w:t>
      </w:r>
      <w:proofErr w:type="spellStart"/>
      <w:r w:rsidRPr="00FA5AA0">
        <w:rPr>
          <w:rFonts w:asciiTheme="majorHAnsi" w:hAnsiTheme="majorHAnsi"/>
          <w:sz w:val="22"/>
          <w:szCs w:val="22"/>
        </w:rPr>
        <w:t>Stevan</w:t>
      </w:r>
      <w:proofErr w:type="spellEnd"/>
      <w:r w:rsidRPr="00FA5AA0">
        <w:rPr>
          <w:rFonts w:asciiTheme="majorHAnsi" w:hAnsiTheme="majorHAnsi"/>
          <w:sz w:val="22"/>
          <w:szCs w:val="22"/>
        </w:rPr>
        <w:t xml:space="preserve"> Harrell’s work, many of the English-language publications on ethnicity and education refer to education as an element of the “Civilizing Projects” of the Chinese State </w:t>
      </w:r>
      <w:r w:rsidRPr="00FA5AA0">
        <w:rPr>
          <w:rFonts w:asciiTheme="majorHAnsi" w:hAnsiTheme="majorHAnsi"/>
          <w:sz w:val="22"/>
          <w:szCs w:val="22"/>
        </w:rPr>
        <w:fldChar w:fldCharType="begin"/>
      </w:r>
      <w:r w:rsidRPr="00FA5AA0">
        <w:rPr>
          <w:rFonts w:asciiTheme="majorHAnsi" w:hAnsiTheme="majorHAnsi"/>
          <w:sz w:val="22"/>
          <w:szCs w:val="22"/>
        </w:rPr>
        <w:instrText xml:space="preserve"> ADDIN ZOTERO_ITEM CSL_CITATION {"citationID":"bmQr6Dmr","properties":{"formattedCitation":"(Harrell 1995)","plainCitation":"(Harrell 1995)","dontUpdate":true},"citationItems":[{"id":3594,"uris":["http://zotero.org/users/992731/items/9PQH3TAB"],"uri":["http://zotero.org/users/992731/items/9PQH3TAB"],"itemData":{"id":3594,"type":"book","title":"Cultural encounters on China's ethnic frontiers","publisher":"University of Washington Press","publisher-place":"Seattle","event-place":"Seattle","URL":"http://www.questia.com/PM.qst?a=o&amp;d=98083170","editor":[{"family":"Harrell","given":"Stevan"}],"issued":{"year":1995},"accessed":{"year":2012,"month":4,"day":27}}}],"schema":"https://github.com/citation-style-language/schema/raw/master/csl-citation.json"} </w:instrText>
      </w:r>
      <w:r w:rsidRPr="00FA5AA0">
        <w:rPr>
          <w:rFonts w:asciiTheme="majorHAnsi" w:hAnsiTheme="majorHAnsi"/>
          <w:sz w:val="22"/>
          <w:szCs w:val="22"/>
        </w:rPr>
        <w:fldChar w:fldCharType="separate"/>
      </w:r>
      <w:r w:rsidRPr="00FA5AA0">
        <w:rPr>
          <w:rFonts w:asciiTheme="majorHAnsi" w:hAnsiTheme="majorHAnsi"/>
          <w:sz w:val="22"/>
          <w:szCs w:val="22"/>
        </w:rPr>
        <w:t>(Harrell 1995, p. 3)</w:t>
      </w:r>
      <w:r w:rsidRPr="00FA5AA0">
        <w:rPr>
          <w:rFonts w:asciiTheme="majorHAnsi" w:hAnsiTheme="majorHAnsi"/>
          <w:sz w:val="22"/>
          <w:szCs w:val="22"/>
        </w:rPr>
        <w:fldChar w:fldCharType="end"/>
      </w:r>
      <w:r w:rsidRPr="00FA5AA0">
        <w:rPr>
          <w:rFonts w:asciiTheme="majorHAnsi" w:hAnsiTheme="majorHAnsi"/>
          <w:sz w:val="22"/>
          <w:szCs w:val="22"/>
        </w:rPr>
        <w:t>.  As Hansen notes, “…through the state educational system, the Chinese government transmits its ideology of the nation and of the relationships among the peoples in China who have come to be categorized into static ethnic groups.  Education of minorities plays a central role in implicitly reproducing notions of cultural inequality while explicitly promoting [ethnic unity (</w:t>
      </w:r>
      <w:proofErr w:type="spellStart"/>
      <w:r w:rsidRPr="00FA5AA0">
        <w:rPr>
          <w:rFonts w:asciiTheme="majorHAnsi" w:hAnsiTheme="majorHAnsi"/>
          <w:i/>
          <w:sz w:val="22"/>
          <w:szCs w:val="22"/>
        </w:rPr>
        <w:t>minzu</w:t>
      </w:r>
      <w:proofErr w:type="spellEnd"/>
      <w:r w:rsidRPr="00FA5AA0">
        <w:rPr>
          <w:rFonts w:asciiTheme="majorHAnsi" w:hAnsiTheme="majorHAnsi"/>
          <w:i/>
          <w:sz w:val="22"/>
          <w:szCs w:val="22"/>
        </w:rPr>
        <w:t xml:space="preserve"> </w:t>
      </w:r>
      <w:proofErr w:type="spellStart"/>
      <w:r w:rsidRPr="00FA5AA0">
        <w:rPr>
          <w:rFonts w:asciiTheme="majorHAnsi" w:hAnsiTheme="majorHAnsi"/>
          <w:i/>
          <w:sz w:val="22"/>
          <w:szCs w:val="22"/>
        </w:rPr>
        <w:t>tuanjie</w:t>
      </w:r>
      <w:proofErr w:type="spellEnd"/>
      <w:r w:rsidRPr="00FA5AA0">
        <w:rPr>
          <w:rFonts w:asciiTheme="majorHAnsi" w:hAnsiTheme="majorHAnsi"/>
          <w:sz w:val="22"/>
          <w:szCs w:val="22"/>
        </w:rPr>
        <w:t xml:space="preserve">, </w:t>
      </w:r>
      <w:proofErr w:type="spellStart"/>
      <w:r w:rsidRPr="00FA5AA0">
        <w:rPr>
          <w:rFonts w:asciiTheme="majorHAnsi" w:hAnsiTheme="majorHAnsi"/>
          <w:sz w:val="22"/>
          <w:szCs w:val="22"/>
        </w:rPr>
        <w:t>民族团结</w:t>
      </w:r>
      <w:proofErr w:type="spellEnd"/>
      <w:r w:rsidRPr="00FA5AA0">
        <w:rPr>
          <w:rFonts w:asciiTheme="majorHAnsi" w:hAnsiTheme="majorHAnsi"/>
          <w:sz w:val="22"/>
          <w:szCs w:val="22"/>
        </w:rPr>
        <w:t xml:space="preserve">)]” </w:t>
      </w:r>
      <w:r w:rsidRPr="00FA5AA0">
        <w:rPr>
          <w:rFonts w:asciiTheme="majorHAnsi" w:hAnsiTheme="majorHAnsi"/>
          <w:sz w:val="22"/>
          <w:szCs w:val="22"/>
        </w:rPr>
        <w:fldChar w:fldCharType="begin"/>
      </w:r>
      <w:r w:rsidRPr="00FA5AA0">
        <w:rPr>
          <w:rFonts w:asciiTheme="majorHAnsi" w:hAnsiTheme="majorHAnsi"/>
          <w:sz w:val="22"/>
          <w:szCs w:val="22"/>
        </w:rPr>
        <w:instrText xml:space="preserve"> ADDIN ZOTERO_ITEM CSL_CITATION {"citationID":"lTubsxWy","properties":{"formattedCitation":"(Hansen, 1999)","plainCitation":"(Hansen, 1999)"},"citationItems":[{"id":1087,"uris":["http://zotero.org/users/992731/items/B9TANDIM"],"uri":["http://zotero.org/users/992731/items/B9TANDIM"],"itemData":{"id":1087,"type":"book","title":"Lessons in Being Chinese: Minority Education and Ethnic Identity in Southwest China","publisher":"University of Washington Press","author":[{"family":"Hansen","given":"M. H."}],"issued":{"date-parts":[[1999]]}}}],"schema":"https://github.com/citation-style-language/schema/raw/master/csl-citation.json"} </w:instrText>
      </w:r>
      <w:r w:rsidRPr="00FA5AA0">
        <w:rPr>
          <w:rFonts w:asciiTheme="majorHAnsi" w:hAnsiTheme="majorHAnsi"/>
          <w:sz w:val="22"/>
          <w:szCs w:val="22"/>
        </w:rPr>
        <w:fldChar w:fldCharType="separate"/>
      </w:r>
      <w:r w:rsidRPr="00FA5AA0">
        <w:rPr>
          <w:rFonts w:asciiTheme="majorHAnsi" w:eastAsia="SimSun" w:hAnsiTheme="majorHAnsi"/>
          <w:sz w:val="22"/>
          <w:szCs w:val="22"/>
          <w:lang w:eastAsia="zh-CN"/>
        </w:rPr>
        <w:t>(Hansen, 1999)</w:t>
      </w:r>
      <w:r w:rsidRPr="00FA5AA0">
        <w:rPr>
          <w:rFonts w:asciiTheme="majorHAnsi" w:hAnsiTheme="majorHAnsi"/>
          <w:sz w:val="22"/>
          <w:szCs w:val="22"/>
        </w:rPr>
        <w:fldChar w:fldCharType="end"/>
      </w:r>
      <w:r w:rsidRPr="00FA5AA0">
        <w:rPr>
          <w:rFonts w:asciiTheme="majorHAnsi" w:hAnsiTheme="majorHAnsi"/>
          <w:sz w:val="22"/>
          <w:szCs w:val="22"/>
        </w:rPr>
        <w:t xml:space="preserve">.  Minorities are taught the names of the groups to which they belong, and the implications of belonging to that group, versus the Han majority, as indisputable, scientific facts </w:t>
      </w:r>
      <w:r w:rsidRPr="00FA5AA0">
        <w:rPr>
          <w:rFonts w:asciiTheme="majorHAnsi" w:hAnsiTheme="majorHAnsi"/>
          <w:sz w:val="22"/>
          <w:szCs w:val="22"/>
        </w:rPr>
        <w:fldChar w:fldCharType="begin"/>
      </w:r>
      <w:r w:rsidRPr="00FA5AA0">
        <w:rPr>
          <w:rFonts w:asciiTheme="majorHAnsi" w:hAnsiTheme="majorHAnsi"/>
          <w:sz w:val="22"/>
          <w:szCs w:val="22"/>
        </w:rPr>
        <w:instrText xml:space="preserve"> ADDIN ZOTERO_ITEM CSL_CITATION {"citationID":"MzoA8k84","properties":{"formattedCitation":"(Hansen, 1999)","plainCitation":"(Hansen, 1999)"},"citationItems":[{"id":1087,"uris":["http://zotero.org/users/992731/items/B9TANDIM"],"uri":["http://zotero.org/users/992731/items/B9TANDIM"],"itemData":{"id":1087,"type":"book","title":"Lessons in Being Chinese: Minority Education and Ethnic Identity in Southwest China","publisher":"University of Washington Press","author":[{"family":"Hansen","given":"M. H."}],"issued":{"date-parts":[[1999]]}}}],"schema":"https://github.com/citation-style-language/schema/raw/master/csl-citation.json"} </w:instrText>
      </w:r>
      <w:r w:rsidRPr="00FA5AA0">
        <w:rPr>
          <w:rFonts w:asciiTheme="majorHAnsi" w:hAnsiTheme="majorHAnsi"/>
          <w:sz w:val="22"/>
          <w:szCs w:val="22"/>
        </w:rPr>
        <w:fldChar w:fldCharType="separate"/>
      </w:r>
      <w:r w:rsidRPr="00FA5AA0">
        <w:rPr>
          <w:rFonts w:asciiTheme="majorHAnsi" w:eastAsia="SimSun" w:hAnsiTheme="majorHAnsi"/>
          <w:sz w:val="22"/>
          <w:szCs w:val="22"/>
          <w:lang w:eastAsia="zh-CN"/>
        </w:rPr>
        <w:t>(Hansen, 1999)</w:t>
      </w:r>
      <w:r w:rsidRPr="00FA5AA0">
        <w:rPr>
          <w:rFonts w:asciiTheme="majorHAnsi" w:hAnsiTheme="majorHAnsi"/>
          <w:sz w:val="22"/>
          <w:szCs w:val="22"/>
        </w:rPr>
        <w:fldChar w:fldCharType="end"/>
      </w:r>
      <w:r w:rsidRPr="00FA5AA0">
        <w:rPr>
          <w:rFonts w:asciiTheme="majorHAnsi" w:hAnsiTheme="majorHAnsi"/>
          <w:sz w:val="22"/>
          <w:szCs w:val="22"/>
        </w:rPr>
        <w:t xml:space="preserve">.  They learn that minorities were “backward” at the time of liberation, relative to the Han majority, in economy and culture, and that the CCP helped them to develop so that they could live in a multi-ethnic socialist society, and they also learn ancient history that highlights common ties to the Chinese </w:t>
      </w:r>
      <w:r w:rsidRPr="00FA5AA0">
        <w:rPr>
          <w:rFonts w:asciiTheme="majorHAnsi" w:hAnsiTheme="majorHAnsi"/>
          <w:sz w:val="22"/>
          <w:szCs w:val="22"/>
        </w:rPr>
        <w:fldChar w:fldCharType="begin"/>
      </w:r>
      <w:r w:rsidRPr="00FA5AA0">
        <w:rPr>
          <w:rFonts w:asciiTheme="majorHAnsi" w:hAnsiTheme="majorHAnsi"/>
          <w:sz w:val="22"/>
          <w:szCs w:val="22"/>
        </w:rPr>
        <w:instrText xml:space="preserve"> ADDIN ZOTERO_ITEM CSL_CITATION {"citationID":"ekl6RTiT","properties":{"formattedCitation":"(Hansen, 1999)","plainCitation":"(Hansen, 1999)"},"citationItems":[{"id":1087,"uris":["http://zotero.org/users/992731/items/B9TANDIM"],"uri":["http://zotero.org/users/992731/items/B9TANDIM"],"itemData":{"id":1087,"type":"book","title":"Lessons in Being Chinese: Minority Education and Ethnic Identity in Southwest China","publisher":"University of Washington Press","author":[{"family":"Hansen","given":"M. H."}],"issued":{"date-parts":[[1999]]}}}],"schema":"https://github.com/citation-style-language/schema/raw/master/csl-citation.json"} </w:instrText>
      </w:r>
      <w:r w:rsidRPr="00FA5AA0">
        <w:rPr>
          <w:rFonts w:asciiTheme="majorHAnsi" w:hAnsiTheme="majorHAnsi"/>
          <w:sz w:val="22"/>
          <w:szCs w:val="22"/>
        </w:rPr>
        <w:fldChar w:fldCharType="separate"/>
      </w:r>
      <w:r w:rsidRPr="00FA5AA0">
        <w:rPr>
          <w:rFonts w:asciiTheme="majorHAnsi" w:eastAsia="SimSun" w:hAnsiTheme="majorHAnsi"/>
          <w:sz w:val="22"/>
          <w:szCs w:val="22"/>
          <w:lang w:eastAsia="zh-CN"/>
        </w:rPr>
        <w:t>(Hansen, 1999)</w:t>
      </w:r>
      <w:r w:rsidRPr="00FA5AA0">
        <w:rPr>
          <w:rFonts w:asciiTheme="majorHAnsi" w:hAnsiTheme="majorHAnsi"/>
          <w:sz w:val="22"/>
          <w:szCs w:val="22"/>
        </w:rPr>
        <w:fldChar w:fldCharType="end"/>
      </w:r>
      <w:r w:rsidRPr="00FA5AA0">
        <w:rPr>
          <w:rFonts w:asciiTheme="majorHAnsi" w:hAnsiTheme="majorHAnsi"/>
          <w:sz w:val="22"/>
          <w:szCs w:val="22"/>
        </w:rPr>
        <w:t xml:space="preserve">.  Schools take as an explicit goal to “enhance the cultural quality”—to civilize—minority populations (160).  </w:t>
      </w:r>
    </w:p>
    <w:p w:rsidR="00FA5AA0" w:rsidRPr="00FA5AA0" w:rsidRDefault="00FA5AA0" w:rsidP="00627031">
      <w:pPr>
        <w:pStyle w:val="NormalIndent"/>
        <w:spacing w:line="240" w:lineRule="auto"/>
        <w:contextualSpacing/>
        <w:rPr>
          <w:rFonts w:asciiTheme="majorHAnsi" w:hAnsiTheme="majorHAnsi"/>
          <w:sz w:val="22"/>
          <w:szCs w:val="22"/>
          <w:lang w:eastAsia="zh-CN"/>
        </w:rPr>
      </w:pPr>
      <w:r w:rsidRPr="00FA5AA0">
        <w:rPr>
          <w:rFonts w:asciiTheme="majorHAnsi" w:hAnsiTheme="majorHAnsi"/>
          <w:sz w:val="22"/>
          <w:szCs w:val="22"/>
        </w:rPr>
        <w:t xml:space="preserve">More recent work focusing on boarding schools for minority children has taken up this theme.  </w:t>
      </w:r>
      <w:proofErr w:type="spellStart"/>
      <w:r w:rsidRPr="00FA5AA0">
        <w:rPr>
          <w:rFonts w:asciiTheme="majorHAnsi" w:hAnsiTheme="majorHAnsi"/>
          <w:sz w:val="22"/>
          <w:szCs w:val="22"/>
        </w:rPr>
        <w:t>Zhiyong</w:t>
      </w:r>
      <w:proofErr w:type="spellEnd"/>
      <w:r w:rsidRPr="00FA5AA0">
        <w:rPr>
          <w:rFonts w:asciiTheme="majorHAnsi" w:hAnsiTheme="majorHAnsi"/>
          <w:sz w:val="22"/>
          <w:szCs w:val="22"/>
        </w:rPr>
        <w:t xml:space="preserve"> Zhu’s </w:t>
      </w:r>
      <w:r w:rsidRPr="00FA5AA0">
        <w:rPr>
          <w:rFonts w:asciiTheme="majorHAnsi" w:hAnsiTheme="majorHAnsi"/>
          <w:sz w:val="22"/>
          <w:szCs w:val="22"/>
        </w:rPr>
        <w:fldChar w:fldCharType="begin"/>
      </w:r>
      <w:r w:rsidRPr="00FA5AA0">
        <w:rPr>
          <w:rFonts w:asciiTheme="majorHAnsi" w:hAnsiTheme="majorHAnsi"/>
          <w:sz w:val="22"/>
          <w:szCs w:val="22"/>
        </w:rPr>
        <w:instrText xml:space="preserve"> ADDIN ZOTERO_ITEM CSL_CITATION {"citationID":"QSFLG6iW","properties":{"formattedCitation":"(2007, p. 256)","plainCitation":"(2007, p. 256)"},"citationItems":[{"id":3596,"uris":["http://zotero.org/users/992731/items/E69DHJWV"],"uri":["http://zotero.org/users/992731/items/E69DHJWV"],"itemData":{"id":3596,"type":"book","title":"State Schooling and Ethnic Identity: The Politics of a Tibetan Neidi Secondary School in China","publisher":"Lexington Books","publisher-place":"Maryland","event-place":"Maryland","URL":"http://books.google.com/books?id=6QKvL-2Qud8C&amp;pg=PA362&amp;lpg=PA362&amp;dq=Zhu,+Zhiyong+(2007).+State+Schooling+and+Ethnic+Identity:+The+Politics+of+A+Tibetan+Neidi+Secondary+School+in+China.+Maryland:+Lexington+Books.&amp;source=bl&amp;ots=sSyaXJ14Cw&amp;sig=GDZyQ8TiB1vvSRr75tb6sKdw1F8&amp;hl=en&amp;sa=X&amp;ei=HtqaT-jCA-eN6QHyxfHgDg&amp;ved=0CCEQ6AEwAA#v=onepage&amp;q=Zhu%2C%20Zhiyong%20(2007).%20State%20Schooling%20and%20Ethnic%20Identity%3A%20The%20Politics%20of%20A%20Tibetan%20Neidi%20Secondary%20School%20in%20China.%20Maryland%3A%20Lexington%20Books.&amp;f=false","author":[{"family":"Zhu","given":"Zhiyong"}],"issued":{"date-parts":[[2007]]},"accessed":{"date-parts":[[2012,4,27]]}},"locator":"256","suppress-author":true}],"schema":"https://github.com/citation-style-language/schema/raw/master/csl-citation.json"} </w:instrText>
      </w:r>
      <w:r w:rsidRPr="00FA5AA0">
        <w:rPr>
          <w:rFonts w:asciiTheme="majorHAnsi" w:hAnsiTheme="majorHAnsi"/>
          <w:sz w:val="22"/>
          <w:szCs w:val="22"/>
        </w:rPr>
        <w:fldChar w:fldCharType="separate"/>
      </w:r>
      <w:r w:rsidRPr="00FA5AA0">
        <w:rPr>
          <w:rFonts w:asciiTheme="majorHAnsi" w:eastAsia="SimSun" w:hAnsiTheme="majorHAnsi"/>
          <w:sz w:val="22"/>
          <w:szCs w:val="22"/>
          <w:lang w:eastAsia="zh-CN"/>
        </w:rPr>
        <w:t>(2007, p. 256)</w:t>
      </w:r>
      <w:r w:rsidRPr="00FA5AA0">
        <w:rPr>
          <w:rFonts w:asciiTheme="majorHAnsi" w:hAnsiTheme="majorHAnsi"/>
          <w:sz w:val="22"/>
          <w:szCs w:val="22"/>
        </w:rPr>
        <w:fldChar w:fldCharType="end"/>
      </w:r>
      <w:r w:rsidRPr="00FA5AA0">
        <w:rPr>
          <w:rFonts w:asciiTheme="majorHAnsi" w:hAnsiTheme="majorHAnsi"/>
          <w:sz w:val="22"/>
          <w:szCs w:val="22"/>
        </w:rPr>
        <w:t xml:space="preserve"> ethnographic study of Tibetans in an inland </w:t>
      </w:r>
      <w:r w:rsidRPr="00FA5AA0">
        <w:rPr>
          <w:rFonts w:asciiTheme="majorHAnsi" w:hAnsiTheme="majorHAnsi"/>
          <w:sz w:val="22"/>
          <w:szCs w:val="22"/>
          <w:lang w:eastAsia="zh-CN"/>
        </w:rPr>
        <w:t>(</w:t>
      </w:r>
      <w:proofErr w:type="spellStart"/>
      <w:r w:rsidRPr="00FA5AA0">
        <w:rPr>
          <w:rFonts w:asciiTheme="majorHAnsi" w:hAnsiTheme="majorHAnsi"/>
          <w:i/>
          <w:sz w:val="22"/>
          <w:szCs w:val="22"/>
          <w:lang w:eastAsia="zh-CN"/>
        </w:rPr>
        <w:t>neidi</w:t>
      </w:r>
      <w:proofErr w:type="spellEnd"/>
      <w:r w:rsidRPr="00FA5AA0">
        <w:rPr>
          <w:rFonts w:asciiTheme="majorHAnsi" w:hAnsiTheme="majorHAnsi"/>
          <w:sz w:val="22"/>
          <w:szCs w:val="22"/>
          <w:lang w:eastAsia="zh-CN"/>
        </w:rPr>
        <w:t xml:space="preserve">) </w:t>
      </w:r>
      <w:r w:rsidRPr="00FA5AA0">
        <w:rPr>
          <w:rFonts w:asciiTheme="majorHAnsi" w:hAnsiTheme="majorHAnsi"/>
          <w:sz w:val="22"/>
          <w:szCs w:val="22"/>
        </w:rPr>
        <w:t>boarding school makes the argument that in these schools, the identity of “Tibetan” comes to the foreground in organizing students’ daily school life.  Tibetan primary school graduates are selected and sent to boarding schools far from Tibet—and not allowed to return home for years at a time</w:t>
      </w:r>
      <w:r w:rsidRPr="00FA5AA0">
        <w:rPr>
          <w:rStyle w:val="FootnoteReference"/>
          <w:rFonts w:asciiTheme="majorHAnsi" w:hAnsiTheme="majorHAnsi"/>
          <w:sz w:val="22"/>
          <w:szCs w:val="22"/>
        </w:rPr>
        <w:footnoteReference w:id="11"/>
      </w:r>
      <w:r w:rsidRPr="00FA5AA0">
        <w:rPr>
          <w:rFonts w:asciiTheme="majorHAnsi" w:hAnsiTheme="majorHAnsi"/>
          <w:sz w:val="22"/>
          <w:szCs w:val="22"/>
        </w:rPr>
        <w:t xml:space="preserve">.  The boarding schools have a clear mission of inculcating students with an integrative message: creating ties between Tibet and China’s inland areas.  Schools convey a notion of Tibetan identity that includes membership in the Chinese nation, along with cultural distinction that is part of the “treasure trove of Chinese culture” </w:t>
      </w:r>
      <w:r w:rsidRPr="00FA5AA0">
        <w:rPr>
          <w:rFonts w:asciiTheme="majorHAnsi" w:hAnsiTheme="majorHAnsi"/>
          <w:sz w:val="22"/>
          <w:szCs w:val="22"/>
        </w:rPr>
        <w:fldChar w:fldCharType="begin"/>
      </w:r>
      <w:r w:rsidRPr="00FA5AA0">
        <w:rPr>
          <w:rFonts w:asciiTheme="majorHAnsi" w:hAnsiTheme="majorHAnsi"/>
          <w:sz w:val="22"/>
          <w:szCs w:val="22"/>
        </w:rPr>
        <w:instrText xml:space="preserve"> ADDIN ZOTERO_ITEM CSL_CITATION {"citationID":"LRegZu8e","properties":{"formattedCitation":"(2007, p. 277)","plainCitation":"(2007, p. 277)"},"citationItems":[{"id":3596,"uris":["http://zotero.org/users/992731/items/E69DHJWV"],"uri":["http://zotero.org/users/992731/items/E69DHJWV"],"itemData":{"id":3596,"type":"book","title":"State Schooling and Ethnic Identity: The Politics of a Tibetan Neidi Secondary School in China","publisher":"Lexington Books","publisher-place":"Maryland","event-place":"Maryland","URL":"http://books.google.com/books?id=6QKvL-2Qud8C&amp;pg=PA362&amp;lpg=PA362&amp;dq=Zhu,+Zhiyong+(2007).+State+Schooling+and+Ethnic+Identity:+The+Politics+of+A+Tibetan+Neidi+Secondary+School+in+China.+Maryland:+Lexington+Books.&amp;source=bl&amp;ots=sSyaXJ14Cw&amp;sig=GDZyQ8TiB1vvSRr75tb6sKdw1F8&amp;hl=en&amp;sa=X&amp;ei=HtqaT-jCA-eN6QHyxfHgDg&amp;ved=0CCEQ6AEwAA#v=onepage&amp;q=Zhu%2C%20Zhiyong%20(2007).%20State%20Schooling%20and%20Ethnic%20Identity%3A%20The%20Politics%20of%20A%20Tibetan%20Neidi%20Secondary%20School%20in%20China.%20Maryland%3A%20Lexington%20Books.&amp;f=false","author":[{"family":"Zhu","given":"Zhiyong"}],"issued":{"date-parts":[[2007]]},"accessed":{"date-parts":[[2012,4,27]]}},"locator":"277","suppress-author":true}],"schema":"https://github.com/citation-style-language/schema/raw/master/csl-citation.json"} </w:instrText>
      </w:r>
      <w:r w:rsidRPr="00FA5AA0">
        <w:rPr>
          <w:rFonts w:asciiTheme="majorHAnsi" w:hAnsiTheme="majorHAnsi"/>
          <w:sz w:val="22"/>
          <w:szCs w:val="22"/>
        </w:rPr>
        <w:fldChar w:fldCharType="separate"/>
      </w:r>
      <w:r w:rsidRPr="00FA5AA0">
        <w:rPr>
          <w:rFonts w:asciiTheme="majorHAnsi" w:eastAsia="SimSun" w:hAnsiTheme="majorHAnsi"/>
          <w:sz w:val="22"/>
          <w:szCs w:val="22"/>
          <w:lang w:eastAsia="zh-CN"/>
        </w:rPr>
        <w:t>(2007, p. 277)</w:t>
      </w:r>
      <w:r w:rsidRPr="00FA5AA0">
        <w:rPr>
          <w:rFonts w:asciiTheme="majorHAnsi" w:hAnsiTheme="majorHAnsi"/>
          <w:sz w:val="22"/>
          <w:szCs w:val="22"/>
        </w:rPr>
        <w:fldChar w:fldCharType="end"/>
      </w:r>
      <w:r w:rsidRPr="00FA5AA0">
        <w:rPr>
          <w:rFonts w:asciiTheme="majorHAnsi" w:hAnsiTheme="majorHAnsi"/>
          <w:sz w:val="22"/>
          <w:szCs w:val="22"/>
        </w:rPr>
        <w:t>.  The identity conveyed by the schools—and indeed the premise for their existence—is the economic and educational “backwardness” (</w:t>
      </w:r>
      <w:proofErr w:type="spellStart"/>
      <w:r w:rsidRPr="00FA5AA0">
        <w:rPr>
          <w:rFonts w:asciiTheme="majorHAnsi" w:hAnsiTheme="majorHAnsi"/>
          <w:i/>
          <w:sz w:val="22"/>
          <w:szCs w:val="22"/>
        </w:rPr>
        <w:t>luohou</w:t>
      </w:r>
      <w:proofErr w:type="spellEnd"/>
      <w:r w:rsidRPr="00FA5AA0">
        <w:rPr>
          <w:rFonts w:asciiTheme="majorHAnsi" w:hAnsiTheme="majorHAnsi"/>
          <w:i/>
          <w:sz w:val="22"/>
          <w:szCs w:val="22"/>
        </w:rPr>
        <w:t xml:space="preserve">, </w:t>
      </w:r>
      <w:r w:rsidRPr="00FA5AA0">
        <w:rPr>
          <w:rFonts w:asciiTheme="majorHAnsi" w:hAnsiTheme="majorHAnsi"/>
          <w:i/>
          <w:sz w:val="22"/>
          <w:szCs w:val="22"/>
          <w:lang w:eastAsia="zh-CN"/>
        </w:rPr>
        <w:t>落后</w:t>
      </w:r>
      <w:r w:rsidRPr="00FA5AA0">
        <w:rPr>
          <w:rFonts w:asciiTheme="majorHAnsi" w:hAnsiTheme="majorHAnsi"/>
          <w:sz w:val="22"/>
          <w:szCs w:val="22"/>
          <w:lang w:eastAsia="zh-CN"/>
        </w:rPr>
        <w:t xml:space="preserve">) and </w:t>
      </w:r>
      <w:proofErr w:type="spellStart"/>
      <w:r w:rsidRPr="00FA5AA0">
        <w:rPr>
          <w:rFonts w:asciiTheme="majorHAnsi" w:hAnsiTheme="majorHAnsi"/>
          <w:sz w:val="22"/>
          <w:szCs w:val="22"/>
          <w:lang w:eastAsia="zh-CN"/>
        </w:rPr>
        <w:t>premodernity</w:t>
      </w:r>
      <w:proofErr w:type="spellEnd"/>
      <w:r w:rsidRPr="00FA5AA0">
        <w:rPr>
          <w:rFonts w:asciiTheme="majorHAnsi" w:hAnsiTheme="majorHAnsi"/>
          <w:sz w:val="22"/>
          <w:szCs w:val="22"/>
          <w:lang w:eastAsia="zh-CN"/>
        </w:rPr>
        <w:t xml:space="preserve"> of Tibet, and the superiority of the Han.  This idea is reinforced in the perceptions of Tibet and Tibetans, reinforced by official narratives, which pervade the community surrounding the school.  </w:t>
      </w:r>
      <w:r w:rsidRPr="00FA5AA0">
        <w:rPr>
          <w:rFonts w:asciiTheme="majorHAnsi" w:hAnsiTheme="majorHAnsi"/>
          <w:sz w:val="22"/>
          <w:szCs w:val="22"/>
        </w:rPr>
        <w:tab/>
      </w:r>
    </w:p>
    <w:p w:rsidR="00FA5AA0" w:rsidRPr="00FA5AA0" w:rsidRDefault="00FA5AA0" w:rsidP="00627031">
      <w:pPr>
        <w:pStyle w:val="NormalIndent"/>
        <w:spacing w:line="240" w:lineRule="auto"/>
        <w:contextualSpacing/>
        <w:rPr>
          <w:rFonts w:asciiTheme="majorHAnsi" w:hAnsiTheme="majorHAnsi"/>
          <w:sz w:val="22"/>
          <w:szCs w:val="22"/>
          <w:lang w:eastAsia="zh-CN"/>
        </w:rPr>
      </w:pPr>
      <w:proofErr w:type="spellStart"/>
      <w:r w:rsidRPr="00FA5AA0">
        <w:rPr>
          <w:rFonts w:asciiTheme="majorHAnsi" w:hAnsiTheme="majorHAnsi"/>
          <w:sz w:val="22"/>
          <w:szCs w:val="22"/>
          <w:lang w:eastAsia="zh-CN"/>
        </w:rPr>
        <w:t>Yangbin</w:t>
      </w:r>
      <w:proofErr w:type="spellEnd"/>
      <w:r w:rsidRPr="00FA5AA0">
        <w:rPr>
          <w:rFonts w:asciiTheme="majorHAnsi" w:hAnsiTheme="majorHAnsi"/>
          <w:sz w:val="22"/>
          <w:szCs w:val="22"/>
          <w:lang w:eastAsia="zh-CN"/>
        </w:rPr>
        <w:t xml:space="preserve"> Chen has conducted a parallel study of Uyghur students in an inland school </w:t>
      </w:r>
      <w:r w:rsidRPr="00FA5AA0">
        <w:rPr>
          <w:rFonts w:asciiTheme="majorHAnsi" w:hAnsiTheme="majorHAnsi"/>
          <w:sz w:val="22"/>
          <w:szCs w:val="22"/>
          <w:lang w:eastAsia="zh-CN"/>
        </w:rPr>
        <w:fldChar w:fldCharType="begin"/>
      </w:r>
      <w:r w:rsidRPr="00FA5AA0">
        <w:rPr>
          <w:rFonts w:asciiTheme="majorHAnsi" w:hAnsiTheme="majorHAnsi"/>
          <w:sz w:val="22"/>
          <w:szCs w:val="22"/>
          <w:lang w:eastAsia="zh-CN"/>
        </w:rPr>
        <w:instrText xml:space="preserve"> ADDIN ZOTERO_ITEM CSL_CITATION {"citationID":"uuCdAWxM","properties":{"formattedCitation":"(Chen, 2008)","plainCitation":"(Chen, 2008)"},"citationItems":[{"id":3598,"uris":["http://zotero.org/users/992731/items/4HPWGVTV"],"uri":["http://zotero.org/users/992731/items/4HPWGVTV"],"itemData":{"id":3598,"type":"book","title":"Muslim Uyghur students in a Chinese boarding school: Social recapitalization as a response to ethnic integration","publisher":"Lexington Books","publisher-place":"Maryland","event-place":"Maryland","URL":"http://books.google.com/books?id=roiuY7bnb80C","author":[{"family":"Chen","given":"Yangbin"}],"issued":{"year":2008},"accessed":{"year":2012,"month":4,"day":27}}}],"schema":"https://github.com/citation-style-language/schema/raw/master/csl-citation.json"} </w:instrText>
      </w:r>
      <w:r w:rsidRPr="00FA5AA0">
        <w:rPr>
          <w:rFonts w:asciiTheme="majorHAnsi" w:hAnsiTheme="majorHAnsi"/>
          <w:sz w:val="22"/>
          <w:szCs w:val="22"/>
          <w:lang w:eastAsia="zh-CN"/>
        </w:rPr>
        <w:fldChar w:fldCharType="separate"/>
      </w:r>
      <w:r w:rsidRPr="00FA5AA0">
        <w:rPr>
          <w:rFonts w:asciiTheme="majorHAnsi" w:eastAsia="SimSun" w:hAnsiTheme="majorHAnsi"/>
          <w:sz w:val="22"/>
          <w:szCs w:val="22"/>
          <w:lang w:eastAsia="zh-CN"/>
        </w:rPr>
        <w:t>(Chen, 2008)</w:t>
      </w:r>
      <w:r w:rsidRPr="00FA5AA0">
        <w:rPr>
          <w:rFonts w:asciiTheme="majorHAnsi" w:hAnsiTheme="majorHAnsi"/>
          <w:sz w:val="22"/>
          <w:szCs w:val="22"/>
          <w:lang w:eastAsia="zh-CN"/>
        </w:rPr>
        <w:fldChar w:fldCharType="end"/>
      </w:r>
      <w:r w:rsidRPr="00FA5AA0">
        <w:rPr>
          <w:rFonts w:asciiTheme="majorHAnsi" w:hAnsiTheme="majorHAnsi"/>
          <w:sz w:val="22"/>
          <w:szCs w:val="22"/>
          <w:lang w:eastAsia="zh-CN"/>
        </w:rPr>
        <w:t xml:space="preserve">.  The work focuses on inland “Xinjiang classes.”  Like the Tibetan boarding schools, the existence of these “Xinjiang classes” is also predicated on the assumption of backward, poor quality education in </w:t>
      </w:r>
      <w:proofErr w:type="spellStart"/>
      <w:r w:rsidRPr="00FA5AA0">
        <w:rPr>
          <w:rFonts w:asciiTheme="majorHAnsi" w:hAnsiTheme="majorHAnsi"/>
          <w:sz w:val="22"/>
          <w:szCs w:val="22"/>
          <w:lang w:eastAsia="zh-CN"/>
        </w:rPr>
        <w:t>Xjinjiang</w:t>
      </w:r>
      <w:proofErr w:type="spellEnd"/>
      <w:r w:rsidRPr="00FA5AA0">
        <w:rPr>
          <w:rFonts w:asciiTheme="majorHAnsi" w:hAnsiTheme="majorHAnsi"/>
          <w:sz w:val="22"/>
          <w:szCs w:val="22"/>
          <w:lang w:eastAsia="zh-CN"/>
        </w:rPr>
        <w:t xml:space="preserve"> proper.  </w:t>
      </w:r>
      <w:proofErr w:type="gramStart"/>
      <w:r w:rsidRPr="00FA5AA0">
        <w:rPr>
          <w:rFonts w:asciiTheme="majorHAnsi" w:hAnsiTheme="majorHAnsi"/>
          <w:sz w:val="22"/>
          <w:szCs w:val="22"/>
          <w:lang w:eastAsia="zh-CN"/>
        </w:rPr>
        <w:t>Policy documents laying out the plan for "Xinjiang Classes” highlight the goals of patriotism, national unity, modernization, and development of the homeland.</w:t>
      </w:r>
      <w:proofErr w:type="gramEnd"/>
      <w:r w:rsidRPr="00FA5AA0">
        <w:rPr>
          <w:rFonts w:asciiTheme="majorHAnsi" w:hAnsiTheme="majorHAnsi"/>
          <w:sz w:val="22"/>
          <w:szCs w:val="22"/>
          <w:lang w:eastAsia="zh-CN"/>
        </w:rPr>
        <w:t xml:space="preserve">  The classes aim “to train quality senior secondary school graduates, who achieve overall developments in morals, intellect, physics, and atheism.  The graduates must possess ideals, morals, culture and discipline, uphold national unity, and are dedicated to the Great Development of the Western Region.” </w:t>
      </w:r>
      <w:proofErr w:type="gramStart"/>
      <w:r w:rsidRPr="00FA5AA0">
        <w:rPr>
          <w:rFonts w:asciiTheme="majorHAnsi" w:hAnsiTheme="majorHAnsi"/>
          <w:sz w:val="22"/>
          <w:szCs w:val="22"/>
          <w:lang w:eastAsia="zh-CN"/>
        </w:rPr>
        <w:t>(Chen, 2008, p. 45).</w:t>
      </w:r>
      <w:proofErr w:type="gramEnd"/>
      <w:r w:rsidRPr="00FA5AA0">
        <w:rPr>
          <w:rFonts w:asciiTheme="majorHAnsi" w:hAnsiTheme="majorHAnsi"/>
          <w:sz w:val="22"/>
          <w:szCs w:val="22"/>
          <w:lang w:eastAsia="zh-CN"/>
        </w:rPr>
        <w:t xml:space="preserve">  Minority customs are to be respected, but at the same time, any religious practice is prohibited (Chen, 2008, p. 45).  Chen details the integrative aims of these schools, which are very similar to those laid out in Zhu’s (2007) work.</w:t>
      </w:r>
    </w:p>
    <w:p w:rsidR="00FA5AA0" w:rsidRPr="00FA5AA0" w:rsidRDefault="00FA5AA0" w:rsidP="00627031">
      <w:pPr>
        <w:pStyle w:val="Heading3"/>
        <w:spacing w:line="240" w:lineRule="auto"/>
        <w:contextualSpacing/>
        <w:rPr>
          <w:rFonts w:asciiTheme="majorHAnsi" w:hAnsiTheme="majorHAnsi"/>
          <w:sz w:val="22"/>
          <w:szCs w:val="22"/>
        </w:rPr>
      </w:pPr>
      <w:r w:rsidRPr="00FA5AA0">
        <w:rPr>
          <w:rFonts w:asciiTheme="majorHAnsi" w:hAnsiTheme="majorHAnsi"/>
          <w:sz w:val="22"/>
          <w:szCs w:val="22"/>
        </w:rPr>
        <w:t>Construction of Ethnic Identity</w:t>
      </w:r>
    </w:p>
    <w:p w:rsidR="00FA5AA0" w:rsidRPr="00FA5AA0" w:rsidRDefault="00FA5AA0" w:rsidP="00627031">
      <w:pPr>
        <w:pStyle w:val="NormalIndent"/>
        <w:spacing w:line="240" w:lineRule="auto"/>
        <w:contextualSpacing/>
        <w:rPr>
          <w:rFonts w:asciiTheme="majorHAnsi" w:hAnsiTheme="majorHAnsi"/>
          <w:sz w:val="22"/>
          <w:szCs w:val="22"/>
        </w:rPr>
      </w:pPr>
      <w:r w:rsidRPr="00FA5AA0">
        <w:rPr>
          <w:rFonts w:asciiTheme="majorHAnsi" w:hAnsiTheme="majorHAnsi"/>
          <w:sz w:val="22"/>
          <w:szCs w:val="22"/>
        </w:rPr>
        <w:t xml:space="preserve">The other side of the “Civilizing Project” is the ethnic identity constructed, partly in response, by students.  Hansen (1999: p. 159) notes that, “the classroom is an arena where processes of ethnic identification become highly relevant to students, who are confronted with the government’s monopolizing interpretation of their identity”.  Hansen’s and </w:t>
      </w:r>
      <w:proofErr w:type="spellStart"/>
      <w:r w:rsidRPr="00FA5AA0">
        <w:rPr>
          <w:rFonts w:asciiTheme="majorHAnsi" w:hAnsiTheme="majorHAnsi"/>
          <w:sz w:val="22"/>
          <w:szCs w:val="22"/>
        </w:rPr>
        <w:t>Shen</w:t>
      </w:r>
      <w:proofErr w:type="spellEnd"/>
      <w:r w:rsidRPr="00FA5AA0">
        <w:rPr>
          <w:rFonts w:asciiTheme="majorHAnsi" w:hAnsiTheme="majorHAnsi"/>
          <w:sz w:val="22"/>
          <w:szCs w:val="22"/>
        </w:rPr>
        <w:t xml:space="preserve"> and </w:t>
      </w:r>
      <w:proofErr w:type="spellStart"/>
      <w:r w:rsidRPr="00FA5AA0">
        <w:rPr>
          <w:rFonts w:asciiTheme="majorHAnsi" w:hAnsiTheme="majorHAnsi"/>
          <w:sz w:val="22"/>
          <w:szCs w:val="22"/>
        </w:rPr>
        <w:t>Qian’s</w:t>
      </w:r>
      <w:proofErr w:type="spellEnd"/>
      <w:r w:rsidRPr="00FA5AA0">
        <w:rPr>
          <w:rFonts w:asciiTheme="majorHAnsi" w:hAnsiTheme="majorHAnsi"/>
          <w:sz w:val="22"/>
          <w:szCs w:val="22"/>
        </w:rPr>
        <w:t xml:space="preserve"> fieldwork in the Southwest and Yi’s fieldwork in the Northwest suggest that students are also confronted with a daily curriculum that suggests to them the uselessness, or at least low level of relevance, of their own language, history, religion and customs to state education  </w:t>
      </w:r>
      <w:r w:rsidRPr="00FA5AA0">
        <w:rPr>
          <w:rFonts w:asciiTheme="majorHAnsi" w:hAnsiTheme="majorHAnsi"/>
          <w:sz w:val="22"/>
          <w:szCs w:val="22"/>
        </w:rPr>
        <w:fldChar w:fldCharType="begin"/>
      </w:r>
      <w:r w:rsidRPr="00FA5AA0">
        <w:rPr>
          <w:rFonts w:asciiTheme="majorHAnsi" w:hAnsiTheme="majorHAnsi"/>
          <w:sz w:val="22"/>
          <w:szCs w:val="22"/>
        </w:rPr>
        <w:instrText xml:space="preserve"> ADDIN ZOTERO_ITEM CSL_CITATION {"citationID":"CEF4oACs","properties":{"formattedCitation":"(Hansen, 1999, p. 159; Shen &amp; Qian, 2010, p. 57; Yi, 2006)","plainCitation":"(Hansen, 1999, p. 159; Shen &amp; Qian, 2010, p. 57; Yi, 2006)"},"citationItems":[{"id":1087,"uris":["http://zotero.org/users/992731/items/B9TANDIM"],"uri":["http://zotero.org/users/992731/items/B9TANDIM"],"itemData":{"id":1087,"type":"book","title":"Lessons in Being Chinese: Minority Education and Ethnic Identity in Southwest China","publisher":"University of Washington Press","author":[{"family":"Hansen","given":"M. H."}],"issued":{"date-parts":[[1999]]}},"locator":"159"},{"id":3599,"uris":["http://zotero.org/users/992731/items/I3I354UV"],"uri":["http://zotero.org/users/992731/items/I3I354UV"],"itemData":{"id":3599,"type":"chapter","title":"Choosing between Ethnic and Chinese Citizenship: the Educational Trajectories of Tibetan Minority Children in Northwestern China","container-title":"Chinese Citizenship: the View from the Margins","publisher":"Routledge","publisher-place":"Oxford","page":"41-67","event-place":"Oxford","author":[{"family":"Yi","given":"Lin"}],"editor":[{"family":"Fong","given":"Vanessa L."},{"family":"Murphy","given":"Rachel"}],"issued":{"date-parts":[[2006]]}}},{"id":3800,"uris":["http://zotero.org/users/992731/items/GNS3GT5C"],"uri":["http://zotero.org/users/992731/items/GNS3GT5C"],"itemData":{"id":3800,"type":"article-journal","title":"The Other in Education","container-title":"Chinese Education &amp; Society","page":"47-61","volume":"43","issue":"5","abstract":"By means of an investigation into the school education of the Dai people in Dehong, Yunnan province, this article expounds on the interactive relationship between modern education and local culture and the problems of cultural adaptation among ethnic minority students. School education, as a symbol of state power, always endeavors to transform internal Others into modern citizens. It devises a closed venue and separates students from everyday life situations to place them in a system of abstract knowledge. In local culture, however, students form practical knowledge in the course of enculturation. Due to the sustained expansion of modernity, an unequal power relationship is formed between abstract knowledge and practical knowledge. Meanwhile, school education is subject to constant parental queries, causing difficulties in cultural adaptation for Dai students. The article points out in conclusion that ethnic education should avoid creating doubly marginalized persons. [ABSTRACT FROM AUTHOR]\nCopyright of Chinese Education &amp; Society is the property of M.E. Sharpe Inc. and its content may not be copied or emailed to multiple sites or posted to a listserv without the copyright holder's express written permission. However, users may print, download, or email articles for individual use. This abstract may be abridged. No warranty is given about the accuracy of the copy. Users should refer to the original published version of the material for the full abstract. (Copyright applies to all Abstracts.)","DOI":"Article","ISSN":"10611932","author":[{"family":"Shen","given":"Hongcheng"},{"family":"Qian","given":"Minhui"}],"issued":{"date-parts":[["2010",9]]}},"locator":"57"}],"schema":"https://github.com/citation-style-language/schema/raw/master/csl-citation.json"} </w:instrText>
      </w:r>
      <w:r w:rsidRPr="00FA5AA0">
        <w:rPr>
          <w:rFonts w:asciiTheme="majorHAnsi" w:hAnsiTheme="majorHAnsi"/>
          <w:sz w:val="22"/>
          <w:szCs w:val="22"/>
        </w:rPr>
        <w:fldChar w:fldCharType="separate"/>
      </w:r>
      <w:r w:rsidRPr="00FA5AA0">
        <w:rPr>
          <w:rFonts w:asciiTheme="majorHAnsi" w:eastAsia="SimSun" w:hAnsiTheme="majorHAnsi"/>
          <w:sz w:val="22"/>
          <w:szCs w:val="22"/>
          <w:lang w:eastAsia="zh-CN"/>
        </w:rPr>
        <w:t>(Hansen, 1999, p. 159; Shen &amp; Qian, 2010, p. 57; Yi, 2006)</w:t>
      </w:r>
      <w:r w:rsidRPr="00FA5AA0">
        <w:rPr>
          <w:rFonts w:asciiTheme="majorHAnsi" w:hAnsiTheme="majorHAnsi"/>
          <w:sz w:val="22"/>
          <w:szCs w:val="22"/>
        </w:rPr>
        <w:fldChar w:fldCharType="end"/>
      </w:r>
      <w:r w:rsidRPr="00FA5AA0">
        <w:rPr>
          <w:rFonts w:asciiTheme="majorHAnsi" w:hAnsiTheme="majorHAnsi"/>
          <w:sz w:val="22"/>
          <w:szCs w:val="22"/>
        </w:rPr>
        <w:t>.</w:t>
      </w:r>
    </w:p>
    <w:p w:rsidR="00FA5AA0" w:rsidRPr="00FA5AA0" w:rsidRDefault="00FA5AA0" w:rsidP="00627031">
      <w:pPr>
        <w:pStyle w:val="NormalIndent"/>
        <w:spacing w:line="240" w:lineRule="auto"/>
        <w:contextualSpacing/>
        <w:rPr>
          <w:rFonts w:asciiTheme="majorHAnsi" w:hAnsiTheme="majorHAnsi"/>
          <w:sz w:val="22"/>
          <w:szCs w:val="22"/>
        </w:rPr>
      </w:pPr>
      <w:r w:rsidRPr="00FA5AA0">
        <w:rPr>
          <w:rFonts w:asciiTheme="majorHAnsi" w:hAnsiTheme="majorHAnsi"/>
          <w:sz w:val="22"/>
          <w:szCs w:val="22"/>
        </w:rPr>
        <w:t xml:space="preserve">Zhu’s study of Tibetans in an inland boarding school suggests a high degree of internalization of the narratives of identity offered in schools, but Zhu also discusses additional dimensions of identity asserted by students that diverge from the official narrative.  Zhu highlights identities and values rooted in Buddhist religion and ethics as a key dimension of identity that diverges from state ideologies.  Chen’s work on inland Xinjiang classes similarly highlights Muslim religious traditions as an area of resistance to state ideologies of ethnic identity </w:t>
      </w:r>
      <w:r w:rsidRPr="00FA5AA0">
        <w:rPr>
          <w:rFonts w:asciiTheme="majorHAnsi" w:hAnsiTheme="majorHAnsi"/>
          <w:sz w:val="22"/>
          <w:szCs w:val="22"/>
        </w:rPr>
        <w:fldChar w:fldCharType="begin"/>
      </w:r>
      <w:r w:rsidRPr="00FA5AA0">
        <w:rPr>
          <w:rFonts w:asciiTheme="majorHAnsi" w:hAnsiTheme="majorHAnsi"/>
          <w:sz w:val="22"/>
          <w:szCs w:val="22"/>
        </w:rPr>
        <w:instrText xml:space="preserve"> ADDIN ZOTERO_ITEM CSL_CITATION {"citationID":"Ce7zbwC9","properties":{"formattedCitation":"(Chen, 2008)","plainCitation":"(Chen, 2008)"},"citationItems":[{"id":3598,"uris":["http://zotero.org/users/992731/items/4HPWGVTV"],"uri":["http://zotero.org/users/992731/items/4HPWGVTV"],"itemData":{"id":3598,"type":"book","title":"Muslim Uyghur students in a Chinese boarding school: Social recapitalization as a response to ethnic integration","publisher":"Lexington Books","publisher-place":"Maryland","event-place":"Maryland","URL":"http://books.google.com/books?id=roiuY7bnb80C","author":[{"family":"Chen","given":"Yangbin"}],"issued":{"year":2008},"accessed":{"year":2012,"month":4,"day":27}}}],"schema":"https://github.com/citation-style-language/schema/raw/master/csl-citation.json"} </w:instrText>
      </w:r>
      <w:r w:rsidRPr="00FA5AA0">
        <w:rPr>
          <w:rFonts w:asciiTheme="majorHAnsi" w:hAnsiTheme="majorHAnsi"/>
          <w:sz w:val="22"/>
          <w:szCs w:val="22"/>
        </w:rPr>
        <w:fldChar w:fldCharType="separate"/>
      </w:r>
      <w:r w:rsidRPr="00FA5AA0">
        <w:rPr>
          <w:rFonts w:asciiTheme="majorHAnsi" w:eastAsia="SimSun" w:hAnsiTheme="majorHAnsi"/>
          <w:sz w:val="22"/>
          <w:szCs w:val="22"/>
          <w:lang w:eastAsia="zh-CN"/>
        </w:rPr>
        <w:t>(Chen, 2008)</w:t>
      </w:r>
      <w:r w:rsidRPr="00FA5AA0">
        <w:rPr>
          <w:rFonts w:asciiTheme="majorHAnsi" w:hAnsiTheme="majorHAnsi"/>
          <w:sz w:val="22"/>
          <w:szCs w:val="22"/>
        </w:rPr>
        <w:fldChar w:fldCharType="end"/>
      </w:r>
      <w:r w:rsidRPr="00FA5AA0">
        <w:rPr>
          <w:rFonts w:asciiTheme="majorHAnsi" w:hAnsiTheme="majorHAnsi"/>
          <w:sz w:val="22"/>
          <w:szCs w:val="22"/>
        </w:rPr>
        <w:t xml:space="preserve">.  Yi (2006) argues that minority education policy in China is shaped by a strong perception that religious-based allegiances undermine the capacity of minority people to be loyal political and cultural citizens of the Chinese state—particularly in the case of the northwest, and particularly for Tibetans and </w:t>
      </w:r>
      <w:proofErr w:type="spellStart"/>
      <w:r w:rsidRPr="00FA5AA0">
        <w:rPr>
          <w:rFonts w:asciiTheme="majorHAnsi" w:hAnsiTheme="majorHAnsi"/>
          <w:sz w:val="22"/>
          <w:szCs w:val="22"/>
        </w:rPr>
        <w:t>Uyghurs</w:t>
      </w:r>
      <w:proofErr w:type="spellEnd"/>
      <w:r w:rsidRPr="00FA5AA0">
        <w:rPr>
          <w:rFonts w:asciiTheme="majorHAnsi" w:hAnsiTheme="majorHAnsi"/>
          <w:sz w:val="22"/>
          <w:szCs w:val="22"/>
        </w:rPr>
        <w:t xml:space="preserve">  (p. 41). </w:t>
      </w:r>
    </w:p>
    <w:p w:rsidR="00FA5AA0" w:rsidRPr="00FA5AA0" w:rsidRDefault="00FA5AA0" w:rsidP="00627031">
      <w:pPr>
        <w:pStyle w:val="NormalIndent"/>
        <w:spacing w:line="240" w:lineRule="auto"/>
        <w:contextualSpacing/>
        <w:rPr>
          <w:rFonts w:asciiTheme="majorHAnsi" w:hAnsiTheme="majorHAnsi"/>
          <w:sz w:val="22"/>
          <w:szCs w:val="22"/>
        </w:rPr>
      </w:pPr>
      <w:r w:rsidRPr="00FA5AA0">
        <w:rPr>
          <w:rFonts w:asciiTheme="majorHAnsi" w:hAnsiTheme="majorHAnsi"/>
          <w:sz w:val="22"/>
          <w:szCs w:val="22"/>
        </w:rPr>
        <w:t xml:space="preserve">Students in Zhu’s (2007) and Chen’s (2008) studies seem to reflect on their identities and their responsibilities to their homelands in ways that reflect the overt and implicit goals of the schools in which they study and the attitudes of the Han people they encounter there.  The students discuss their religious identities and values, as well as the extreme personal and family sacrifice involved in being selected and attending an inland school.  Chen, moreover, argues that these students’ ethnic social capital is </w:t>
      </w:r>
      <w:r w:rsidRPr="00FA5AA0">
        <w:rPr>
          <w:rFonts w:asciiTheme="majorHAnsi" w:hAnsiTheme="majorHAnsi"/>
          <w:i/>
          <w:sz w:val="22"/>
          <w:szCs w:val="22"/>
        </w:rPr>
        <w:t>strengthened</w:t>
      </w:r>
      <w:r w:rsidRPr="00FA5AA0">
        <w:rPr>
          <w:rFonts w:asciiTheme="majorHAnsi" w:hAnsiTheme="majorHAnsi"/>
          <w:sz w:val="22"/>
          <w:szCs w:val="22"/>
        </w:rPr>
        <w:t xml:space="preserve"> by the schooling experience, as these students become highly dependent on family support back home, and on co-ethnic support in the school environment, to succeed </w:t>
      </w:r>
      <w:r w:rsidRPr="00FA5AA0">
        <w:rPr>
          <w:rFonts w:asciiTheme="majorHAnsi" w:hAnsiTheme="majorHAnsi"/>
          <w:sz w:val="22"/>
          <w:szCs w:val="22"/>
        </w:rPr>
        <w:fldChar w:fldCharType="begin"/>
      </w:r>
      <w:r w:rsidRPr="00FA5AA0">
        <w:rPr>
          <w:rFonts w:asciiTheme="majorHAnsi" w:hAnsiTheme="majorHAnsi"/>
          <w:sz w:val="22"/>
          <w:szCs w:val="22"/>
        </w:rPr>
        <w:instrText xml:space="preserve"> ADDIN ZOTERO_ITEM CSL_CITATION {"citationID":"ty5zMcGP","properties":{"formattedCitation":"(Chen, 2008)","plainCitation":"(Chen, 2008)"},"citationItems":[{"id":3598,"uris":["http://zotero.org/users/992731/items/4HPWGVTV"],"uri":["http://zotero.org/users/992731/items/4HPWGVTV"],"itemData":{"id":3598,"type":"book","title":"Muslim Uyghur students in a Chinese boarding school: Social recapitalization as a response to ethnic integration","publisher":"Lexington Books","publisher-place":"Maryland","event-place":"Maryland","URL":"http://books.google.com/books?id=roiuY7bnb80C","author":[{"family":"Chen","given":"Yangbin"}],"issued":{"year":2008},"accessed":{"year":2012,"month":4,"day":27}}}],"schema":"https://github.com/citation-style-language/schema/raw/master/csl-citation.json"} </w:instrText>
      </w:r>
      <w:r w:rsidRPr="00FA5AA0">
        <w:rPr>
          <w:rFonts w:asciiTheme="majorHAnsi" w:hAnsiTheme="majorHAnsi"/>
          <w:sz w:val="22"/>
          <w:szCs w:val="22"/>
        </w:rPr>
        <w:fldChar w:fldCharType="separate"/>
      </w:r>
      <w:r w:rsidRPr="00FA5AA0">
        <w:rPr>
          <w:rFonts w:asciiTheme="majorHAnsi" w:eastAsia="SimSun" w:hAnsiTheme="majorHAnsi"/>
          <w:sz w:val="22"/>
          <w:szCs w:val="22"/>
          <w:lang w:eastAsia="zh-CN"/>
        </w:rPr>
        <w:t>(Chen, 2008)</w:t>
      </w:r>
      <w:r w:rsidRPr="00FA5AA0">
        <w:rPr>
          <w:rFonts w:asciiTheme="majorHAnsi" w:hAnsiTheme="majorHAnsi"/>
          <w:sz w:val="22"/>
          <w:szCs w:val="22"/>
        </w:rPr>
        <w:fldChar w:fldCharType="end"/>
      </w:r>
      <w:r w:rsidRPr="00FA5AA0">
        <w:rPr>
          <w:rStyle w:val="FootnoteReference"/>
          <w:rFonts w:asciiTheme="majorHAnsi" w:hAnsiTheme="majorHAnsi"/>
          <w:sz w:val="22"/>
          <w:szCs w:val="22"/>
        </w:rPr>
        <w:footnoteReference w:id="12"/>
      </w:r>
      <w:r w:rsidRPr="00FA5AA0">
        <w:rPr>
          <w:rFonts w:asciiTheme="majorHAnsi" w:hAnsiTheme="majorHAnsi"/>
          <w:sz w:val="22"/>
          <w:szCs w:val="22"/>
        </w:rPr>
        <w:t>.</w:t>
      </w:r>
    </w:p>
    <w:p w:rsidR="00FA5AA0" w:rsidRPr="00FA5AA0" w:rsidRDefault="00FA5AA0" w:rsidP="00627031">
      <w:pPr>
        <w:pStyle w:val="NormalIndent"/>
        <w:spacing w:line="240" w:lineRule="auto"/>
        <w:contextualSpacing/>
        <w:rPr>
          <w:rFonts w:asciiTheme="majorHAnsi" w:hAnsiTheme="majorHAnsi"/>
          <w:sz w:val="22"/>
          <w:szCs w:val="22"/>
        </w:rPr>
      </w:pPr>
      <w:r w:rsidRPr="00FA5AA0">
        <w:rPr>
          <w:rFonts w:asciiTheme="majorHAnsi" w:hAnsiTheme="majorHAnsi"/>
          <w:sz w:val="22"/>
          <w:szCs w:val="22"/>
        </w:rPr>
        <w:t xml:space="preserve">Hansen argues that the impact of state schools on student identity has been ambiguous: Chinese state education is part of a “hegemonic project” to modernize society and define the nation, and thus plays a role a resurgence of ethnic identities all over China.  This project has had fragmenting, as well as  intensifying, effects on ethnic identities, as illustrated in profoundly different responses to the expansion of formal education of the historically-integrated </w:t>
      </w:r>
      <w:proofErr w:type="spellStart"/>
      <w:r w:rsidRPr="00FA5AA0">
        <w:rPr>
          <w:rFonts w:asciiTheme="majorHAnsi" w:hAnsiTheme="majorHAnsi"/>
          <w:sz w:val="22"/>
          <w:szCs w:val="22"/>
        </w:rPr>
        <w:t>Naxi</w:t>
      </w:r>
      <w:proofErr w:type="spellEnd"/>
      <w:r w:rsidRPr="00FA5AA0">
        <w:rPr>
          <w:rFonts w:asciiTheme="majorHAnsi" w:hAnsiTheme="majorHAnsi"/>
          <w:sz w:val="22"/>
          <w:szCs w:val="22"/>
        </w:rPr>
        <w:t xml:space="preserve"> and the more marginalized Dai (Thai) minorities in Yunnan.  Consistent with this view, Zhu and Chen highlight that the context of boarding schools brings ethnic identity to the fore in Tibetan and Uyghur students’ daily lives—and not always in ways that are consistent with the policy intentions.  </w:t>
      </w:r>
      <w:proofErr w:type="spellStart"/>
      <w:r w:rsidRPr="00FA5AA0">
        <w:rPr>
          <w:rFonts w:asciiTheme="majorHAnsi" w:hAnsiTheme="majorHAnsi"/>
          <w:sz w:val="22"/>
          <w:szCs w:val="22"/>
        </w:rPr>
        <w:t>Postiglione</w:t>
      </w:r>
      <w:proofErr w:type="spellEnd"/>
      <w:r w:rsidRPr="00FA5AA0">
        <w:rPr>
          <w:rFonts w:asciiTheme="majorHAnsi" w:hAnsiTheme="majorHAnsi"/>
          <w:sz w:val="22"/>
          <w:szCs w:val="22"/>
        </w:rPr>
        <w:t xml:space="preserve">, Zhu, and Jiao </w:t>
      </w:r>
      <w:r w:rsidRPr="00FA5AA0">
        <w:rPr>
          <w:rFonts w:asciiTheme="majorHAnsi" w:hAnsiTheme="majorHAnsi"/>
          <w:sz w:val="22"/>
          <w:szCs w:val="22"/>
        </w:rPr>
        <w:fldChar w:fldCharType="begin"/>
      </w:r>
      <w:r w:rsidRPr="00FA5AA0">
        <w:rPr>
          <w:rFonts w:asciiTheme="majorHAnsi" w:hAnsiTheme="majorHAnsi"/>
          <w:sz w:val="22"/>
          <w:szCs w:val="22"/>
        </w:rPr>
        <w:instrText xml:space="preserve"> ADDIN ZOTERO_ITEM CSL_CITATION {"citationID":"PFKc3mqD","properties":{"formattedCitation":"(2004)","plainCitation":"(2004)"},"citationItems":[{"id":2158,"uris":["http://zotero.org/users/992731/items/6V2SVF3K"],"uri":["http://zotero.org/users/992731/items/6V2SVF3K"],"itemData":{"id":2158,"type":"article-journal","title":"From Ethnic segregation to impact integration: state schooling and identity construction for rural Tibetans","container-title":"Asian Ethnicity","page":"195-217","volume":"5","issue":"2","author":[{"family":"Postiglione","given":"G."},{"family":"Zhiyong","given":"Z."},{"family":"Jiao","given":"B."}],"issued":{"date-parts":[[2004]]}},"suppress-author":true}],"schema":"https://github.com/citation-style-language/schema/raw/master/csl-citation.json"} </w:instrText>
      </w:r>
      <w:r w:rsidRPr="00FA5AA0">
        <w:rPr>
          <w:rFonts w:asciiTheme="majorHAnsi" w:hAnsiTheme="majorHAnsi"/>
          <w:sz w:val="22"/>
          <w:szCs w:val="22"/>
        </w:rPr>
        <w:fldChar w:fldCharType="separate"/>
      </w:r>
      <w:r w:rsidRPr="00FA5AA0">
        <w:rPr>
          <w:rFonts w:asciiTheme="majorHAnsi" w:hAnsiTheme="majorHAnsi"/>
          <w:sz w:val="22"/>
          <w:szCs w:val="22"/>
        </w:rPr>
        <w:t>(2004)</w:t>
      </w:r>
      <w:r w:rsidRPr="00FA5AA0">
        <w:rPr>
          <w:rFonts w:asciiTheme="majorHAnsi" w:hAnsiTheme="majorHAnsi"/>
          <w:sz w:val="22"/>
          <w:szCs w:val="22"/>
        </w:rPr>
        <w:fldChar w:fldCharType="end"/>
      </w:r>
      <w:r w:rsidRPr="00FA5AA0">
        <w:rPr>
          <w:rFonts w:asciiTheme="majorHAnsi" w:hAnsiTheme="majorHAnsi"/>
          <w:sz w:val="22"/>
          <w:szCs w:val="22"/>
        </w:rPr>
        <w:t xml:space="preserve"> studied the ethnic identity formation of rural Tibetan children in schools in Tibet proper, and use multiple sources of data, including policy analyses, student recruitment and curriculum data, and interviews with students and teachers.  The authors find signs of resistance: despite official policy rhetoric that emphasizes national unity and patriotism, there are still many symbols of Tibetan culture that reinforce Tibetan identity.  The authors argue that this dual representation of State and local interests lends support for a more “even-handed” approach to cultural policies.  </w:t>
      </w:r>
      <w:proofErr w:type="spellStart"/>
      <w:r w:rsidRPr="00FA5AA0">
        <w:rPr>
          <w:rFonts w:asciiTheme="majorHAnsi" w:hAnsiTheme="majorHAnsi"/>
          <w:sz w:val="22"/>
          <w:szCs w:val="22"/>
        </w:rPr>
        <w:t>Clothey</w:t>
      </w:r>
      <w:proofErr w:type="spellEnd"/>
      <w:r w:rsidRPr="00FA5AA0">
        <w:rPr>
          <w:rFonts w:asciiTheme="majorHAnsi" w:hAnsiTheme="majorHAnsi"/>
          <w:sz w:val="22"/>
          <w:szCs w:val="22"/>
        </w:rPr>
        <w:t xml:space="preserve"> draws a similar conclusion based on her study of students at the Central University for Nationalities (</w:t>
      </w:r>
      <w:proofErr w:type="spellStart"/>
      <w:r w:rsidRPr="00FA5AA0">
        <w:rPr>
          <w:rFonts w:asciiTheme="majorHAnsi" w:hAnsiTheme="majorHAnsi"/>
          <w:i/>
          <w:sz w:val="22"/>
          <w:szCs w:val="22"/>
        </w:rPr>
        <w:t>Minzu</w:t>
      </w:r>
      <w:proofErr w:type="spellEnd"/>
      <w:r w:rsidRPr="00FA5AA0">
        <w:rPr>
          <w:rFonts w:asciiTheme="majorHAnsi" w:hAnsiTheme="majorHAnsi"/>
          <w:i/>
          <w:sz w:val="22"/>
          <w:szCs w:val="22"/>
        </w:rPr>
        <w:t xml:space="preserve"> </w:t>
      </w:r>
      <w:proofErr w:type="spellStart"/>
      <w:r w:rsidRPr="00FA5AA0">
        <w:rPr>
          <w:rFonts w:asciiTheme="majorHAnsi" w:hAnsiTheme="majorHAnsi"/>
          <w:i/>
          <w:sz w:val="22"/>
          <w:szCs w:val="22"/>
        </w:rPr>
        <w:t>Daxue</w:t>
      </w:r>
      <w:proofErr w:type="spellEnd"/>
      <w:r w:rsidRPr="00FA5AA0">
        <w:rPr>
          <w:rFonts w:asciiTheme="majorHAnsi" w:hAnsiTheme="majorHAnsi"/>
          <w:i/>
          <w:sz w:val="22"/>
          <w:szCs w:val="22"/>
        </w:rPr>
        <w:t xml:space="preserve">, </w:t>
      </w:r>
      <w:r w:rsidRPr="00FA5AA0">
        <w:rPr>
          <w:rFonts w:asciiTheme="majorHAnsi" w:hAnsiTheme="majorHAnsi"/>
          <w:sz w:val="22"/>
          <w:szCs w:val="22"/>
          <w:lang w:eastAsia="zh-CN"/>
        </w:rPr>
        <w:t>民族大学</w:t>
      </w:r>
      <w:r w:rsidRPr="00FA5AA0">
        <w:rPr>
          <w:rFonts w:asciiTheme="majorHAnsi" w:hAnsiTheme="majorHAnsi"/>
          <w:sz w:val="22"/>
          <w:szCs w:val="22"/>
          <w:lang w:eastAsia="zh-CN"/>
        </w:rPr>
        <w:t xml:space="preserve">, </w:t>
      </w:r>
      <w:r w:rsidRPr="00FA5AA0">
        <w:rPr>
          <w:rFonts w:asciiTheme="majorHAnsi" w:hAnsiTheme="majorHAnsi"/>
          <w:sz w:val="22"/>
          <w:szCs w:val="22"/>
        </w:rPr>
        <w:t xml:space="preserve">now known in English by the transliterated name </w:t>
      </w:r>
      <w:proofErr w:type="spellStart"/>
      <w:r w:rsidRPr="00FA5AA0">
        <w:rPr>
          <w:rFonts w:asciiTheme="majorHAnsi" w:hAnsiTheme="majorHAnsi"/>
          <w:sz w:val="22"/>
          <w:szCs w:val="22"/>
        </w:rPr>
        <w:t>Minzu</w:t>
      </w:r>
      <w:proofErr w:type="spellEnd"/>
      <w:r w:rsidRPr="00FA5AA0">
        <w:rPr>
          <w:rFonts w:asciiTheme="majorHAnsi" w:hAnsiTheme="majorHAnsi"/>
          <w:sz w:val="22"/>
          <w:szCs w:val="22"/>
        </w:rPr>
        <w:t xml:space="preserve"> University</w:t>
      </w:r>
      <w:r w:rsidRPr="00FA5AA0">
        <w:rPr>
          <w:rFonts w:asciiTheme="majorHAnsi" w:hAnsiTheme="majorHAnsi"/>
          <w:sz w:val="22"/>
          <w:szCs w:val="22"/>
          <w:lang w:eastAsia="zh-CN"/>
        </w:rPr>
        <w:t xml:space="preserve">): the </w:t>
      </w:r>
      <w:r w:rsidRPr="00FA5AA0">
        <w:rPr>
          <w:rFonts w:asciiTheme="majorHAnsi" w:hAnsiTheme="majorHAnsi"/>
          <w:sz w:val="22"/>
          <w:szCs w:val="22"/>
        </w:rPr>
        <w:t xml:space="preserve">university’s overt goal is promoting ethnic unity and a sense of Chinese patriotism, but the experiences of students there foster a sense of individual ethnic identity, not necessarily in line with official goals </w:t>
      </w:r>
      <w:r w:rsidRPr="00FA5AA0">
        <w:rPr>
          <w:rFonts w:asciiTheme="majorHAnsi" w:hAnsiTheme="majorHAnsi"/>
          <w:sz w:val="22"/>
          <w:szCs w:val="22"/>
        </w:rPr>
        <w:fldChar w:fldCharType="begin"/>
      </w:r>
      <w:r w:rsidRPr="00FA5AA0">
        <w:rPr>
          <w:rFonts w:asciiTheme="majorHAnsi" w:hAnsiTheme="majorHAnsi"/>
          <w:sz w:val="22"/>
          <w:szCs w:val="22"/>
        </w:rPr>
        <w:instrText xml:space="preserve"> ADDIN ZOTERO_ITEM CSL_CITATION {"citationID":"BKlO3337","properties":{"formattedCitation":"(R. A. Clothey, 2005; R. Clothey, 2005)","plainCitation":"(R. A. Clothey, 2005; R. Clothey, 2005)"},"citationItems":[{"id":3602,"uris":["http://zotero.org/users/992731/items/6DAD9SS5"],"uri":["http://zotero.org/users/992731/items/6DAD9SS5"],"itemData":{"id":3602,"type":"thesis","title":"Strangers in a Strange Place: The Experience of Ethnic Minority Students at the Central University for Nationalities in Beijing","publisher":"University of Pittsburgh","abstract":"This qualitative study discusses the educational challenges facing members of ethnic minority groups in the People's Republic of China and the preferential policies implemented by the Chinese government to address these challenges. The study explores the manifestation of China's higher educational policies for ethnic minorities in one academic setting, the Central University for Nationalities (CUN) in Beijing, a microcosm of the complexities surrounding educating China's minorities. While a goal of the university is to promote ethnic unity and a sense of Chinese patriotism, it simultaneously fosters a sense of individual ethnic identity, which may not be in line with official goals. China has 55 officially recognized minority groups, representing approximately 110 million people and up to 100 different mother tongues. Chinese minority children tend to have higher dropout rates from school and higher illiteracy rates than do the majority Han Chinese children. In China, decreasing these educational gaps is viewed as a means to facilitate economic development in minority areas, and to promote ethnic stability. Preferential policies include university admissions quotas for minority students with lower entrance exam scores, and nationalities institutes such as CUN that are specifically designed for educating minority students. Because of inadequate basic education, many minority students have poor Mandarin language skills when they arrive at CUN. As a result they are tracked into a minority language and literature major at the university, where they are segregated from other ethnic groups on the university campus. These students have a rich appreciation of their own ethnic identity, but their higher education and professional opportunities are much more limited, and their assimilation into mainstream Chinese society is slower. Minority students who have been educated in Mandarin Chinese throughout their school years may be able to benefit from preferential admissions policies at more prestigious universities, but they are also likely to be segregated from their own ethnic group. This complexity has the potential to lead to an anti-Chinese sentiment, and thus presents a policy dilemma for the Chinese government. Implications from this study are drawn for more general problems related to the education of minorities in China and elsewhere.","URL":"http://search.proquest.com/docview/60510099?accountid=14707","author":[{"family":"Clothey","given":"Rebecca Anneli"}],"issued":{"date-parts":[[2005]]},"accessed":{"date-parts":[[2012,4,29]]}}},{"id":505,"uris":["http://zotero.org/users/992731/items/G5P75HWK"],"uri":["http://zotero.org/users/992731/items/G5P75HWK"],"itemData":{"id":505,"type":"article-journal","title":"China's Policies for Minority Nationalities in Higher Education: Negotiating National Values and Ethnic Identities","container-title":"Comparative Education Review","page":"389-409","volume":"49","issue":"3","abstract":"This article presents a study which explores China's educational policies for ethnic minorities in one particular academic setting, the Central University for Nationalities (CUN) in Beijing, and how these policies are experienced by the students who are supposed to benefit from them. The study takes an emic perspective by looking at the perceptions of minority students at CUN on how these policies shape their social and economic opportunities and at how these students negotiate their ethnic identity within the context of a university specifically designed for the education of minorities. The study considers the experience of minority students with two types of educational background: those who entered the university after completing bilingual schooling; and those who entered the university after completing an education in Mandarin Chinese, the dominant language of China. This article discusses the debates on language and ethnicity in education. Then, it examines relevant educational policies that are implemented in China and how these are used to create tertiary opportunities for China's minority nationalities. Finally, the interplay between these policies and minority nationalities' self-perceptions are analyzed and the implications the policies and the minority self-perceptions have for education and economic opportunity in China are considered.","note":"M3: Article; Accession Number: 17710478; Clothey, Rebecca; Source Info: Aug2005, Vol. 49 Issue 3, p389; Subject Term: EDUCATION &amp; state; Subject Term: CHINA – Social conditions – 2000-; Subject Term: LANGUAGE &amp; education; Subject Term: MINORITIES – Education; Subject Term: ZHONG yang min zu da xue (China); Subject Term: UNIVERSITIES &amp; colleges; Subject Term: BEIJING (China); Company/Entity: ZHONG yang min zu da xue (China); NAICS/Industry Codes: 611310 Colleges, Universities, and Professional Schools; Number of Pages: 21p; Document Type: Article","author":[{"family":"Clothey","given":"Rebecca"}],"issued":{"date-parts":[["2005"]]}}}],"schema":"https://github.com/citation-style-language/schema/raw/master/csl-citation.json"} </w:instrText>
      </w:r>
      <w:r w:rsidRPr="00FA5AA0">
        <w:rPr>
          <w:rFonts w:asciiTheme="majorHAnsi" w:hAnsiTheme="majorHAnsi"/>
          <w:sz w:val="22"/>
          <w:szCs w:val="22"/>
        </w:rPr>
        <w:fldChar w:fldCharType="separate"/>
      </w:r>
      <w:r w:rsidRPr="00FA5AA0">
        <w:rPr>
          <w:rFonts w:asciiTheme="majorHAnsi" w:hAnsiTheme="majorHAnsi"/>
          <w:sz w:val="22"/>
          <w:szCs w:val="22"/>
        </w:rPr>
        <w:t>( Clothey, 2005; Clothey, 2005)</w:t>
      </w:r>
      <w:r w:rsidRPr="00FA5AA0">
        <w:rPr>
          <w:rFonts w:asciiTheme="majorHAnsi" w:hAnsiTheme="majorHAnsi"/>
          <w:sz w:val="22"/>
          <w:szCs w:val="22"/>
        </w:rPr>
        <w:fldChar w:fldCharType="end"/>
      </w:r>
      <w:r w:rsidRPr="00FA5AA0">
        <w:rPr>
          <w:rFonts w:asciiTheme="majorHAnsi" w:hAnsiTheme="majorHAnsi"/>
          <w:sz w:val="22"/>
          <w:szCs w:val="22"/>
        </w:rPr>
        <w:t>.</w:t>
      </w:r>
    </w:p>
    <w:p w:rsidR="00FA5AA0" w:rsidRPr="00FA5AA0" w:rsidRDefault="00FA5AA0" w:rsidP="00627031">
      <w:pPr>
        <w:pStyle w:val="Heading2"/>
        <w:spacing w:line="240" w:lineRule="auto"/>
        <w:contextualSpacing/>
        <w:rPr>
          <w:rFonts w:asciiTheme="majorHAnsi" w:hAnsiTheme="majorHAnsi"/>
          <w:sz w:val="22"/>
          <w:szCs w:val="22"/>
        </w:rPr>
      </w:pPr>
      <w:r w:rsidRPr="00FA5AA0">
        <w:rPr>
          <w:rFonts w:asciiTheme="majorHAnsi" w:hAnsiTheme="majorHAnsi"/>
          <w:sz w:val="22"/>
          <w:szCs w:val="22"/>
        </w:rPr>
        <w:t>Incentives and Disincentives for Buy-in to the Educational System</w:t>
      </w:r>
    </w:p>
    <w:p w:rsidR="00FA5AA0" w:rsidRPr="00FA5AA0" w:rsidRDefault="00FA5AA0" w:rsidP="00627031">
      <w:pPr>
        <w:pStyle w:val="NormalIndent"/>
        <w:spacing w:line="240" w:lineRule="auto"/>
        <w:contextualSpacing/>
        <w:rPr>
          <w:rFonts w:asciiTheme="majorHAnsi" w:hAnsiTheme="majorHAnsi"/>
          <w:sz w:val="22"/>
          <w:szCs w:val="22"/>
        </w:rPr>
      </w:pPr>
      <w:r w:rsidRPr="00FA5AA0">
        <w:rPr>
          <w:rFonts w:asciiTheme="majorHAnsi" w:hAnsiTheme="majorHAnsi"/>
          <w:sz w:val="22"/>
          <w:szCs w:val="22"/>
        </w:rPr>
        <w:t xml:space="preserve">Field-based studies in China have suggested that members of ethnic groups develop unfavorable attitudes toward education if they do not observe tangible economic benefits from education among members of their own communities or if they perceive that the school system is incompatible with aspects of their own cultures </w:t>
      </w:r>
      <w:r w:rsidRPr="00FA5AA0">
        <w:rPr>
          <w:rFonts w:asciiTheme="majorHAnsi" w:hAnsiTheme="majorHAnsi"/>
          <w:sz w:val="22"/>
          <w:szCs w:val="22"/>
        </w:rPr>
        <w:fldChar w:fldCharType="begin"/>
      </w:r>
      <w:r w:rsidRPr="00FA5AA0">
        <w:rPr>
          <w:rFonts w:asciiTheme="majorHAnsi" w:hAnsiTheme="majorHAnsi"/>
          <w:sz w:val="22"/>
          <w:szCs w:val="22"/>
        </w:rPr>
        <w:instrText xml:space="preserve"> ADDIN ZOTERO_ITEM CSL_CITATION {"citationID":"B62uCAA1","properties":{"formattedCitation":"(Hansen, 1999; Harrell &amp; Mgebbu (Ma), 1999; G. Postiglione, 2007)","plainCitation":"(Hansen, 1999; Harrell &amp; Mgebbu (Ma), 1999; G. Postiglione, 2007)"},"citationItems":[{"id":1102,"uris":["http://zotero.org/users/992731/items/ZZTR78FT"],"uri":["http://zotero.org/users/992731/items/ZZTR78FT"],"itemData":{"id":1102,"type":"chapter","title":"‘Folk Theories of Success Where Han Aren’t Always Best,’’","container-title":"China’s National Minority Education: Culture, Schooling, and Development","publisher":"Falmer Press","publisher-place":"New York","page":"213-242","event-place":"New York","author":[{"family":"Harrell","given":"Stevan"},{"family":"Mgebbu (Ma)","given":"Lunze (Erzi)"}],"editor":[{"family":"Postiglione","given":"Gerard A."}],"issued":{"date-parts":[[1999]]}}},{"id":1087,"uris":["http://zotero.org/users/992731/items/B9TANDIM"],"uri":["http://zotero.org/users/992731/items/B9TANDIM"],"itemData":{"id":1087,"type":"book","title":"Lessons in Being Chinese: Minority Education and Ethnic Identity in Southwest China","publisher":"University of Washington Press","author":[{"family":"Hansen","given":"M. H."}],"issued":{"date-parts":[[1999]]}}},{"id":2155,"uris":["http://zotero.org/users/992731/items/R6VQ7RKP"],"uri":["http://zotero.org/users/992731/items/R6VQ7RKP"],"itemData":{"id":2155,"type":"chapter","title":"School Access and Equity in Rural Tibet","collection-title":"Education and Reform in China","publisher":"Routledge","publisher-place":"London and New York","page":"93-116","event-place":"London and New York","author":[{"family":"Postiglione","given":"G."}],"editor":[{"family":"Hannum","given":"Emily"},{"family":"Park","given":"Albert"}],"issued":{"date-parts":[[2007]]}}}],"schema":"https://github.com/citation-style-language/schema/raw/master/csl-citation.json"} </w:instrText>
      </w:r>
      <w:r w:rsidRPr="00FA5AA0">
        <w:rPr>
          <w:rFonts w:asciiTheme="majorHAnsi" w:hAnsiTheme="majorHAnsi"/>
          <w:sz w:val="22"/>
          <w:szCs w:val="22"/>
        </w:rPr>
        <w:fldChar w:fldCharType="separate"/>
      </w:r>
      <w:r w:rsidRPr="00FA5AA0">
        <w:rPr>
          <w:rFonts w:asciiTheme="majorHAnsi" w:eastAsia="SimSun" w:hAnsiTheme="majorHAnsi"/>
          <w:sz w:val="22"/>
          <w:szCs w:val="22"/>
          <w:lang w:eastAsia="zh-CN"/>
        </w:rPr>
        <w:t>(Hansen, 1999; Harrell &amp; Mgebbu, 1999; Postiglione, 2007)</w:t>
      </w:r>
      <w:r w:rsidRPr="00FA5AA0">
        <w:rPr>
          <w:rFonts w:asciiTheme="majorHAnsi" w:hAnsiTheme="majorHAnsi"/>
          <w:sz w:val="22"/>
          <w:szCs w:val="22"/>
        </w:rPr>
        <w:fldChar w:fldCharType="end"/>
      </w:r>
      <w:r w:rsidRPr="00FA5AA0">
        <w:rPr>
          <w:rFonts w:asciiTheme="majorHAnsi" w:hAnsiTheme="majorHAnsi"/>
          <w:sz w:val="22"/>
          <w:szCs w:val="22"/>
        </w:rPr>
        <w:t xml:space="preserve">.  Harrell and </w:t>
      </w:r>
      <w:proofErr w:type="spellStart"/>
      <w:r w:rsidRPr="00FA5AA0">
        <w:rPr>
          <w:rFonts w:asciiTheme="majorHAnsi" w:hAnsiTheme="majorHAnsi"/>
          <w:sz w:val="22"/>
          <w:szCs w:val="22"/>
        </w:rPr>
        <w:t>Mgebbu</w:t>
      </w:r>
      <w:proofErr w:type="spellEnd"/>
      <w:r w:rsidRPr="00FA5AA0">
        <w:rPr>
          <w:rFonts w:asciiTheme="majorHAnsi" w:hAnsiTheme="majorHAnsi"/>
          <w:sz w:val="22"/>
          <w:szCs w:val="22"/>
        </w:rPr>
        <w:t xml:space="preserve"> (1999) showed that expectations of rewards decisively influence educational participation among the Yi ethnic group in Sichuan.  On the basis of fieldwork in schools in Qinghai Province, Lin Yi argues that the devaluation of Tibetan culture within the state school system in Northwest China precludes activation of the cultural capital possessed by Tibetan children, and can create atmospheres in the schools that are socially hostile.  As a result, the social mobility of these children can be hindered </w:t>
      </w:r>
      <w:r w:rsidRPr="00FA5AA0">
        <w:rPr>
          <w:rFonts w:asciiTheme="majorHAnsi" w:hAnsiTheme="majorHAnsi"/>
          <w:sz w:val="22"/>
          <w:szCs w:val="22"/>
        </w:rPr>
        <w:fldChar w:fldCharType="begin"/>
      </w:r>
      <w:r w:rsidRPr="00FA5AA0">
        <w:rPr>
          <w:rFonts w:asciiTheme="majorHAnsi" w:hAnsiTheme="majorHAnsi"/>
          <w:sz w:val="22"/>
          <w:szCs w:val="22"/>
        </w:rPr>
        <w:instrText xml:space="preserve"> ADDIN ZOTERO_ITEM CSL_CITATION {"citationID":"vCuZ2SFG","properties":{"formattedCitation":"(Yi, 2006)","plainCitation":"(Yi, 2006)"},"citationItems":[{"id":3599,"uris":["http://zotero.org/users/992731/items/I3I354UV"],"uri":["http://zotero.org/users/992731/items/I3I354UV"],"itemData":{"id":3599,"type":"chapter","title":"Choosing between Ethnic and Chinese Citizenship: the Educational Trajectories of Tibetan Minority Children in Northwestern China","container-title":"Chinese Citizenship: the View from the Margins","publisher":"Routledge","publisher-place":"Oxford","page":"41-67","event-place":"Oxford","author":[{"family":"Yi","given":"Lin"}],"editor":[{"family":"Fong","given":"Vanessa L."},{"family":"Murphy","given":"Rachel"}],"issued":{"date-parts":[[2006]]}}}],"schema":"https://github.com/citation-style-language/schema/raw/master/csl-citation.json"} </w:instrText>
      </w:r>
      <w:r w:rsidRPr="00FA5AA0">
        <w:rPr>
          <w:rFonts w:asciiTheme="majorHAnsi" w:hAnsiTheme="majorHAnsi"/>
          <w:sz w:val="22"/>
          <w:szCs w:val="22"/>
        </w:rPr>
        <w:fldChar w:fldCharType="separate"/>
      </w:r>
      <w:r w:rsidRPr="00FA5AA0">
        <w:rPr>
          <w:rFonts w:asciiTheme="majorHAnsi" w:eastAsia="SimSun" w:hAnsiTheme="majorHAnsi"/>
          <w:sz w:val="22"/>
          <w:szCs w:val="22"/>
          <w:lang w:eastAsia="zh-CN"/>
        </w:rPr>
        <w:t>(Yi, 2006)</w:t>
      </w:r>
      <w:r w:rsidRPr="00FA5AA0">
        <w:rPr>
          <w:rFonts w:asciiTheme="majorHAnsi" w:hAnsiTheme="majorHAnsi"/>
          <w:sz w:val="22"/>
          <w:szCs w:val="22"/>
        </w:rPr>
        <w:fldChar w:fldCharType="end"/>
      </w:r>
      <w:r w:rsidRPr="00FA5AA0">
        <w:rPr>
          <w:rFonts w:asciiTheme="majorHAnsi" w:hAnsiTheme="majorHAnsi"/>
          <w:sz w:val="22"/>
          <w:szCs w:val="22"/>
        </w:rPr>
        <w:t xml:space="preserve">.  </w:t>
      </w:r>
    </w:p>
    <w:p w:rsidR="00FA5AA0" w:rsidRPr="00FA5AA0" w:rsidRDefault="00FA5AA0" w:rsidP="00627031">
      <w:pPr>
        <w:pStyle w:val="NormalIndent"/>
        <w:spacing w:line="240" w:lineRule="auto"/>
        <w:contextualSpacing/>
        <w:rPr>
          <w:rFonts w:asciiTheme="majorHAnsi" w:hAnsiTheme="majorHAnsi"/>
          <w:sz w:val="22"/>
          <w:szCs w:val="22"/>
        </w:rPr>
      </w:pPr>
      <w:r w:rsidRPr="00FA5AA0">
        <w:rPr>
          <w:rFonts w:asciiTheme="majorHAnsi" w:hAnsiTheme="majorHAnsi"/>
          <w:sz w:val="22"/>
          <w:szCs w:val="22"/>
        </w:rPr>
        <w:t xml:space="preserve">In Tibet proper, </w:t>
      </w:r>
      <w:proofErr w:type="spellStart"/>
      <w:r w:rsidRPr="00FA5AA0">
        <w:rPr>
          <w:rFonts w:asciiTheme="majorHAnsi" w:hAnsiTheme="majorHAnsi"/>
          <w:sz w:val="22"/>
          <w:szCs w:val="22"/>
        </w:rPr>
        <w:t>Postiglione</w:t>
      </w:r>
      <w:proofErr w:type="spellEnd"/>
      <w:r w:rsidRPr="00FA5AA0">
        <w:rPr>
          <w:rFonts w:asciiTheme="majorHAnsi" w:hAnsiTheme="majorHAnsi"/>
          <w:sz w:val="22"/>
          <w:szCs w:val="22"/>
        </w:rPr>
        <w:t xml:space="preserve"> and his colleagues found that despite alleviation of school tuition and fees in efforts to address high dropout rates in rural Tibet, many families preferred to have their children work at home due to a perceived low quality of education and inability of schools to provide graduates with competitive jobs </w:t>
      </w:r>
      <w:r w:rsidRPr="00FA5AA0">
        <w:rPr>
          <w:rFonts w:asciiTheme="majorHAnsi" w:hAnsiTheme="majorHAnsi"/>
          <w:sz w:val="22"/>
          <w:szCs w:val="22"/>
        </w:rPr>
        <w:fldChar w:fldCharType="begin"/>
      </w:r>
      <w:r w:rsidRPr="00FA5AA0">
        <w:rPr>
          <w:rFonts w:asciiTheme="majorHAnsi" w:hAnsiTheme="majorHAnsi"/>
          <w:sz w:val="22"/>
          <w:szCs w:val="22"/>
        </w:rPr>
        <w:instrText xml:space="preserve"> ADDIN ZOTERO_ITEM CSL_CITATION {"citationID":"163ogi8amf","properties":{"formattedCitation":"(G. A. Postiglione, Jiao, &amp; Gyatso, 2005)","plainCitation":"(G. A. Postiglione, Jiao, &amp; Gyatso, 2005)"},"citationItems":[{"id":2161,"uris":["http://zotero.org/users/992731/items/B7ZCE7IZ"],"uri":["http://zotero.org/users/992731/items/B7ZCE7IZ"],"itemData":{"id":2161,"type":"article-journal","title":"Education in Rural Tibet: Development, Problems and Adaptations","container-title":"China: An International Journal","page":"1-23","volume":"3","issue":"1","note":"Volume 3, Number 1, March 2005","author":[{"family":"Postiglione","given":"Gerard A."},{"family":"Jiao","given":"Ben"},{"family":"Gyatso","given":"Sonam"}],"issued":{"date-parts":[[2005]]}}}],"schema":"https://github.com/citation-style-language/schema/raw/master/csl-citation.json"} </w:instrText>
      </w:r>
      <w:r w:rsidRPr="00FA5AA0">
        <w:rPr>
          <w:rFonts w:asciiTheme="majorHAnsi" w:hAnsiTheme="majorHAnsi"/>
          <w:sz w:val="22"/>
          <w:szCs w:val="22"/>
        </w:rPr>
        <w:fldChar w:fldCharType="separate"/>
      </w:r>
      <w:r w:rsidRPr="00FA5AA0">
        <w:rPr>
          <w:rFonts w:asciiTheme="majorHAnsi" w:hAnsiTheme="majorHAnsi"/>
          <w:sz w:val="22"/>
          <w:szCs w:val="22"/>
        </w:rPr>
        <w:t>(Postiglione, Jiao, &amp; Gyatso, 2005)</w:t>
      </w:r>
      <w:r w:rsidRPr="00FA5AA0">
        <w:rPr>
          <w:rFonts w:asciiTheme="majorHAnsi" w:hAnsiTheme="majorHAnsi"/>
          <w:sz w:val="22"/>
          <w:szCs w:val="22"/>
        </w:rPr>
        <w:fldChar w:fldCharType="end"/>
      </w:r>
      <w:r w:rsidRPr="00FA5AA0">
        <w:rPr>
          <w:rFonts w:asciiTheme="majorHAnsi" w:hAnsiTheme="majorHAnsi"/>
          <w:sz w:val="22"/>
          <w:szCs w:val="22"/>
        </w:rPr>
        <w:t xml:space="preserve">.  </w:t>
      </w:r>
      <w:proofErr w:type="spellStart"/>
      <w:r w:rsidRPr="00FA5AA0">
        <w:rPr>
          <w:rFonts w:asciiTheme="majorHAnsi" w:hAnsiTheme="majorHAnsi"/>
          <w:sz w:val="22"/>
          <w:szCs w:val="22"/>
        </w:rPr>
        <w:t>Postiglione’s</w:t>
      </w:r>
      <w:proofErr w:type="spellEnd"/>
      <w:r w:rsidRPr="00FA5AA0">
        <w:rPr>
          <w:rFonts w:asciiTheme="majorHAnsi" w:hAnsiTheme="majorHAnsi"/>
          <w:sz w:val="22"/>
          <w:szCs w:val="22"/>
        </w:rPr>
        <w:t xml:space="preserve"> </w:t>
      </w:r>
      <w:r w:rsidRPr="00FA5AA0">
        <w:rPr>
          <w:rFonts w:asciiTheme="majorHAnsi" w:hAnsiTheme="majorHAnsi"/>
          <w:sz w:val="22"/>
          <w:szCs w:val="22"/>
        </w:rPr>
        <w:fldChar w:fldCharType="begin"/>
      </w:r>
      <w:r w:rsidRPr="00FA5AA0">
        <w:rPr>
          <w:rFonts w:asciiTheme="majorHAnsi" w:hAnsiTheme="majorHAnsi"/>
          <w:sz w:val="22"/>
          <w:szCs w:val="22"/>
        </w:rPr>
        <w:instrText xml:space="preserve"> ADDIN ZOTERO_ITEM CSL_CITATION {"citationID":"KTEbCbgp","properties":{"formattedCitation":"(2007)","plainCitation":"(2007)"},"citationItems":[{"id":2155,"uris":["http://zotero.org/users/992731/items/R6VQ7RKP"],"uri":["http://zotero.org/users/992731/items/R6VQ7RKP"],"itemData":{"id":2155,"type":"chapter","title":"School Access and Equity in Rural Tibet","collection-title":"Education and Reform in China","publisher":"Routledge","publisher-place":"London and New York","page":"93-116","event-place":"London and New York","author":[{"family":"Postiglione","given":"G."}],"editor":[{"family":"Hannum","given":"Emily"},{"family":"Park","given":"Albert"}],"issued":{"date-parts":[[2007]]}},"suppress-author":true}],"schema":"https://github.com/citation-style-language/schema/raw/master/csl-citation.json"} </w:instrText>
      </w:r>
      <w:r w:rsidRPr="00FA5AA0">
        <w:rPr>
          <w:rFonts w:asciiTheme="majorHAnsi" w:hAnsiTheme="majorHAnsi"/>
          <w:sz w:val="22"/>
          <w:szCs w:val="22"/>
        </w:rPr>
        <w:fldChar w:fldCharType="separate"/>
      </w:r>
      <w:r w:rsidRPr="00FA5AA0">
        <w:rPr>
          <w:rFonts w:asciiTheme="majorHAnsi" w:eastAsia="SimSun" w:hAnsiTheme="majorHAnsi"/>
          <w:sz w:val="22"/>
          <w:szCs w:val="22"/>
          <w:lang w:eastAsia="zh-CN"/>
        </w:rPr>
        <w:t>(2007)</w:t>
      </w:r>
      <w:r w:rsidRPr="00FA5AA0">
        <w:rPr>
          <w:rFonts w:asciiTheme="majorHAnsi" w:hAnsiTheme="majorHAnsi"/>
          <w:sz w:val="22"/>
          <w:szCs w:val="22"/>
        </w:rPr>
        <w:fldChar w:fldCharType="end"/>
      </w:r>
      <w:r w:rsidRPr="00FA5AA0">
        <w:rPr>
          <w:rFonts w:asciiTheme="majorHAnsi" w:hAnsiTheme="majorHAnsi"/>
          <w:sz w:val="22"/>
          <w:szCs w:val="22"/>
        </w:rPr>
        <w:t xml:space="preserve"> fieldwork illustrates a number of problems that serve to </w:t>
      </w:r>
      <w:proofErr w:type="spellStart"/>
      <w:r w:rsidRPr="00FA5AA0">
        <w:rPr>
          <w:rFonts w:asciiTheme="majorHAnsi" w:hAnsiTheme="majorHAnsi"/>
          <w:sz w:val="22"/>
          <w:szCs w:val="22"/>
        </w:rPr>
        <w:t>disincentivize</w:t>
      </w:r>
      <w:proofErr w:type="spellEnd"/>
      <w:r w:rsidRPr="00FA5AA0">
        <w:rPr>
          <w:rFonts w:asciiTheme="majorHAnsi" w:hAnsiTheme="majorHAnsi"/>
          <w:sz w:val="22"/>
          <w:szCs w:val="22"/>
        </w:rPr>
        <w:t xml:space="preserve"> children from engaging with education.  Poor rural schools attended by Tibetans have little of the income-generating potential of urban schools, and for these schools, attracting good teachers is difficult.  Further, poverty has a reinforcing effect, as parents in poor rural villages do not necessarily observe examples of education leading to economic improvements and thus are often unwilling to provide financial support for children’s schooling. Yet, as important as regional and economic factors are in explaining ethnic differences in education, additional factors are also significant.  </w:t>
      </w:r>
      <w:proofErr w:type="spellStart"/>
      <w:r w:rsidRPr="00FA5AA0">
        <w:rPr>
          <w:rFonts w:asciiTheme="majorHAnsi" w:hAnsiTheme="majorHAnsi"/>
          <w:sz w:val="22"/>
          <w:szCs w:val="22"/>
        </w:rPr>
        <w:t>Postiglione</w:t>
      </w:r>
      <w:proofErr w:type="spellEnd"/>
      <w:r w:rsidRPr="00FA5AA0">
        <w:rPr>
          <w:rFonts w:asciiTheme="majorHAnsi" w:hAnsiTheme="majorHAnsi"/>
          <w:sz w:val="22"/>
          <w:szCs w:val="22"/>
        </w:rPr>
        <w:t xml:space="preserve"> also highlights that the content of schooling may be perceived as being inconsistent, or even oppositional, to Tibetan traditions.  </w:t>
      </w:r>
    </w:p>
    <w:p w:rsidR="00FA5AA0" w:rsidRPr="00FA5AA0" w:rsidRDefault="00FA5AA0" w:rsidP="00627031">
      <w:pPr>
        <w:pStyle w:val="NormalIndent"/>
        <w:spacing w:line="240" w:lineRule="auto"/>
        <w:contextualSpacing/>
        <w:rPr>
          <w:rFonts w:asciiTheme="majorHAnsi" w:hAnsiTheme="majorHAnsi"/>
          <w:sz w:val="22"/>
          <w:szCs w:val="22"/>
        </w:rPr>
      </w:pPr>
      <w:r w:rsidRPr="00FA5AA0">
        <w:rPr>
          <w:rFonts w:asciiTheme="majorHAnsi" w:hAnsiTheme="majorHAnsi"/>
          <w:sz w:val="22"/>
          <w:szCs w:val="22"/>
        </w:rPr>
        <w:t xml:space="preserve">Similarly, Hansen (1999) argued that educational disparities between the Dai, </w:t>
      </w:r>
      <w:proofErr w:type="spellStart"/>
      <w:r w:rsidRPr="00FA5AA0">
        <w:rPr>
          <w:rFonts w:asciiTheme="majorHAnsi" w:hAnsiTheme="majorHAnsi"/>
          <w:sz w:val="22"/>
          <w:szCs w:val="22"/>
        </w:rPr>
        <w:t>Naxi</w:t>
      </w:r>
      <w:proofErr w:type="spellEnd"/>
      <w:r w:rsidRPr="00FA5AA0">
        <w:rPr>
          <w:rFonts w:asciiTheme="majorHAnsi" w:hAnsiTheme="majorHAnsi"/>
          <w:sz w:val="22"/>
          <w:szCs w:val="22"/>
        </w:rPr>
        <w:t xml:space="preserve">, Hani, and </w:t>
      </w:r>
      <w:proofErr w:type="spellStart"/>
      <w:r w:rsidRPr="00FA5AA0">
        <w:rPr>
          <w:rFonts w:asciiTheme="majorHAnsi" w:hAnsiTheme="majorHAnsi"/>
          <w:sz w:val="22"/>
          <w:szCs w:val="22"/>
        </w:rPr>
        <w:t>Jinuo</w:t>
      </w:r>
      <w:proofErr w:type="spellEnd"/>
      <w:r w:rsidRPr="00FA5AA0">
        <w:rPr>
          <w:rFonts w:asciiTheme="majorHAnsi" w:hAnsiTheme="majorHAnsi"/>
          <w:sz w:val="22"/>
          <w:szCs w:val="22"/>
        </w:rPr>
        <w:t xml:space="preserve"> in Yunnan can be traced to ethnic differences in perceptions of the economic benefits of education and the accord or opposition between their cultural heritage and the educational system.  Focusing on the two cases of the </w:t>
      </w:r>
      <w:proofErr w:type="spellStart"/>
      <w:r w:rsidRPr="00FA5AA0">
        <w:rPr>
          <w:rFonts w:asciiTheme="majorHAnsi" w:hAnsiTheme="majorHAnsi"/>
          <w:sz w:val="22"/>
          <w:szCs w:val="22"/>
        </w:rPr>
        <w:t>Naxi</w:t>
      </w:r>
      <w:proofErr w:type="spellEnd"/>
      <w:r w:rsidRPr="00FA5AA0">
        <w:rPr>
          <w:rFonts w:asciiTheme="majorHAnsi" w:hAnsiTheme="majorHAnsi"/>
          <w:sz w:val="22"/>
          <w:szCs w:val="22"/>
        </w:rPr>
        <w:t xml:space="preserve"> and the Dai, Hansen argues that the </w:t>
      </w:r>
      <w:proofErr w:type="spellStart"/>
      <w:r w:rsidRPr="00FA5AA0">
        <w:rPr>
          <w:rFonts w:asciiTheme="majorHAnsi" w:hAnsiTheme="majorHAnsi"/>
          <w:sz w:val="22"/>
          <w:szCs w:val="22"/>
        </w:rPr>
        <w:t>Naxi</w:t>
      </w:r>
      <w:proofErr w:type="spellEnd"/>
      <w:r w:rsidRPr="00FA5AA0">
        <w:rPr>
          <w:rFonts w:asciiTheme="majorHAnsi" w:hAnsiTheme="majorHAnsi"/>
          <w:sz w:val="22"/>
          <w:szCs w:val="22"/>
        </w:rPr>
        <w:t xml:space="preserve"> were thoroughly enmeshed in Confucian education during the Qing dynasty.  Due to this long history of acceptance of Chinese education, the </w:t>
      </w:r>
      <w:proofErr w:type="spellStart"/>
      <w:r w:rsidRPr="00FA5AA0">
        <w:rPr>
          <w:rFonts w:asciiTheme="majorHAnsi" w:hAnsiTheme="majorHAnsi"/>
          <w:sz w:val="22"/>
          <w:szCs w:val="22"/>
        </w:rPr>
        <w:t>Naxi</w:t>
      </w:r>
      <w:proofErr w:type="spellEnd"/>
      <w:r w:rsidRPr="00FA5AA0">
        <w:rPr>
          <w:rFonts w:asciiTheme="majorHAnsi" w:hAnsiTheme="majorHAnsi"/>
          <w:sz w:val="22"/>
          <w:szCs w:val="22"/>
        </w:rPr>
        <w:t xml:space="preserve"> have been able to obtain a degree of social mobility and status that has made it possible to express an educated identity that is at the same time an ethnic identity – within acceptable political bounds.  Educated </w:t>
      </w:r>
      <w:proofErr w:type="spellStart"/>
      <w:r w:rsidRPr="00FA5AA0">
        <w:rPr>
          <w:rFonts w:asciiTheme="majorHAnsi" w:hAnsiTheme="majorHAnsi"/>
          <w:sz w:val="22"/>
          <w:szCs w:val="22"/>
        </w:rPr>
        <w:t>Naxi</w:t>
      </w:r>
      <w:proofErr w:type="spellEnd"/>
      <w:r w:rsidRPr="00FA5AA0">
        <w:rPr>
          <w:rFonts w:asciiTheme="majorHAnsi" w:hAnsiTheme="majorHAnsi"/>
          <w:sz w:val="22"/>
          <w:szCs w:val="22"/>
        </w:rPr>
        <w:t xml:space="preserve"> are in a position to influence the educational system from the inside </w:t>
      </w:r>
      <w:r w:rsidRPr="00FA5AA0">
        <w:rPr>
          <w:rFonts w:asciiTheme="majorHAnsi" w:hAnsiTheme="majorHAnsi"/>
          <w:sz w:val="22"/>
          <w:szCs w:val="22"/>
        </w:rPr>
        <w:fldChar w:fldCharType="begin"/>
      </w:r>
      <w:r w:rsidRPr="00FA5AA0">
        <w:rPr>
          <w:rFonts w:asciiTheme="majorHAnsi" w:hAnsiTheme="majorHAnsi"/>
          <w:sz w:val="22"/>
          <w:szCs w:val="22"/>
        </w:rPr>
        <w:instrText xml:space="preserve"> ADDIN ZOTERO_ITEM CSL_CITATION {"citationID":"xZZcdO8z","properties":{"formattedCitation":"(see also Yu, 2010 on this point)","plainCitation":"(see also Yu, 2010 on this point)"},"citationItems":[{"id":3669,"uris":["http://zotero.org/users/992731/items/ZCT73J2Z"],"uri":["http://zotero.org/users/992731/items/ZCT73J2Z"],"itemData":{"id":3669,"type":"article-journal","title":"Cultural Integration and Education of the Naxi.","container-title":"Chinese Education &amp; Society","page":"36-45","volume":"43","issue":"1","abstract":"The author examines the role of education in integrating and connecting the Naxi with the Han, grounded in a historical narrative of the Naxi, a minority group in southern China. He stresses that although most Naxi people can speak fluent Chinese, they still keep a sense of ethnic differentiation. The author shows that assimilation is an autonomous and tacit choice led by the ruling class and intellectuals but does not serve as an ultimate end for pursuing group survival and cultural distinctiveness.","DOI":"Article","ISSN":"10611932","author":[{"family":"Yu","given":"Haibo"}],"issued":{"date-parts":[["2010",1]],"season":"Jan"}},"prefix":"see also","suffix":"on this point"}],"schema":"https://github.com/citation-style-language/schema/raw/master/csl-citation.json"} </w:instrText>
      </w:r>
      <w:r w:rsidRPr="00FA5AA0">
        <w:rPr>
          <w:rFonts w:asciiTheme="majorHAnsi" w:hAnsiTheme="majorHAnsi"/>
          <w:sz w:val="22"/>
          <w:szCs w:val="22"/>
        </w:rPr>
        <w:fldChar w:fldCharType="separate"/>
      </w:r>
      <w:r w:rsidRPr="00FA5AA0">
        <w:rPr>
          <w:rFonts w:asciiTheme="majorHAnsi" w:eastAsia="SimSun" w:hAnsiTheme="majorHAnsi"/>
          <w:sz w:val="22"/>
          <w:szCs w:val="22"/>
          <w:lang w:eastAsia="zh-CN"/>
        </w:rPr>
        <w:t>(see also Yu, 2010 on this point)</w:t>
      </w:r>
      <w:r w:rsidRPr="00FA5AA0">
        <w:rPr>
          <w:rFonts w:asciiTheme="majorHAnsi" w:hAnsiTheme="majorHAnsi"/>
          <w:sz w:val="22"/>
          <w:szCs w:val="22"/>
        </w:rPr>
        <w:fldChar w:fldCharType="end"/>
      </w:r>
      <w:r w:rsidRPr="00FA5AA0">
        <w:rPr>
          <w:rFonts w:asciiTheme="majorHAnsi" w:hAnsiTheme="majorHAnsi"/>
          <w:sz w:val="22"/>
          <w:szCs w:val="22"/>
        </w:rPr>
        <w:t xml:space="preserve">.  </w:t>
      </w:r>
    </w:p>
    <w:p w:rsidR="00FA5AA0" w:rsidRPr="00FA5AA0" w:rsidRDefault="00FA5AA0" w:rsidP="00627031">
      <w:pPr>
        <w:pStyle w:val="NormalIndent"/>
        <w:spacing w:line="240" w:lineRule="auto"/>
        <w:contextualSpacing/>
        <w:rPr>
          <w:rFonts w:asciiTheme="majorHAnsi" w:hAnsiTheme="majorHAnsi"/>
          <w:sz w:val="22"/>
          <w:szCs w:val="22"/>
        </w:rPr>
      </w:pPr>
      <w:r w:rsidRPr="00FA5AA0">
        <w:rPr>
          <w:rFonts w:asciiTheme="majorHAnsi" w:hAnsiTheme="majorHAnsi"/>
          <w:sz w:val="22"/>
          <w:szCs w:val="22"/>
        </w:rPr>
        <w:t xml:space="preserve">In contrast, Hansen notes that the Dai first encountered Chinese schools in the Republican period, and experienced them as a colonial-style imposition—a forced alternative to the monastic educational institutions in place previously.  Chinese education is more widely available than ever, but Hansen suggests that there persists a wide range of problems in convincing Dai children to remain in school, and that the practice of Buddhism and monastic education are thriving with economic modernization and increased cross-border contact with Thailand </w:t>
      </w:r>
      <w:r w:rsidRPr="00FA5AA0">
        <w:rPr>
          <w:rFonts w:asciiTheme="majorHAnsi" w:hAnsiTheme="majorHAnsi"/>
          <w:sz w:val="22"/>
          <w:szCs w:val="22"/>
        </w:rPr>
        <w:fldChar w:fldCharType="begin"/>
      </w:r>
      <w:r w:rsidRPr="00FA5AA0">
        <w:rPr>
          <w:rFonts w:asciiTheme="majorHAnsi" w:hAnsiTheme="majorHAnsi"/>
          <w:sz w:val="22"/>
          <w:szCs w:val="22"/>
        </w:rPr>
        <w:instrText xml:space="preserve"> ADDIN ZOTERO_ITEM CSL_CITATION {"citationID":"yr7RPqcG","properties":{"formattedCitation":"(Hansen, 1999)","plainCitation":"(Hansen, 1999)"},"citationItems":[{"id":1087,"uris":["http://zotero.org/users/992731/items/B9TANDIM"],"uri":["http://zotero.org/users/992731/items/B9TANDIM"],"itemData":{"id":1087,"type":"book","title":"Lessons in Being Chinese: Minority Education and Ethnic Identity in Southwest China","publisher":"University of Washington Press","author":[{"family":"Hansen","given":"M. H."}],"issued":{"date-parts":[[1999]]}}}],"schema":"https://github.com/citation-style-language/schema/raw/master/csl-citation.json"} </w:instrText>
      </w:r>
      <w:r w:rsidRPr="00FA5AA0">
        <w:rPr>
          <w:rFonts w:asciiTheme="majorHAnsi" w:hAnsiTheme="majorHAnsi"/>
          <w:sz w:val="22"/>
          <w:szCs w:val="22"/>
        </w:rPr>
        <w:fldChar w:fldCharType="separate"/>
      </w:r>
      <w:r w:rsidRPr="00FA5AA0">
        <w:rPr>
          <w:rFonts w:asciiTheme="majorHAnsi" w:eastAsia="SimSun" w:hAnsiTheme="majorHAnsi"/>
          <w:sz w:val="22"/>
          <w:szCs w:val="22"/>
          <w:lang w:eastAsia="zh-CN"/>
        </w:rPr>
        <w:t>(Hansen, 1999</w:t>
      </w:r>
      <w:r w:rsidRPr="00FA5AA0">
        <w:rPr>
          <w:rFonts w:asciiTheme="majorHAnsi" w:hAnsiTheme="majorHAnsi"/>
          <w:sz w:val="22"/>
          <w:szCs w:val="22"/>
        </w:rPr>
        <w:fldChar w:fldCharType="end"/>
      </w:r>
      <w:r w:rsidRPr="00FA5AA0">
        <w:rPr>
          <w:rFonts w:asciiTheme="majorHAnsi" w:hAnsiTheme="majorHAnsi"/>
          <w:sz w:val="22"/>
          <w:szCs w:val="22"/>
        </w:rPr>
        <w:t xml:space="preserve">, p. 165).  She suggests that educated Dai, unlike the </w:t>
      </w:r>
      <w:proofErr w:type="spellStart"/>
      <w:r w:rsidRPr="00FA5AA0">
        <w:rPr>
          <w:rFonts w:asciiTheme="majorHAnsi" w:hAnsiTheme="majorHAnsi"/>
          <w:sz w:val="22"/>
          <w:szCs w:val="22"/>
        </w:rPr>
        <w:t>Naxi</w:t>
      </w:r>
      <w:proofErr w:type="spellEnd"/>
      <w:r w:rsidRPr="00FA5AA0">
        <w:rPr>
          <w:rFonts w:asciiTheme="majorHAnsi" w:hAnsiTheme="majorHAnsi"/>
          <w:sz w:val="22"/>
          <w:szCs w:val="22"/>
        </w:rPr>
        <w:t xml:space="preserve">, are likely to dissociate themselves from their village’s cultural heritage </w:t>
      </w:r>
      <w:r w:rsidRPr="00FA5AA0">
        <w:rPr>
          <w:rFonts w:asciiTheme="majorHAnsi" w:hAnsiTheme="majorHAnsi"/>
          <w:sz w:val="22"/>
          <w:szCs w:val="22"/>
        </w:rPr>
        <w:fldChar w:fldCharType="begin"/>
      </w:r>
      <w:r w:rsidRPr="00FA5AA0">
        <w:rPr>
          <w:rFonts w:asciiTheme="majorHAnsi" w:hAnsiTheme="majorHAnsi"/>
          <w:sz w:val="22"/>
          <w:szCs w:val="22"/>
        </w:rPr>
        <w:instrText xml:space="preserve"> ADDIN ZOTERO_ITEM CSL_CITATION {"citationID":"cBlWA1JW","properties":{"formattedCitation":"(Hansen, 1999)","plainCitation":"(Hansen, 1999)"},"citationItems":[{"id":1087,"uris":["http://zotero.org/users/992731/items/B9TANDIM"],"uri":["http://zotero.org/users/992731/items/B9TANDIM"],"itemData":{"id":1087,"type":"book","title":"Lessons in Being Chinese: Minority Education and Ethnic Identity in Southwest China","publisher":"University of Washington Press","author":[{"family":"Hansen","given":"M. H."}],"issued":{"date-parts":[[1999]]}}}],"schema":"https://github.com/citation-style-language/schema/raw/master/csl-citation.json"} </w:instrText>
      </w:r>
      <w:r w:rsidRPr="00FA5AA0">
        <w:rPr>
          <w:rFonts w:asciiTheme="majorHAnsi" w:hAnsiTheme="majorHAnsi"/>
          <w:sz w:val="22"/>
          <w:szCs w:val="22"/>
        </w:rPr>
        <w:fldChar w:fldCharType="separate"/>
      </w:r>
      <w:r w:rsidRPr="00FA5AA0">
        <w:rPr>
          <w:rFonts w:asciiTheme="majorHAnsi" w:eastAsia="SimSun" w:hAnsiTheme="majorHAnsi"/>
          <w:sz w:val="22"/>
          <w:szCs w:val="22"/>
          <w:lang w:eastAsia="zh-CN"/>
        </w:rPr>
        <w:t>(Hansen, 1999)</w:t>
      </w:r>
      <w:r w:rsidRPr="00FA5AA0">
        <w:rPr>
          <w:rFonts w:asciiTheme="majorHAnsi" w:hAnsiTheme="majorHAnsi"/>
          <w:sz w:val="22"/>
          <w:szCs w:val="22"/>
        </w:rPr>
        <w:fldChar w:fldCharType="end"/>
      </w:r>
      <w:r w:rsidRPr="00FA5AA0">
        <w:rPr>
          <w:rFonts w:asciiTheme="majorHAnsi" w:hAnsiTheme="majorHAnsi"/>
          <w:sz w:val="22"/>
          <w:szCs w:val="22"/>
        </w:rPr>
        <w:t xml:space="preserve">.  </w:t>
      </w:r>
      <w:proofErr w:type="spellStart"/>
      <w:r w:rsidRPr="00FA5AA0">
        <w:rPr>
          <w:rFonts w:asciiTheme="majorHAnsi" w:hAnsiTheme="majorHAnsi"/>
          <w:sz w:val="22"/>
          <w:szCs w:val="22"/>
        </w:rPr>
        <w:t>Shen</w:t>
      </w:r>
      <w:proofErr w:type="spellEnd"/>
      <w:r w:rsidRPr="00FA5AA0">
        <w:rPr>
          <w:rFonts w:asciiTheme="majorHAnsi" w:hAnsiTheme="majorHAnsi"/>
          <w:sz w:val="22"/>
          <w:szCs w:val="22"/>
        </w:rPr>
        <w:t xml:space="preserve"> and </w:t>
      </w:r>
      <w:proofErr w:type="spellStart"/>
      <w:r w:rsidRPr="00FA5AA0">
        <w:rPr>
          <w:rFonts w:asciiTheme="majorHAnsi" w:hAnsiTheme="majorHAnsi"/>
          <w:sz w:val="22"/>
          <w:szCs w:val="22"/>
        </w:rPr>
        <w:t>Qian’s</w:t>
      </w:r>
      <w:proofErr w:type="spellEnd"/>
      <w:r w:rsidRPr="00FA5AA0">
        <w:rPr>
          <w:rFonts w:asciiTheme="majorHAnsi" w:hAnsiTheme="majorHAnsi"/>
          <w:sz w:val="22"/>
          <w:szCs w:val="22"/>
        </w:rPr>
        <w:t xml:space="preserve"> </w:t>
      </w:r>
      <w:r w:rsidRPr="00FA5AA0">
        <w:rPr>
          <w:rFonts w:asciiTheme="majorHAnsi" w:hAnsiTheme="majorHAnsi"/>
          <w:sz w:val="22"/>
          <w:szCs w:val="22"/>
        </w:rPr>
        <w:fldChar w:fldCharType="begin"/>
      </w:r>
      <w:r w:rsidRPr="00FA5AA0">
        <w:rPr>
          <w:rFonts w:asciiTheme="majorHAnsi" w:hAnsiTheme="majorHAnsi"/>
          <w:sz w:val="22"/>
          <w:szCs w:val="22"/>
        </w:rPr>
        <w:instrText xml:space="preserve"> ADDIN ZOTERO_ITEM CSL_CITATION {"citationID":"wccpyODl","properties":{"formattedCitation":"(2010)","plainCitation":"(2010)"},"citationItems":[{"id":3800,"uris":["http://zotero.org/users/992731/items/GNS3GT5C"],"uri":["http://zotero.org/users/992731/items/GNS3GT5C"],"itemData":{"id":3800,"type":"article-journal","title":"The Other in Education","container-title":"Chinese Education &amp; Society","page":"47-61","volume":"43","issue":"5","abstract":"By means of an investigation into the school education of the Dai people in Dehong, Yunnan province, this article expounds on the interactive relationship between modern education and local culture and the problems of cultural adaptation among ethnic minority students. School education, as a symbol of state power, always endeavors to transform internal Others into modern citizens. It devises a closed venue and separates students from everyday life situations to place them in a system of abstract knowledge. In local culture, however, students form practical knowledge in the course of enculturation. Due to the sustained expansion of modernity, an unequal power relationship is formed between abstract knowledge and practical knowledge. Meanwhile, school education is subject to constant parental queries, causing difficulties in cultural adaptation for Dai students. The article points out in conclusion that ethnic education should avoid creating doubly marginalized persons. [ABSTRACT FROM AUTHOR]\nCopyright of Chinese Education &amp; Society is the property of M.E. Sharpe Inc. and its content may not be copied or emailed to multiple sites or posted to a listserv without the copyright holder's express written permission. However, users may print, download, or email articles for individual use. This abstract may be abridged. No warranty is given about the accuracy of the copy. Users should refer to the original published version of the material for the full abstract. (Copyright applies to all Abstracts.)","DOI":"Article","ISSN":"10611932","author":[{"family":"Shen","given":"Hongcheng"},{"family":"Qian","given":"Minhui"}],"issued":{"date-parts":[["2010",9]]}},"suppress-author":true}],"schema":"https://github.com/citation-style-language/schema/raw/master/csl-citation.json"} </w:instrText>
      </w:r>
      <w:r w:rsidRPr="00FA5AA0">
        <w:rPr>
          <w:rFonts w:asciiTheme="majorHAnsi" w:hAnsiTheme="majorHAnsi"/>
          <w:sz w:val="22"/>
          <w:szCs w:val="22"/>
        </w:rPr>
        <w:fldChar w:fldCharType="separate"/>
      </w:r>
      <w:r w:rsidRPr="00FA5AA0">
        <w:rPr>
          <w:rFonts w:asciiTheme="majorHAnsi" w:eastAsia="SimSun" w:hAnsiTheme="majorHAnsi"/>
          <w:sz w:val="22"/>
          <w:szCs w:val="22"/>
          <w:lang w:eastAsia="zh-CN"/>
        </w:rPr>
        <w:t>(2010)</w:t>
      </w:r>
      <w:r w:rsidRPr="00FA5AA0">
        <w:rPr>
          <w:rFonts w:asciiTheme="majorHAnsi" w:hAnsiTheme="majorHAnsi"/>
          <w:sz w:val="22"/>
          <w:szCs w:val="22"/>
        </w:rPr>
        <w:fldChar w:fldCharType="end"/>
      </w:r>
      <w:r w:rsidRPr="00FA5AA0">
        <w:rPr>
          <w:rFonts w:asciiTheme="majorHAnsi" w:hAnsiTheme="majorHAnsi"/>
          <w:sz w:val="22"/>
          <w:szCs w:val="22"/>
        </w:rPr>
        <w:t xml:space="preserve"> fieldwork suggests that education is not necessarily widely viewed as a viable route to social mobility among the Dai.  </w:t>
      </w:r>
    </w:p>
    <w:p w:rsidR="00FA5AA0" w:rsidRPr="00FA5AA0" w:rsidRDefault="00FA5AA0" w:rsidP="00627031">
      <w:pPr>
        <w:pStyle w:val="NormalIndent"/>
        <w:spacing w:line="240" w:lineRule="auto"/>
        <w:contextualSpacing/>
        <w:rPr>
          <w:rFonts w:asciiTheme="majorHAnsi" w:hAnsiTheme="majorHAnsi"/>
          <w:sz w:val="22"/>
          <w:szCs w:val="22"/>
        </w:rPr>
      </w:pPr>
      <w:r w:rsidRPr="00FA5AA0">
        <w:rPr>
          <w:rFonts w:asciiTheme="majorHAnsi" w:hAnsiTheme="majorHAnsi"/>
          <w:sz w:val="22"/>
          <w:szCs w:val="22"/>
        </w:rPr>
        <w:t xml:space="preserve">A “cultural rupture” between home and school may contribute to the problem </w:t>
      </w:r>
      <w:r w:rsidRPr="00FA5AA0">
        <w:rPr>
          <w:rFonts w:asciiTheme="majorHAnsi" w:hAnsiTheme="majorHAnsi"/>
          <w:sz w:val="22"/>
          <w:szCs w:val="22"/>
        </w:rPr>
        <w:fldChar w:fldCharType="begin"/>
      </w:r>
      <w:r w:rsidRPr="00FA5AA0">
        <w:rPr>
          <w:rFonts w:asciiTheme="majorHAnsi" w:hAnsiTheme="majorHAnsi"/>
          <w:sz w:val="22"/>
          <w:szCs w:val="22"/>
        </w:rPr>
        <w:instrText xml:space="preserve"> ADDIN ZOTERO_ITEM CSL_CITATION {"citationID":"k18FpRNi","properties":{"formattedCitation":"(Shen &amp; Qian, 2010)","plainCitation":"(Shen &amp; Qian, 2010)"},"citationItems":[{"id":3800,"uris":["http://zotero.org/users/992731/items/GNS3GT5C"],"uri":["http://zotero.org/users/992731/items/GNS3GT5C"],"itemData":{"id":3800,"type":"article-journal","title":"The Other in Education","container-title":"Chinese Education &amp; Society","page":"47-61","volume":"43","issue":"5","abstract":"By means of an investigation into the school education of the Dai people in Dehong, Yunnan province, this article expounds on the interactive relationship between modern education and local culture and the problems of cultural adaptation among ethnic minority students. School education, as a symbol of state power, always endeavors to transform internal Others into modern citizens. It devises a closed venue and separates students from everyday life situations to place them in a system of abstract knowledge. In local culture, however, students form practical knowledge in the course of enculturation. Due to the sustained expansion of modernity, an unequal power relationship is formed between abstract knowledge and practical knowledge. Meanwhile, school education is subject to constant parental queries, causing difficulties in cultural adaptation for Dai students. The article points out in conclusion that ethnic education should avoid creating doubly marginalized persons. [ABSTRACT FROM AUTHOR]\nCopyright of Chinese Education &amp; Society is the property of M.E. Sharpe Inc. and its content may not be copied or emailed to multiple sites or posted to a listserv without the copyright holder's express written permission. However, users may print, download, or email articles for individual use. This abstract may be abridged. No warranty is given about the accuracy of the copy. Users should refer to the original published version of the material for the full abstract. (Copyright applies to all Abstracts.)","DOI":"Article","ISSN":"10611932","author":[{"family":"Shen","given":"Hongcheng"},{"family":"Qian","given":"Minhui"}],"issued":{"date-parts":[["2010",9]]}}}],"schema":"https://github.com/citation-style-language/schema/raw/master/csl-citation.json"} </w:instrText>
      </w:r>
      <w:r w:rsidRPr="00FA5AA0">
        <w:rPr>
          <w:rFonts w:asciiTheme="majorHAnsi" w:hAnsiTheme="majorHAnsi"/>
          <w:sz w:val="22"/>
          <w:szCs w:val="22"/>
        </w:rPr>
        <w:fldChar w:fldCharType="separate"/>
      </w:r>
      <w:r w:rsidRPr="00FA5AA0">
        <w:rPr>
          <w:rFonts w:asciiTheme="majorHAnsi" w:eastAsia="SimSun" w:hAnsiTheme="majorHAnsi"/>
          <w:sz w:val="22"/>
          <w:szCs w:val="22"/>
          <w:lang w:eastAsia="zh-CN"/>
        </w:rPr>
        <w:t>(Shen &amp; Qian, 2010)</w:t>
      </w:r>
      <w:r w:rsidRPr="00FA5AA0">
        <w:rPr>
          <w:rFonts w:asciiTheme="majorHAnsi" w:hAnsiTheme="majorHAnsi"/>
          <w:sz w:val="22"/>
          <w:szCs w:val="22"/>
        </w:rPr>
        <w:fldChar w:fldCharType="end"/>
      </w:r>
      <w:r w:rsidRPr="00FA5AA0">
        <w:rPr>
          <w:rFonts w:asciiTheme="majorHAnsi" w:hAnsiTheme="majorHAnsi"/>
          <w:sz w:val="22"/>
          <w:szCs w:val="22"/>
        </w:rPr>
        <w:t xml:space="preserve">.  </w:t>
      </w:r>
      <w:proofErr w:type="spellStart"/>
      <w:r w:rsidRPr="00FA5AA0">
        <w:rPr>
          <w:rFonts w:asciiTheme="majorHAnsi" w:hAnsiTheme="majorHAnsi"/>
          <w:sz w:val="22"/>
          <w:szCs w:val="22"/>
        </w:rPr>
        <w:t>Shen</w:t>
      </w:r>
      <w:proofErr w:type="spellEnd"/>
      <w:r w:rsidRPr="00FA5AA0">
        <w:rPr>
          <w:rFonts w:asciiTheme="majorHAnsi" w:hAnsiTheme="majorHAnsi"/>
          <w:sz w:val="22"/>
          <w:szCs w:val="22"/>
        </w:rPr>
        <w:t xml:space="preserve"> and </w:t>
      </w:r>
      <w:proofErr w:type="spellStart"/>
      <w:r w:rsidRPr="00FA5AA0">
        <w:rPr>
          <w:rFonts w:asciiTheme="majorHAnsi" w:hAnsiTheme="majorHAnsi"/>
          <w:sz w:val="22"/>
          <w:szCs w:val="22"/>
        </w:rPr>
        <w:t>Qian’s</w:t>
      </w:r>
      <w:proofErr w:type="spellEnd"/>
      <w:r w:rsidRPr="00FA5AA0">
        <w:rPr>
          <w:rFonts w:asciiTheme="majorHAnsi" w:hAnsiTheme="majorHAnsi"/>
          <w:sz w:val="22"/>
          <w:szCs w:val="22"/>
        </w:rPr>
        <w:t xml:space="preserve"> </w:t>
      </w:r>
      <w:r w:rsidRPr="00FA5AA0">
        <w:rPr>
          <w:rFonts w:asciiTheme="majorHAnsi" w:hAnsiTheme="majorHAnsi"/>
          <w:sz w:val="22"/>
          <w:szCs w:val="22"/>
        </w:rPr>
        <w:fldChar w:fldCharType="begin"/>
      </w:r>
      <w:r w:rsidRPr="00FA5AA0">
        <w:rPr>
          <w:rFonts w:asciiTheme="majorHAnsi" w:hAnsiTheme="majorHAnsi"/>
          <w:sz w:val="22"/>
          <w:szCs w:val="22"/>
        </w:rPr>
        <w:instrText xml:space="preserve"> ADDIN ZOTERO_ITEM CSL_CITATION {"citationID":"ma9Owa7c","properties":{"formattedCitation":"(2010)","plainCitation":"(2010)"},"citationItems":[{"id":3800,"uris":["http://zotero.org/users/992731/items/GNS3GT5C"],"uri":["http://zotero.org/users/992731/items/GNS3GT5C"],"itemData":{"id":3800,"type":"article-journal","title":"The Other in Education","container-title":"Chinese Education &amp; Society","page":"47-61","volume":"43","issue":"5","abstract":"By means of an investigation into the school education of the Dai people in Dehong, Yunnan province, this article expounds on the interactive relationship between modern education and local culture and the problems of cultural adaptation among ethnic minority students. School education, as a symbol of state power, always endeavors to transform internal Others into modern citizens. It devises a closed venue and separates students from everyday life situations to place them in a system of abstract knowledge. In local culture, however, students form practical knowledge in the course of enculturation. Due to the sustained expansion of modernity, an unequal power relationship is formed between abstract knowledge and practical knowledge. Meanwhile, school education is subject to constant parental queries, causing difficulties in cultural adaptation for Dai students. The article points out in conclusion that ethnic education should avoid creating doubly marginalized persons. [ABSTRACT FROM AUTHOR]\nCopyright of Chinese Education &amp; Society is the property of M.E. Sharpe Inc. and its content may not be copied or emailed to multiple sites or posted to a listserv without the copyright holder's express written permission. However, users may print, download, or email articles for individual use. This abstract may be abridged. No warranty is given about the accuracy of the copy. Users should refer to the original published version of the material for the full abstract. (Copyright applies to all Abstracts.)","DOI":"Article","ISSN":"10611932","author":[{"family":"Shen","given":"Hongcheng"},{"family":"Qian","given":"Minhui"}],"issued":{"date-parts":[["2010",9]]}},"suppress-author":true}],"schema":"https://github.com/citation-style-language/schema/raw/master/csl-citation.json"} </w:instrText>
      </w:r>
      <w:r w:rsidRPr="00FA5AA0">
        <w:rPr>
          <w:rFonts w:asciiTheme="majorHAnsi" w:hAnsiTheme="majorHAnsi"/>
          <w:sz w:val="22"/>
          <w:szCs w:val="22"/>
        </w:rPr>
        <w:fldChar w:fldCharType="separate"/>
      </w:r>
      <w:r w:rsidRPr="00FA5AA0">
        <w:rPr>
          <w:rFonts w:asciiTheme="majorHAnsi" w:eastAsia="SimSun" w:hAnsiTheme="majorHAnsi"/>
          <w:sz w:val="22"/>
          <w:szCs w:val="22"/>
          <w:lang w:eastAsia="zh-CN"/>
        </w:rPr>
        <w:t>(2010)</w:t>
      </w:r>
      <w:r w:rsidRPr="00FA5AA0">
        <w:rPr>
          <w:rFonts w:asciiTheme="majorHAnsi" w:hAnsiTheme="majorHAnsi"/>
          <w:sz w:val="22"/>
          <w:szCs w:val="22"/>
        </w:rPr>
        <w:fldChar w:fldCharType="end"/>
      </w:r>
      <w:r w:rsidRPr="00FA5AA0">
        <w:rPr>
          <w:rFonts w:asciiTheme="majorHAnsi" w:hAnsiTheme="majorHAnsi"/>
          <w:sz w:val="22"/>
          <w:szCs w:val="22"/>
        </w:rPr>
        <w:t xml:space="preserve"> fieldwork among the Dai in Yunnan suggests that there are considerable differences between Dai students’ home and school lives, in terms of the content of a curriculum that is highly exam oriented and contains little material on Dai daily lives, history, religion, or culture, and in terms of expected orientations and behaviors.  Language use in school may also contribute to this disconnect, bilingual policies notwithstanding.  </w:t>
      </w:r>
      <w:proofErr w:type="spellStart"/>
      <w:r w:rsidRPr="00FA5AA0">
        <w:rPr>
          <w:rFonts w:asciiTheme="majorHAnsi" w:hAnsiTheme="majorHAnsi"/>
          <w:sz w:val="22"/>
          <w:szCs w:val="22"/>
        </w:rPr>
        <w:t>Shen</w:t>
      </w:r>
      <w:proofErr w:type="spellEnd"/>
      <w:r w:rsidRPr="00FA5AA0">
        <w:rPr>
          <w:rFonts w:asciiTheme="majorHAnsi" w:hAnsiTheme="majorHAnsi"/>
          <w:sz w:val="22"/>
          <w:szCs w:val="22"/>
        </w:rPr>
        <w:t xml:space="preserve"> and </w:t>
      </w:r>
      <w:proofErr w:type="spellStart"/>
      <w:r w:rsidRPr="00FA5AA0">
        <w:rPr>
          <w:rFonts w:asciiTheme="majorHAnsi" w:hAnsiTheme="majorHAnsi"/>
          <w:sz w:val="22"/>
          <w:szCs w:val="22"/>
        </w:rPr>
        <w:t>Qian’s</w:t>
      </w:r>
      <w:proofErr w:type="spellEnd"/>
      <w:r w:rsidRPr="00FA5AA0">
        <w:rPr>
          <w:rFonts w:asciiTheme="majorHAnsi" w:hAnsiTheme="majorHAnsi"/>
          <w:sz w:val="22"/>
          <w:szCs w:val="22"/>
        </w:rPr>
        <w:t xml:space="preserve"> </w:t>
      </w:r>
      <w:r w:rsidRPr="00FA5AA0">
        <w:rPr>
          <w:rFonts w:asciiTheme="majorHAnsi" w:hAnsiTheme="majorHAnsi"/>
          <w:sz w:val="22"/>
          <w:szCs w:val="22"/>
        </w:rPr>
        <w:fldChar w:fldCharType="begin"/>
      </w:r>
      <w:r w:rsidRPr="00FA5AA0">
        <w:rPr>
          <w:rFonts w:asciiTheme="majorHAnsi" w:hAnsiTheme="majorHAnsi"/>
          <w:sz w:val="22"/>
          <w:szCs w:val="22"/>
        </w:rPr>
        <w:instrText xml:space="preserve"> ADDIN ZOTERO_ITEM CSL_CITATION {"citationID":"S2JSHafZ","properties":{"formattedCitation":"(2010, p. 57)","plainCitation":"(2010, p. 57)"},"citationItems":[{"id":3800,"uris":["http://zotero.org/users/992731/items/GNS3GT5C"],"uri":["http://zotero.org/users/992731/items/GNS3GT5C"],"itemData":{"id":3800,"type":"article-journal","title":"The Other in Education","container-title":"Chinese Education &amp; Society","page":"47-61","volume":"43","issue":"5","abstract":"By means of an investigation into the school education of the Dai people in Dehong, Yunnan province, this article expounds on the interactive relationship between modern education and local culture and the problems of cultural adaptation among ethnic minority students. School education, as a symbol of state power, always endeavors to transform internal Others into modern citizens. It devises a closed venue and separates students from everyday life situations to place them in a system of abstract knowledge. In local culture, however, students form practical knowledge in the course of enculturation. Due to the sustained expansion of modernity, an unequal power relationship is formed between abstract knowledge and practical knowledge. Meanwhile, school education is subject to constant parental queries, causing difficulties in cultural adaptation for Dai students. The article points out in conclusion that ethnic education should avoid creating doubly marginalized persons. [ABSTRACT FROM AUTHOR]\nCopyright of Chinese Education &amp; Society is the property of M.E. Sharpe Inc. and its content may not be copied or emailed to multiple sites or posted to a listserv without the copyright holder's express written permission. However, users may print, download, or email articles for individual use. This abstract may be abridged. No warranty is given about the accuracy of the copy. Users should refer to the original published version of the material for the full abstract. (Copyright applies to all Abstracts.)","DOI":"Article","ISSN":"10611932","author":[{"family":"Shen","given":"Hongcheng"},{"family":"Qian","given":"Minhui"}],"issued":{"date-parts":[["2010",9]]}},"locator":"57","suppress-author":true}],"schema":"https://github.com/citation-style-language/schema/raw/master/csl-citation.json"} </w:instrText>
      </w:r>
      <w:r w:rsidRPr="00FA5AA0">
        <w:rPr>
          <w:rFonts w:asciiTheme="majorHAnsi" w:hAnsiTheme="majorHAnsi"/>
          <w:sz w:val="22"/>
          <w:szCs w:val="22"/>
        </w:rPr>
        <w:fldChar w:fldCharType="separate"/>
      </w:r>
      <w:r w:rsidRPr="00FA5AA0">
        <w:rPr>
          <w:rFonts w:asciiTheme="majorHAnsi" w:eastAsia="SimSun" w:hAnsiTheme="majorHAnsi"/>
          <w:sz w:val="22"/>
          <w:szCs w:val="22"/>
          <w:lang w:eastAsia="zh-CN"/>
        </w:rPr>
        <w:t>(2010, p. 57)</w:t>
      </w:r>
      <w:r w:rsidRPr="00FA5AA0">
        <w:rPr>
          <w:rFonts w:asciiTheme="majorHAnsi" w:hAnsiTheme="majorHAnsi"/>
          <w:sz w:val="22"/>
          <w:szCs w:val="22"/>
        </w:rPr>
        <w:fldChar w:fldCharType="end"/>
      </w:r>
      <w:r w:rsidRPr="00FA5AA0">
        <w:rPr>
          <w:rFonts w:asciiTheme="majorHAnsi" w:hAnsiTheme="majorHAnsi"/>
          <w:sz w:val="22"/>
          <w:szCs w:val="22"/>
        </w:rPr>
        <w:t xml:space="preserve"> fieldwork indicated that most students reported difficulty learning standard Chinese, and that the use of the Dai language by students is “peremptorily reprimanded” by teachers.  Similarly, Bass notes that Chinese language of instruction in upper secondary creates a barrier to enrollment and promotion to the “fast” stream for Tibetans, vis-à-vis Han students in Tibet </w:t>
      </w:r>
      <w:r w:rsidRPr="00FA5AA0">
        <w:rPr>
          <w:rFonts w:asciiTheme="majorHAnsi" w:hAnsiTheme="majorHAnsi"/>
          <w:sz w:val="22"/>
          <w:szCs w:val="22"/>
        </w:rPr>
        <w:fldChar w:fldCharType="begin"/>
      </w:r>
      <w:r w:rsidRPr="00FA5AA0">
        <w:rPr>
          <w:rFonts w:asciiTheme="majorHAnsi" w:hAnsiTheme="majorHAnsi"/>
          <w:sz w:val="22"/>
          <w:szCs w:val="22"/>
        </w:rPr>
        <w:instrText xml:space="preserve"> ADDIN ZOTERO_ITEM CSL_CITATION {"citationID":"NsCXfOeh","properties":{"formattedCitation":"(Bass, 1998)","plainCitation":"(Bass, 1998)"},"citationItems":[{"id":3566,"uris":["http://zotero.org/users/992731/items/2NS86FFB"],"uri":["http://zotero.org/users/992731/items/2NS86FFB"],"itemData":{"id":3566,"type":"book","title":"Education in Tibet","collection-title":"Politics in contemporary Asia series; Variation:                Politics in contemporary Asia.","publisher":"St. Martin's Press","publisher-place":"New York","source":"OCLC WorldCat FirstSearch","event-place":"New York","ISBN":"1856496732","note":"Access: http://catdir.loc.gov/catdir/bios/hol058/98036349.html\nExternal Resources: Cite This Item Search for versions with same title and author | Advanced options ...\nLanguage: English\nContents: Preface -- Introduction -- Part One: Background -- Red or Expert: Shifting Priorities in Education, 1950-1978 -- Socialist Modernisation, 1978-97 -- Regional Disparity in Education Provision -- Part Two: Primary Education -- Funding of Primary Education: Urban versus Rural -- General Secondary Education -- Vocational Secondary Education -- Higher Education -- Pre-school Education, Education for Girls, Special Needs Education -- Teachers and Teaching -- Tibetan Language Policy in Education -- Concluding Comments.\nAccess: Materials specified:      Contributor biographical information http://catdir.loc.gov/catdir/bios/hol058/98036349.html\nMaterials specified: Publisher description http://catdir.loc.gov/catdir/description/hol056/98036349.html\nMaterials specified: Table of contents http://catdir.loc.gov/catdir/toc/hol052/98036349.html\nGeographic: Tibet. China.\nNote(s): Includes bibliographical references (p. [283]-292) and index.\nGeneral Info: National bibliography no: GB98-W7723 Other format available:   Online version:; Bass, Catriona.; Education in Tibet.; London ; New York : Zed Books ; London ; Jackson, Wy : Tibet Information Network ; New York : St. Martin's Press [distributor], 1998; Online version:; Bass, Catriona.; Education in Tibet.; London ; New York : Zed Books ; London ; Jackson, Wy : Tibet Information Network ; New York : St. Martin's Press [distributor], 1998\nClass Descriptors: LC: LC94.C5; Dewey: 379.414\nResponsibility: Catriona Bass.\nMore Records: Show record information\nVendor Info: Baker and Taylor Baker &amp; Taylor Baker &amp; Taylor YBP Library Services (BTCP BKTY BKTY YANK) 80.00 32.00 Status:                   active active\nMaterial Type: Internet resource (url)\nDate of Entry: 19980715\nUpdate: 20111128\nProvider: OCLC\n2 Red or Expert: Shifting Priorities in Education, 1949-78 ( 26 ) 'Democratic Revolution', 'Socialist Reconstruction' and 'Socialist Transformation' in China, 1949-65 ( 26 ) The 'minority' nationality education policy and Tibet, 1950-65 ( 28 ) The Cultural Revolution in China, 1966-76 ( 34 ) The Cultural Revolution in the TAR, 1966-76 ( 36 ) Summary ( 41 ) 3oSiclasi toMednrzitaoi,n1 79-879 ( 47 )\nhT eoFruM doreinazitno: sr teru nfoq auilyto ev ruqnaityt ( 47 ) Changes in China's 'minority' nationality education policy ( 50 )\ndEcutaoi nerofmr snit ehT RA : ht e9108s ( 51 ) Patriotic education and the political role of 'minority' nationality education in the TAR: 1990s ( 54 ) Summary ( 59 )\n4 Economic Reform: Regional Disparity in Education Provision ( 63 )\nFunding: diversification of sources ( 63 ) Nine-year compulsory education: regional disparity in implementation ( 66 ) Summary ( 69 ) 5 Primary Education ( 72 ) The 'consolidation' of primary schools, 1978-84 ( 72 ) Enrolment in primary education ( 75 ) Urban versus rural provision in the TAR ( 77 ) Drop-out from primary education ( 78 ) Illiteracy ( 82 ) Low enrolment and high drop-out in rural schools: a review of contributory factors ( 86 ) uSmmray ( 106 ) Official statistics and basic facts ( 107 )\n6 Funding of Primary Education: Urban Versus Rural ( 114 ) Government funding ( 114 ) Non-government funding ( 118 )\nReassessment of funding reforms in the 1990s: recentralization and renewed emphasis on government funding ( 124 ) Summary ( 131 ) 7 General Secondary Education ( 137 ) Elite versus mass education ( 137 ) Enrolment in secondary education ( 137 ) Urban-rural distribution of secondary schools ( 141 ) Key schools ( 141 ) The streaming system in secondary schools ( 145 ) The education of children from the TAR in Central China ( 149 ) Summary ( 153 ) Official statistics and basic facts 1994 ( 155 ) 8oVacitnolaS cenoadyrE udacitno ( 159 ) The development of vocational secondary education in the TAR since 1978 ( 159 ) Funding of vocational secondary education ( 162 ) Enrolment in vocational secondary education in the TAR ( 162 ) Senior secondary specialized schools in the TAR ( 163 ) Summary ( 167 ) Official statistics and basic facts ( 169 ) 9 Higher Education ( 172 )\nFunding of higher education in the 1980s: higher education versus basic education ( 174 )\nFunding crisis in higher education in the 1990s: recentralization of control ( 176 ) Enrolment in higher education ( 179 ) Enrolment in higher education in the TAR ( 184 )\nLow enrolment of Tibetans in higher education: factors involved ( 191 ) Summary ( 196 ) Official statistics and basic facts ( 198 ) 10 Pre-school Education, Education for Girls, and Special Needs Education ( 205 ) Pre-school education ( 205 ) Education for girls ( 206 ) Special needs education ( 206 ) 11T aehcre sna deTcaihgn ( 209 ) Teachers and the Communist Party ( 209 ) The economic status of teachers ( 210 ) Teacher shortages ( 214 ) Teaching quality ( 216 ) Teacher training ( 219 ) Summary ( 224 ) Official statistics and basic facts ( 225 ) 12 Tibetan Language Policy in Education ( 229 ) nAo evvreiw ( 229 ) Provision of Tibetan medium education ( 233 ) Experimental Tibetan medium secondary schools ( 235 ) rPboelsmo fmilpmeneatitno ( 237 ) Summary ( 244 ) 13 Concluding Comments ( 250 ) Education in the TAR and China's broader economic concerns ( 252 ) Education in the TAR and China's strategic concerns ( 256 )","shortTitle":"Education in Tibet","author":[{"family":"Bass","given":"Catriona"}],"issued":{"date-parts":[[1998]]}}}],"schema":"https://github.com/citation-style-language/schema/raw/master/csl-citation.json"} </w:instrText>
      </w:r>
      <w:r w:rsidRPr="00FA5AA0">
        <w:rPr>
          <w:rFonts w:asciiTheme="majorHAnsi" w:hAnsiTheme="majorHAnsi"/>
          <w:sz w:val="22"/>
          <w:szCs w:val="22"/>
        </w:rPr>
        <w:fldChar w:fldCharType="separate"/>
      </w:r>
      <w:r w:rsidRPr="00FA5AA0">
        <w:rPr>
          <w:rFonts w:asciiTheme="majorHAnsi" w:eastAsia="SimSun" w:hAnsiTheme="majorHAnsi"/>
          <w:sz w:val="22"/>
          <w:szCs w:val="22"/>
          <w:lang w:eastAsia="zh-CN"/>
        </w:rPr>
        <w:t>(Bass, 1998)</w:t>
      </w:r>
      <w:r w:rsidRPr="00FA5AA0">
        <w:rPr>
          <w:rFonts w:asciiTheme="majorHAnsi" w:hAnsiTheme="majorHAnsi"/>
          <w:sz w:val="22"/>
          <w:szCs w:val="22"/>
        </w:rPr>
        <w:fldChar w:fldCharType="end"/>
      </w:r>
      <w:r w:rsidRPr="00FA5AA0">
        <w:rPr>
          <w:rFonts w:asciiTheme="majorHAnsi" w:hAnsiTheme="majorHAnsi"/>
          <w:sz w:val="22"/>
          <w:szCs w:val="22"/>
        </w:rPr>
        <w:t xml:space="preserve">.  Yet, Bass also connects this issue, at least in part, to politics: she argues that political considerations have hindered balanced reflections on what language policies are most sensible, from a pedagogical perspective (p. 258).  </w:t>
      </w:r>
    </w:p>
    <w:p w:rsidR="00FA5AA0" w:rsidRPr="00FA5AA0" w:rsidRDefault="00FA5AA0" w:rsidP="00627031">
      <w:pPr>
        <w:pStyle w:val="Heading2"/>
        <w:spacing w:line="240" w:lineRule="auto"/>
        <w:contextualSpacing/>
        <w:rPr>
          <w:rFonts w:asciiTheme="majorHAnsi" w:hAnsiTheme="majorHAnsi"/>
          <w:sz w:val="22"/>
          <w:szCs w:val="22"/>
        </w:rPr>
      </w:pPr>
      <w:r w:rsidRPr="00FA5AA0">
        <w:rPr>
          <w:rFonts w:asciiTheme="majorHAnsi" w:hAnsiTheme="majorHAnsi"/>
          <w:sz w:val="22"/>
          <w:szCs w:val="22"/>
        </w:rPr>
        <w:t>Educational Stratification</w:t>
      </w:r>
    </w:p>
    <w:p w:rsidR="00FA5AA0" w:rsidRPr="00FA5AA0" w:rsidRDefault="00FA5AA0" w:rsidP="00627031">
      <w:pPr>
        <w:pStyle w:val="NormalIndent"/>
        <w:spacing w:line="240" w:lineRule="auto"/>
        <w:contextualSpacing/>
        <w:rPr>
          <w:rFonts w:asciiTheme="majorHAnsi" w:hAnsiTheme="majorHAnsi"/>
          <w:sz w:val="22"/>
          <w:szCs w:val="22"/>
        </w:rPr>
      </w:pPr>
      <w:r w:rsidRPr="00FA5AA0">
        <w:rPr>
          <w:rFonts w:asciiTheme="majorHAnsi" w:hAnsiTheme="majorHAnsi"/>
          <w:sz w:val="22"/>
          <w:szCs w:val="22"/>
        </w:rPr>
        <w:t xml:space="preserve">Detailed empirical attention to documenting the scope of educational inequalities by ethnic group has been limited in the English language literature.  Much of the quantitative work on access and attainment, executed by stratification researchers in sociology and development economists, has been exploratory.  It addresses both access and attainment, and the economic context and outcomes of education.  This work links conceptually </w:t>
      </w:r>
      <w:proofErr w:type="gramStart"/>
      <w:r w:rsidRPr="00FA5AA0">
        <w:rPr>
          <w:rFonts w:asciiTheme="majorHAnsi" w:hAnsiTheme="majorHAnsi"/>
          <w:sz w:val="22"/>
          <w:szCs w:val="22"/>
        </w:rPr>
        <w:t>to</w:t>
      </w:r>
      <w:proofErr w:type="gramEnd"/>
      <w:r w:rsidRPr="00FA5AA0">
        <w:rPr>
          <w:rFonts w:asciiTheme="majorHAnsi" w:hAnsiTheme="majorHAnsi"/>
          <w:sz w:val="22"/>
          <w:szCs w:val="22"/>
        </w:rPr>
        <w:t xml:space="preserve"> many of the issues raised in the field-based studies cited above, but those connections are not generally explicitly present in the work.</w:t>
      </w:r>
    </w:p>
    <w:p w:rsidR="00FA5AA0" w:rsidRPr="00FA5AA0" w:rsidRDefault="00FA5AA0" w:rsidP="00627031">
      <w:pPr>
        <w:pStyle w:val="Heading3"/>
        <w:spacing w:line="240" w:lineRule="auto"/>
        <w:contextualSpacing/>
        <w:rPr>
          <w:rFonts w:asciiTheme="majorHAnsi" w:hAnsiTheme="majorHAnsi"/>
          <w:sz w:val="22"/>
          <w:szCs w:val="22"/>
        </w:rPr>
      </w:pPr>
      <w:r w:rsidRPr="00FA5AA0">
        <w:rPr>
          <w:rFonts w:asciiTheme="majorHAnsi" w:hAnsiTheme="majorHAnsi"/>
          <w:sz w:val="22"/>
          <w:szCs w:val="22"/>
        </w:rPr>
        <w:t>Access and Attainment</w:t>
      </w:r>
    </w:p>
    <w:p w:rsidR="00FA5AA0" w:rsidRPr="00FA5AA0" w:rsidRDefault="00FA5AA0" w:rsidP="00627031">
      <w:pPr>
        <w:pStyle w:val="NormalIndent"/>
        <w:spacing w:line="240" w:lineRule="auto"/>
        <w:contextualSpacing/>
        <w:rPr>
          <w:rFonts w:asciiTheme="majorHAnsi" w:hAnsiTheme="majorHAnsi"/>
          <w:sz w:val="22"/>
          <w:szCs w:val="22"/>
        </w:rPr>
      </w:pPr>
      <w:r w:rsidRPr="00FA5AA0">
        <w:rPr>
          <w:rFonts w:asciiTheme="majorHAnsi" w:hAnsiTheme="majorHAnsi"/>
          <w:sz w:val="22"/>
          <w:szCs w:val="22"/>
        </w:rPr>
        <w:t xml:space="preserve">Analyses of data from a 1992 survey of children demonstrated substantial ethnic differences in enrollment among rural 7- to 14 year olds, with rates for ethnic Chinese boys roughly double those for girls from certain ethnic groups </w:t>
      </w:r>
      <w:r w:rsidRPr="00FA5AA0">
        <w:rPr>
          <w:rFonts w:asciiTheme="majorHAnsi" w:hAnsiTheme="majorHAnsi"/>
          <w:sz w:val="22"/>
          <w:szCs w:val="22"/>
        </w:rPr>
        <w:fldChar w:fldCharType="begin"/>
      </w:r>
      <w:r w:rsidRPr="00FA5AA0">
        <w:rPr>
          <w:rFonts w:asciiTheme="majorHAnsi" w:hAnsiTheme="majorHAnsi"/>
          <w:sz w:val="22"/>
          <w:szCs w:val="22"/>
        </w:rPr>
        <w:instrText xml:space="preserve"> ADDIN ZOTERO_ITEM CSL_CITATION {"citationID":"zCfCvtGZ","properties":{"formattedCitation":"(Hannum, 2002)","plainCitation":"(Hannum, 2002)"},"citationItems":[{"id":1073,"uris":["http://zotero.org/users/992731/items/7VTQW3XZ"],"uri":["http://zotero.org/users/992731/items/7VTQW3XZ"],"itemData":{"id":1073,"type":"article-journal","title":"Educational Stratification by Ethnicity in China: Enrollment and Attainment in the Early Reform Years","container-title":"Demography","page":"95-117","volume":"39","issue":"1","abstract":"This article demonstrates the need for attention to minority populations in studies of social stratification in China. In this study analyses from a 1992 survey of children were used to demonstrate substantial ethnic differences in enrollment among rural 7 to 14 year olds, with rates for ethnic Chinese boys roughly double those for girls from certain ethnic groups. This article examines disparities in enrollment associated with ethnicity, poverty, and gender and then describes changes in ethnic differences in the entrance to primary school and the transition to junior high school. The results contradict the hypothesis that in the period under study, the gender gap was greater among the minority population as a group. Also, the reinforcement of educational disparities across individual ethnic groups through the early reform period demonstrates the persisting significance of ethnicity. Results of this study stress the continuing significance of ethnicity as a fundamental factor that conditions status attainment opportunities in China.","note":"J1: Demography; M3: Article; Accession Number: 6346637; Hannum, Emily 1 Email Address: hannumem@sun.ssc.upenn.edu.; Affiliations: 1: University of Pennsylvania, Department of Sociology, 3718 Locust Walk, Philadelphia, PA.; Source Information: Feb2002, Vol. 39 Issue 1, p95; Subject Term: DISCRIMINATION in educationSubject Term: ETHNICITYSubject Term: POVERTYSubject Term: SCHOOL childrenSubject Term: SOCIAL classesSubject Term: SOCIAL stratificationSubject Term: GENDER; Subject Term: CHINA; Number of Pages: 23p; Document Type: Article","author":[{"family":"Hannum","given":"Emily"}],"issued":{"year":2002},"page-first":"95"}}],"schema":"https://github.com/citation-style-language/schema/raw/master/csl-citation.json"} </w:instrText>
      </w:r>
      <w:r w:rsidRPr="00FA5AA0">
        <w:rPr>
          <w:rFonts w:asciiTheme="majorHAnsi" w:hAnsiTheme="majorHAnsi"/>
          <w:sz w:val="22"/>
          <w:szCs w:val="22"/>
        </w:rPr>
        <w:fldChar w:fldCharType="separate"/>
      </w:r>
      <w:r w:rsidRPr="00FA5AA0">
        <w:rPr>
          <w:rFonts w:asciiTheme="majorHAnsi" w:eastAsia="SimSun" w:hAnsiTheme="majorHAnsi"/>
          <w:sz w:val="22"/>
          <w:szCs w:val="22"/>
          <w:lang w:eastAsia="zh-CN"/>
        </w:rPr>
        <w:t>(Hannum, 2002)</w:t>
      </w:r>
      <w:r w:rsidRPr="00FA5AA0">
        <w:rPr>
          <w:rFonts w:asciiTheme="majorHAnsi" w:hAnsiTheme="majorHAnsi"/>
          <w:sz w:val="22"/>
          <w:szCs w:val="22"/>
        </w:rPr>
        <w:fldChar w:fldCharType="end"/>
      </w:r>
      <w:r w:rsidRPr="00FA5AA0">
        <w:rPr>
          <w:rFonts w:asciiTheme="majorHAnsi" w:hAnsiTheme="majorHAnsi"/>
          <w:sz w:val="22"/>
          <w:szCs w:val="22"/>
        </w:rPr>
        <w:t xml:space="preserve">.  The same study showed that the ethnic gap could be attributed, in part, to compositional differences in geographic location of residence and socioeconomic background </w:t>
      </w:r>
      <w:r w:rsidRPr="00FA5AA0">
        <w:rPr>
          <w:rFonts w:asciiTheme="majorHAnsi" w:hAnsiTheme="majorHAnsi"/>
          <w:sz w:val="22"/>
          <w:szCs w:val="22"/>
        </w:rPr>
        <w:fldChar w:fldCharType="begin"/>
      </w:r>
      <w:r w:rsidRPr="00FA5AA0">
        <w:rPr>
          <w:rFonts w:asciiTheme="majorHAnsi" w:hAnsiTheme="majorHAnsi"/>
          <w:sz w:val="22"/>
          <w:szCs w:val="22"/>
        </w:rPr>
        <w:instrText xml:space="preserve"> ADDIN ZOTERO_ITEM CSL_CITATION {"citationID":"q3mKtR0s","properties":{"formattedCitation":"(Hannum, 2002)","plainCitation":"(Hannum, 2002)"},"citationItems":[{"id":1073,"uris":["http://zotero.org/users/992731/items/7VTQW3XZ"],"uri":["http://zotero.org/users/992731/items/7VTQW3XZ"],"itemData":{"id":1073,"type":"article-journal","title":"Educational Stratification by Ethnicity in China: Enrollment and Attainment in the Early Reform Years","container-title":"Demography","page":"95-117","volume":"39","issue":"1","abstract":"This article demonstrates the need for attention to minority populations in studies of social stratification in China. In this study analyses from a 1992 survey of children were used to demonstrate substantial ethnic differences in enrollment among rural 7 to 14 year olds, with rates for ethnic Chinese boys roughly double those for girls from certain ethnic groups. This article examines disparities in enrollment associated with ethnicity, poverty, and gender and then describes changes in ethnic differences in the entrance to primary school and the transition to junior high school. The results contradict the hypothesis that in the period under study, the gender gap was greater among the minority population as a group. Also, the reinforcement of educational disparities across individual ethnic groups through the early reform period demonstrates the persisting significance of ethnicity. Results of this study stress the continuing significance of ethnicity as a fundamental factor that conditions status attainment opportunities in China.","note":"J1: Demography; M3: Article; Accession Number: 6346637; Hannum, Emily 1 Email Address: hannumem@sun.ssc.upenn.edu.; Affiliations: 1: University of Pennsylvania, Department of Sociology, 3718 Locust Walk, Philadelphia, PA.; Source Information: Feb2002, Vol. 39 Issue 1, p95; Subject Term: DISCRIMINATION in educationSubject Term: ETHNICITYSubject Term: POVERTYSubject Term: SCHOOL childrenSubject Term: SOCIAL classesSubject Term: SOCIAL stratificationSubject Term: GENDER; Subject Term: CHINA; Number of Pages: 23p; Document Type: Article","author":[{"family":"Hannum","given":"Emily"}],"issued":{"year":2002},"page-first":"95"}}],"schema":"https://github.com/citation-style-language/schema/raw/master/csl-citation.json"} </w:instrText>
      </w:r>
      <w:r w:rsidRPr="00FA5AA0">
        <w:rPr>
          <w:rFonts w:asciiTheme="majorHAnsi" w:hAnsiTheme="majorHAnsi"/>
          <w:sz w:val="22"/>
          <w:szCs w:val="22"/>
        </w:rPr>
        <w:fldChar w:fldCharType="separate"/>
      </w:r>
      <w:r w:rsidRPr="00FA5AA0">
        <w:rPr>
          <w:rFonts w:asciiTheme="majorHAnsi" w:eastAsia="SimSun" w:hAnsiTheme="majorHAnsi"/>
          <w:sz w:val="22"/>
          <w:szCs w:val="22"/>
          <w:lang w:eastAsia="zh-CN"/>
        </w:rPr>
        <w:t>(Hannum, 2002)</w:t>
      </w:r>
      <w:r w:rsidRPr="00FA5AA0">
        <w:rPr>
          <w:rFonts w:asciiTheme="majorHAnsi" w:hAnsiTheme="majorHAnsi"/>
          <w:sz w:val="22"/>
          <w:szCs w:val="22"/>
        </w:rPr>
        <w:fldChar w:fldCharType="end"/>
      </w:r>
      <w:r w:rsidRPr="00FA5AA0">
        <w:rPr>
          <w:rFonts w:asciiTheme="majorHAnsi" w:hAnsiTheme="majorHAnsi"/>
          <w:sz w:val="22"/>
          <w:szCs w:val="22"/>
        </w:rPr>
        <w:t xml:space="preserve">.  There is no general tendency of a greater gender gap for minorities than for the ethnic Chinese, but significant differences in the gender gap emerge across individual ethnic groups. Evidence from census data showed that ethnic disparities in junior high school transitions increased between 1982 and 1990.  More recent analyses of national census and survey data show generalized improvement in educational attainment for China’s ethnic minority groups, but considerable gaps still persist across individual groups </w:t>
      </w:r>
      <w:r w:rsidRPr="00FA5AA0">
        <w:rPr>
          <w:rFonts w:asciiTheme="majorHAnsi" w:hAnsiTheme="majorHAnsi"/>
          <w:sz w:val="22"/>
          <w:szCs w:val="22"/>
        </w:rPr>
        <w:fldChar w:fldCharType="begin"/>
      </w:r>
      <w:r w:rsidRPr="00FA5AA0">
        <w:rPr>
          <w:rFonts w:asciiTheme="majorHAnsi" w:hAnsiTheme="majorHAnsi"/>
          <w:sz w:val="22"/>
          <w:szCs w:val="22"/>
        </w:rPr>
        <w:instrText xml:space="preserve"> ADDIN ZOTERO_ITEM CSL_CITATION {"citationID":"ER0BRg9o","properties":{"formattedCitation":"(Hannum &amp; Wang, 2012; Sun &amp; Qi, 2007)","plainCitation":"(Hannum &amp; Wang, 2012; Sun &amp; Qi, 2007)"},"citationItems":[{"id":1062,"uris":["http://zotero.org/users/992731/items/FUFFIB96"],"uri":["http://zotero.org/users/992731/items/FUFFIB96"],"itemData":{"id":1062,"type":"chapter","title":"China: A Case Study in Rapid Poverty Reduction","collection-title":"Indigenous Peoples, Poverty, and Development","publisher":"Cambridge University Press","publisher-place":"Cambridge, UK","event-place":"Cambridge, UK","author":[{"family":"Hannum","given":"Emily"},{"family":"Wang","given":"Meiyan"}],"editor":[{"family":"Hall","given":"Gillette"},{"family":"Patrinos","given":"Harry A."}],"issued":{"year":2012}}},{"id":3473,"uris":["http://zotero.org/users/992731/items/9PIDZFGW"],"uri":["http://zotero.org/users/992731/items/9PIDZFGW"],"itemData":{"id":3473,"type":"article-journal","title":"Development of Ethnic Education and Educational Equality in China: A Statistical Analysis Based on the Two Recent Population Censuses","container-title":"Frontiers of Education in China","page":"528-535","volume":"2","issue":"4","abstract":"A comparative analysis of the statistics of the two population censuses conducted in 1990 and 2000 showed that with the development of ethnic education, average years of school attainment have been increased for all ethnic nationalities, and education has been more equalized within different ethnic nationalities. However, educational inequality among different nationalities has been widened. Although the extent of the widening is limited, sufficient attention should be paid by policy-makers.","author":[{"family":"Sun","given":"Baicai"},{"family":"Qi","given":"Jinyu"}],"issued":{"year":2007},"page-first":"528"}}],"schema":"https://github.com/citation-style-language/schema/raw/master/csl-citation.json"} </w:instrText>
      </w:r>
      <w:r w:rsidRPr="00FA5AA0">
        <w:rPr>
          <w:rFonts w:asciiTheme="majorHAnsi" w:hAnsiTheme="majorHAnsi"/>
          <w:sz w:val="22"/>
          <w:szCs w:val="22"/>
        </w:rPr>
        <w:fldChar w:fldCharType="separate"/>
      </w:r>
      <w:r w:rsidRPr="00FA5AA0">
        <w:rPr>
          <w:rFonts w:asciiTheme="majorHAnsi" w:eastAsia="SimSun" w:hAnsiTheme="majorHAnsi"/>
          <w:sz w:val="22"/>
          <w:szCs w:val="22"/>
          <w:lang w:eastAsia="zh-CN"/>
        </w:rPr>
        <w:t>(Hannum &amp; Wang, 2012; Sun &amp; Qi, 2007)</w:t>
      </w:r>
      <w:r w:rsidRPr="00FA5AA0">
        <w:rPr>
          <w:rFonts w:asciiTheme="majorHAnsi" w:hAnsiTheme="majorHAnsi"/>
          <w:sz w:val="22"/>
          <w:szCs w:val="22"/>
        </w:rPr>
        <w:fldChar w:fldCharType="end"/>
      </w:r>
      <w:r w:rsidRPr="00FA5AA0">
        <w:rPr>
          <w:rFonts w:asciiTheme="majorHAnsi" w:hAnsiTheme="majorHAnsi"/>
          <w:sz w:val="22"/>
          <w:szCs w:val="22"/>
        </w:rPr>
        <w:t xml:space="preserve">.  Language fluency in standard Chinese appears to matter for educational attainment, but in different ways in different regions </w:t>
      </w:r>
      <w:r w:rsidRPr="00FA5AA0">
        <w:rPr>
          <w:rFonts w:asciiTheme="majorHAnsi" w:hAnsiTheme="majorHAnsi"/>
          <w:sz w:val="22"/>
          <w:szCs w:val="22"/>
        </w:rPr>
        <w:fldChar w:fldCharType="begin"/>
      </w:r>
      <w:r w:rsidRPr="00FA5AA0">
        <w:rPr>
          <w:rFonts w:asciiTheme="majorHAnsi" w:hAnsiTheme="majorHAnsi"/>
          <w:sz w:val="22"/>
          <w:szCs w:val="22"/>
        </w:rPr>
        <w:instrText xml:space="preserve"> ADDIN ZOTERO_ITEM CSL_CITATION {"citationID":"1UEC4QUP","properties":{"formattedCitation":"(Hong, 2010)","plainCitation":"(Hong, 2010)"},"citationItems":[{"id":1207,"uris":["http://zotero.org/users/992731/items/T9B7942W"],"uri":["http://zotero.org/users/992731/items/T9B7942W"],"itemData":{"id":1207,"type":"article-journal","title":"Home Language and Educational Attainments of Ethnic Minorities in Western China","container-title":"Chinese Education and Society","page":"24-35","volume":"43","issue":"1","abstract":"This paper discusses effects of home language usage on minority student educational attainment in western China. Using survey data, the author finds that non-Chinese-speaking minority students are at a disadvantage in the transition to senior secondary schools. However, their transition to junior secondary schools is even more complicated. Rural non-Chinese-speaking minority students are at the greatest disadvantage, whereas non-Chinese-speaking minority students in the northwest benefit from a relatively complete bilingual education system there. (Contains 4 tables and 6 notes.)","note":"Source type: scholarlyjournals; Object type: Report; Object type: Article; CSAUnique: EJ889830; AccNum: EJ889830; ISSN: 1061-1932; Peer Reviewed: true","author":[{"family":"Hong","given":"Yanbi"}],"issued":{"date-parts":[["2010",1]]}}}],"schema":"https://github.com/citation-style-language/schema/raw/master/csl-citation.json"} </w:instrText>
      </w:r>
      <w:r w:rsidRPr="00FA5AA0">
        <w:rPr>
          <w:rFonts w:asciiTheme="majorHAnsi" w:hAnsiTheme="majorHAnsi"/>
          <w:sz w:val="22"/>
          <w:szCs w:val="22"/>
        </w:rPr>
        <w:fldChar w:fldCharType="separate"/>
      </w:r>
      <w:r w:rsidRPr="00FA5AA0">
        <w:rPr>
          <w:rFonts w:asciiTheme="majorHAnsi" w:eastAsia="SimSun" w:hAnsiTheme="majorHAnsi"/>
          <w:sz w:val="22"/>
          <w:szCs w:val="22"/>
          <w:lang w:eastAsia="zh-CN"/>
        </w:rPr>
        <w:t>(Hong, 2010)</w:t>
      </w:r>
      <w:r w:rsidRPr="00FA5AA0">
        <w:rPr>
          <w:rFonts w:asciiTheme="majorHAnsi" w:hAnsiTheme="majorHAnsi"/>
          <w:sz w:val="22"/>
          <w:szCs w:val="22"/>
        </w:rPr>
        <w:fldChar w:fldCharType="end"/>
      </w:r>
      <w:r w:rsidRPr="00FA5AA0">
        <w:rPr>
          <w:rFonts w:asciiTheme="majorHAnsi" w:hAnsiTheme="majorHAnsi"/>
          <w:sz w:val="22"/>
          <w:szCs w:val="22"/>
        </w:rPr>
        <w:t>.  Work has yet to really theorize the patterns of advantage and disadvantage that exist across individual groups.</w:t>
      </w:r>
    </w:p>
    <w:p w:rsidR="00FA5AA0" w:rsidRPr="00FA5AA0" w:rsidRDefault="00FA5AA0" w:rsidP="00627031">
      <w:pPr>
        <w:pStyle w:val="Heading3"/>
        <w:spacing w:line="240" w:lineRule="auto"/>
        <w:contextualSpacing/>
        <w:rPr>
          <w:rFonts w:asciiTheme="majorHAnsi" w:hAnsiTheme="majorHAnsi"/>
          <w:sz w:val="22"/>
          <w:szCs w:val="22"/>
        </w:rPr>
      </w:pPr>
      <w:r w:rsidRPr="00FA5AA0">
        <w:rPr>
          <w:rFonts w:asciiTheme="majorHAnsi" w:hAnsiTheme="majorHAnsi"/>
          <w:sz w:val="22"/>
          <w:szCs w:val="22"/>
        </w:rPr>
        <w:t>The Economic Context and Outcomes of Education</w:t>
      </w:r>
    </w:p>
    <w:p w:rsidR="00FA5AA0" w:rsidRPr="00FA5AA0" w:rsidRDefault="00FA5AA0" w:rsidP="00627031">
      <w:pPr>
        <w:pStyle w:val="NormalIndent"/>
        <w:spacing w:line="240" w:lineRule="auto"/>
        <w:contextualSpacing/>
        <w:rPr>
          <w:rFonts w:asciiTheme="majorHAnsi" w:hAnsiTheme="majorHAnsi"/>
          <w:sz w:val="22"/>
          <w:szCs w:val="22"/>
          <w:lang w:bidi="ar-SA"/>
        </w:rPr>
      </w:pPr>
      <w:r w:rsidRPr="00FA5AA0">
        <w:rPr>
          <w:rFonts w:asciiTheme="majorHAnsi" w:hAnsiTheme="majorHAnsi"/>
          <w:sz w:val="22"/>
          <w:szCs w:val="22"/>
          <w:lang w:bidi="ar-SA"/>
        </w:rPr>
        <w:t xml:space="preserve">As theorized in the anthropological, field-based studies of ethnic differences in the experience of education, the likely outcomes of schooling are an important potential factor feeding back into the educational attainment process.  Several studies have established the different context and outcomes of education by ethnic group.  Minorities, on average, are poorer than the majority in China, though the trend is toward poverty reduction for all groups and a reduced ethnic poverty gap </w:t>
      </w:r>
      <w:r w:rsidRPr="00FA5AA0">
        <w:rPr>
          <w:rFonts w:asciiTheme="majorHAnsi" w:hAnsiTheme="majorHAnsi"/>
          <w:sz w:val="22"/>
          <w:szCs w:val="22"/>
          <w:lang w:bidi="ar-SA"/>
        </w:rPr>
        <w:fldChar w:fldCharType="begin"/>
      </w:r>
      <w:r w:rsidRPr="00FA5AA0">
        <w:rPr>
          <w:rFonts w:asciiTheme="majorHAnsi" w:hAnsiTheme="majorHAnsi"/>
          <w:sz w:val="22"/>
          <w:szCs w:val="22"/>
          <w:lang w:bidi="ar-SA"/>
        </w:rPr>
        <w:instrText xml:space="preserve"> ADDIN ZOTERO_ITEM CSL_CITATION {"citationID":"W0dMpBk0","properties":{"formattedCitation":"{\\rtf (Bj\\uc0\\u246{}rn Gustafsson &amp; Sai, 2009)}","plainCitation":"(Björn Gustafsson &amp; Sai, 2009)"},"citationItems":[{"id":3592,"uris":["http://zotero.org/users/992731/items/A78H3CIT"],"uri":["http://zotero.org/users/992731/items/A78H3CIT"],"itemData":{"id":3592,"type":"article-journal","title":"TEMPORARY AND PERSISTENT POVERTY AMONG ETHNIC MINORITIES AND THE MAJORITY IN RURAL CHINA","container-title":"Review of Income and Wealth","page":"588–606","volume":"55","abstract":"Poverty among ethnic minorities and the majority in rural China for the years 2000, 2001 and 2002 is investigated, taking a dynamic view and using a large sample covering 22 provinces. Based on the National Bureau of Statistics' low income line, almost one-third of the ethnic minorities experienced poverty during the three years studied while the corresponding proportion among the ethnic majority was only about half as high. Still, by far most of the poor in rural China belong to the ethnic majority. The relatively high poverty rates for ethnic minorities in rural China are found to be due to higher rates of entry than for the majority, while differences in exit rates across ethnicities are few. To a large extent, ethnic poverty differences can be attributed to differences in location, together with temporary and persistent poverty in rural China having a very clear spatial character. Poverty is concentrated in the western region and villages with low average income. Determinants of persistent and temporary poverty in rural China differ due to location as well as household characteristics.","DOI":"10.1111/j.1475-4991.2009.00332.x","author":[{"family":"Gustafsson","given":"Björn"},{"family":"Sai","given":"Ding"}],"issued":{"year":2009},"page-first":"588–606"}}],"schema":"https://github.com/citation-style-language/schema/raw/master/csl-citation.json"} </w:instrText>
      </w:r>
      <w:r w:rsidRPr="00FA5AA0">
        <w:rPr>
          <w:rFonts w:asciiTheme="majorHAnsi" w:hAnsiTheme="majorHAnsi"/>
          <w:sz w:val="22"/>
          <w:szCs w:val="22"/>
          <w:lang w:bidi="ar-SA"/>
        </w:rPr>
        <w:fldChar w:fldCharType="separate"/>
      </w:r>
      <w:r w:rsidRPr="00FA5AA0">
        <w:rPr>
          <w:rFonts w:asciiTheme="majorHAnsi" w:hAnsiTheme="majorHAnsi"/>
          <w:sz w:val="22"/>
          <w:szCs w:val="22"/>
        </w:rPr>
        <w:t xml:space="preserve">( Gustafsson &amp; Sai, 2009; </w:t>
      </w:r>
      <w:r w:rsidRPr="00FA5AA0">
        <w:rPr>
          <w:rFonts w:asciiTheme="majorHAnsi" w:hAnsiTheme="majorHAnsi"/>
          <w:sz w:val="22"/>
          <w:szCs w:val="22"/>
          <w:lang w:bidi="ar-SA"/>
        </w:rPr>
        <w:fldChar w:fldCharType="end"/>
      </w:r>
      <w:r w:rsidRPr="00FA5AA0">
        <w:rPr>
          <w:rFonts w:asciiTheme="majorHAnsi" w:hAnsiTheme="majorHAnsi"/>
          <w:sz w:val="22"/>
          <w:szCs w:val="22"/>
          <w:lang w:bidi="ar-SA"/>
        </w:rPr>
        <w:t xml:space="preserve">Hannum and Wang, 2012).  On the other hand, an income gap favoring the Han appeared to have widened between 1988 and 1995 </w:t>
      </w:r>
      <w:r w:rsidRPr="00FA5AA0">
        <w:rPr>
          <w:rFonts w:asciiTheme="majorHAnsi" w:hAnsiTheme="majorHAnsi"/>
          <w:sz w:val="22"/>
          <w:szCs w:val="22"/>
          <w:lang w:bidi="ar-SA"/>
        </w:rPr>
        <w:fldChar w:fldCharType="begin"/>
      </w:r>
      <w:r w:rsidRPr="00FA5AA0">
        <w:rPr>
          <w:rFonts w:asciiTheme="majorHAnsi" w:hAnsiTheme="majorHAnsi"/>
          <w:sz w:val="22"/>
          <w:szCs w:val="22"/>
          <w:lang w:bidi="ar-SA"/>
        </w:rPr>
        <w:instrText xml:space="preserve"> ADDIN ZOTERO_ITEM CSL_CITATION {"citationID":"yD6UN6Cr","properties":{"formattedCitation":"(B. Gustafsson &amp; Shi, 2003)","plainCitation":"(B. Gustafsson &amp; Shi, 2003)"},"citationItems":[{"id":1005,"uris":["http://zotero.org/users/992731/items/A7D2433G"],"itemData":{"id":1005,"type":"article-journal","title":"The Ethnic Minority-Majority Income Gap in Rural China during Transition","container-title":"Economic Development and Cultural Change","page":"805-822","volume":"51","issue":"4","author":[{"family":"Gustafsson","given":"B."},{"family":"Shi","given":"L."}],"issued":{"year":2003},"page-first":"805"}}],"schema":"https://github.com/citation-style-language/schema/raw/master/csl-citation.json"} </w:instrText>
      </w:r>
      <w:r w:rsidRPr="00FA5AA0">
        <w:rPr>
          <w:rFonts w:asciiTheme="majorHAnsi" w:hAnsiTheme="majorHAnsi"/>
          <w:sz w:val="22"/>
          <w:szCs w:val="22"/>
          <w:lang w:bidi="ar-SA"/>
        </w:rPr>
        <w:fldChar w:fldCharType="separate"/>
      </w:r>
      <w:r w:rsidRPr="00FA5AA0">
        <w:rPr>
          <w:rFonts w:asciiTheme="majorHAnsi" w:eastAsia="SimSun" w:hAnsiTheme="majorHAnsi"/>
          <w:sz w:val="22"/>
          <w:szCs w:val="22"/>
          <w:lang w:eastAsia="zh-CN"/>
        </w:rPr>
        <w:t>(Gustafsson &amp; Shi, 2003)</w:t>
      </w:r>
      <w:r w:rsidRPr="00FA5AA0">
        <w:rPr>
          <w:rFonts w:asciiTheme="majorHAnsi" w:hAnsiTheme="majorHAnsi"/>
          <w:sz w:val="22"/>
          <w:szCs w:val="22"/>
          <w:lang w:bidi="ar-SA"/>
        </w:rPr>
        <w:fldChar w:fldCharType="end"/>
      </w:r>
      <w:r w:rsidRPr="00FA5AA0">
        <w:rPr>
          <w:rFonts w:asciiTheme="majorHAnsi" w:hAnsiTheme="majorHAnsi"/>
          <w:sz w:val="22"/>
          <w:szCs w:val="22"/>
          <w:lang w:bidi="ar-SA"/>
        </w:rPr>
        <w:t xml:space="preserve">.  Analyses of data from the early 2000s show that minorities as a group are less likely to have access to wage employment and earn less than Han, though estimates of the scale of the gap differ widely by data source (Hannum and Wang, 2012).  Yet, minorities also had higher returns to education, on average, compared to the ethnic majority population </w:t>
      </w:r>
      <w:r w:rsidRPr="00FA5AA0">
        <w:rPr>
          <w:rFonts w:asciiTheme="majorHAnsi" w:hAnsiTheme="majorHAnsi"/>
          <w:sz w:val="22"/>
          <w:szCs w:val="22"/>
          <w:lang w:bidi="ar-SA"/>
        </w:rPr>
        <w:fldChar w:fldCharType="begin"/>
      </w:r>
      <w:r w:rsidRPr="00FA5AA0">
        <w:rPr>
          <w:rFonts w:asciiTheme="majorHAnsi" w:hAnsiTheme="majorHAnsi"/>
          <w:sz w:val="22"/>
          <w:szCs w:val="22"/>
          <w:lang w:bidi="ar-SA"/>
        </w:rPr>
        <w:instrText xml:space="preserve"> ADDIN ZOTERO_ITEM CSL_CITATION {"citationID":"BbJTLVTh","properties":{"formattedCitation":"(Hannum &amp; Wang, 2012; see also Sun &amp; Xu, 2010 for evidence from Gansu Province)","plainCitation":"(Hannum &amp; Wang, 2012; see also Sun &amp; Xu, 2010 for evidence from Gansu Province)"},"citationItems":[{"id":1062,"uris":["http://zotero.org/users/992731/items/FUFFIB96"],"uri":["http://zotero.org/users/992731/items/FUFFIB96"],"itemData":{"id":1062,"type":"chapter","title":"China: A Case Study in Rapid Poverty Reduction","collection-title":"Indigenous Peoples, Poverty, and Development","publisher":"Cambridge University Press","publisher-place":"Cambridge, UK","event-place":"Cambridge, UK","author":[{"family":"Hannum","given":"Emily"},{"family":"Wang","given":"Meiyan"}],"editor":[{"family":"Hall","given":"Gillette"},{"family":"Patrinos","given":"Harry A."}],"issued":{"year":2012}}},{"id":146,"uris":["http://zotero.org/users/992731/items/92ZGQJET"],"uri":["http://zotero.org/users/992731/items/92ZGQJET"],"itemData":{"id":146,"type":"article-journal","title":"Why Ethnic Minority Children Are More Likely to Drop out of School: A Cultural Capital Perspective–Evidence from Ethnic Minority Rural Communities in the Northwest","container-title":"Chinese Education and Society","page":"31-46","volume":"43","issue":"5","abstract":"Using the data from a large-scale survey in Gansu province, China, the article explores the issue of school attendance among ethnic minority children from the perspective of cultural capital. We find that the rate of school attendance among ethnic minority children is substantially lower than that among ethnic Han children, but that ethnic minority individuals obtain higher returns than ethnic Han at the same level of investment in education. Despite such higher rates of returns on education, ethnic minority families display less enthusiasm for investing in education for their children. This may be attributed to differences in educational investment behavior among families with different cultural backgrounds. There are several significant differences among families with ethnic cultures such as involvement by parents, distribution of children's after school time, and religious beliefs. (Contains 3 notes, 2 figures and 4 tables.)","note":"Source type: scholarlyjournals; Object type: Report; Object type: Article; CSAUnique: EJ919535; AccNum: EJ919535; ISSN: 1061-1932; Peer Reviewed: true","author":[{"family":"Sun","given":"Baicai"},{"family":"Xu","given":"Jingjian"}],"issued":{"year":2010,"month":9},"page-first":"31"},"prefix":"see also","suffix":"for evidence from Gansu Province"}],"schema":"https://github.com/citation-style-language/schema/raw/master/csl-citation.json"} </w:instrText>
      </w:r>
      <w:r w:rsidRPr="00FA5AA0">
        <w:rPr>
          <w:rFonts w:asciiTheme="majorHAnsi" w:hAnsiTheme="majorHAnsi"/>
          <w:sz w:val="22"/>
          <w:szCs w:val="22"/>
          <w:lang w:bidi="ar-SA"/>
        </w:rPr>
        <w:fldChar w:fldCharType="separate"/>
      </w:r>
      <w:r w:rsidRPr="00FA5AA0">
        <w:rPr>
          <w:rFonts w:asciiTheme="majorHAnsi" w:eastAsia="SimSun" w:hAnsiTheme="majorHAnsi"/>
          <w:sz w:val="22"/>
          <w:szCs w:val="22"/>
          <w:lang w:eastAsia="zh-CN"/>
        </w:rPr>
        <w:t>(Hannum &amp; Wang, 2012; see also Sun &amp; Xu, 2010 for evidence from Gansu Province)</w:t>
      </w:r>
      <w:r w:rsidRPr="00FA5AA0">
        <w:rPr>
          <w:rFonts w:asciiTheme="majorHAnsi" w:hAnsiTheme="majorHAnsi"/>
          <w:sz w:val="22"/>
          <w:szCs w:val="22"/>
          <w:lang w:bidi="ar-SA"/>
        </w:rPr>
        <w:fldChar w:fldCharType="end"/>
      </w:r>
      <w:r w:rsidRPr="00FA5AA0">
        <w:rPr>
          <w:rFonts w:asciiTheme="majorHAnsi" w:hAnsiTheme="majorHAnsi"/>
          <w:sz w:val="22"/>
          <w:szCs w:val="22"/>
          <w:lang w:bidi="ar-SA"/>
        </w:rPr>
        <w:t>.</w:t>
      </w:r>
    </w:p>
    <w:p w:rsidR="00FA5AA0" w:rsidRPr="00FA5AA0" w:rsidRDefault="00FA5AA0" w:rsidP="00627031">
      <w:pPr>
        <w:pStyle w:val="NormalIndent"/>
        <w:spacing w:line="240" w:lineRule="auto"/>
        <w:contextualSpacing/>
        <w:rPr>
          <w:rFonts w:asciiTheme="majorHAnsi" w:hAnsiTheme="majorHAnsi"/>
          <w:sz w:val="22"/>
          <w:szCs w:val="22"/>
          <w:lang w:bidi="ar-SA"/>
        </w:rPr>
      </w:pPr>
      <w:r w:rsidRPr="00FA5AA0">
        <w:rPr>
          <w:rFonts w:asciiTheme="majorHAnsi" w:hAnsiTheme="majorHAnsi"/>
          <w:sz w:val="22"/>
          <w:szCs w:val="22"/>
          <w:lang w:bidi="ar-SA"/>
        </w:rPr>
        <w:t xml:space="preserve">A major part of the story of income, poverty and employment gaps has to do with segregation: many ethnic minority groups live in much more disadvantaged contexts, from a development perspective </w:t>
      </w:r>
      <w:r w:rsidRPr="00FA5AA0">
        <w:rPr>
          <w:rFonts w:asciiTheme="majorHAnsi" w:hAnsiTheme="majorHAnsi"/>
          <w:sz w:val="22"/>
          <w:szCs w:val="22"/>
          <w:lang w:bidi="ar-SA"/>
        </w:rPr>
        <w:fldChar w:fldCharType="begin"/>
      </w:r>
      <w:r w:rsidRPr="00FA5AA0">
        <w:rPr>
          <w:rFonts w:asciiTheme="majorHAnsi" w:hAnsiTheme="majorHAnsi"/>
          <w:sz w:val="22"/>
          <w:szCs w:val="22"/>
          <w:lang w:bidi="ar-SA"/>
        </w:rPr>
        <w:instrText xml:space="preserve"> ADDIN ZOTERO_ITEM CSL_CITATION {"citationID":"a9bg38OR","properties":{"formattedCitation":"(Bjorn Gustafsson &amp; Ding, 2006)","plainCitation":"(Bjorn Gustafsson &amp; Ding, 2006)"},"citationItems":[{"id":1007,"uris":["http://zotero.org/users/992731/items/BH89MP34"],"uri":["http://zotero.org/users/992731/items/BH89MP34"],"itemData":{"id":1007,"type":"report","title":"Villages where China’s Ethnic Minorities Live","page":"1-41","URL":"ftp://repec.iza.org/RePEc/Discussionpaper/dp2418.pdf","number":"2418","author":[{"family":"Gustafsson","given":"Bjorn"},{"family":"Ding","given":"Sai"}],"issued":{"date-parts":[[2006]]}}}],"schema":"https://github.com/citation-style-language/schema/raw/master/csl-citation.json"} </w:instrText>
      </w:r>
      <w:r w:rsidRPr="00FA5AA0">
        <w:rPr>
          <w:rFonts w:asciiTheme="majorHAnsi" w:hAnsiTheme="majorHAnsi"/>
          <w:sz w:val="22"/>
          <w:szCs w:val="22"/>
          <w:lang w:bidi="ar-SA"/>
        </w:rPr>
        <w:fldChar w:fldCharType="separate"/>
      </w:r>
      <w:r w:rsidRPr="00FA5AA0">
        <w:rPr>
          <w:rFonts w:asciiTheme="majorHAnsi" w:eastAsia="SimSun" w:hAnsiTheme="majorHAnsi"/>
          <w:sz w:val="22"/>
          <w:szCs w:val="22"/>
          <w:lang w:eastAsia="zh-CN"/>
        </w:rPr>
        <w:t>(Gustafsson &amp; Ding, 2006</w:t>
      </w:r>
      <w:r w:rsidRPr="00FA5AA0">
        <w:rPr>
          <w:rFonts w:asciiTheme="majorHAnsi" w:hAnsiTheme="majorHAnsi"/>
          <w:sz w:val="22"/>
          <w:szCs w:val="22"/>
          <w:lang w:bidi="ar-SA"/>
        </w:rPr>
        <w:fldChar w:fldCharType="end"/>
      </w:r>
      <w:r w:rsidRPr="00FA5AA0">
        <w:rPr>
          <w:rFonts w:asciiTheme="majorHAnsi" w:hAnsiTheme="majorHAnsi"/>
          <w:sz w:val="22"/>
          <w:szCs w:val="22"/>
          <w:lang w:bidi="ar-SA"/>
        </w:rPr>
        <w:t xml:space="preserve">; Hannum and Wang, 2012). This situation also raises the potential problem that social returns to schooling are less likely to be enjoyed by minority regions, to the extent that brain drain is an issue in these places </w:t>
      </w:r>
      <w:r w:rsidRPr="00FA5AA0">
        <w:rPr>
          <w:rFonts w:asciiTheme="majorHAnsi" w:hAnsiTheme="majorHAnsi"/>
          <w:sz w:val="22"/>
          <w:szCs w:val="22"/>
          <w:lang w:bidi="ar-SA"/>
        </w:rPr>
        <w:fldChar w:fldCharType="begin"/>
      </w:r>
      <w:r w:rsidRPr="00FA5AA0">
        <w:rPr>
          <w:rFonts w:asciiTheme="majorHAnsi" w:hAnsiTheme="majorHAnsi"/>
          <w:sz w:val="22"/>
          <w:szCs w:val="22"/>
          <w:lang w:bidi="ar-SA"/>
        </w:rPr>
        <w:instrText xml:space="preserve"> ADDIN ZOTERO_ITEM CSL_CITATION {"citationID":"s5y98g5F","properties":{"formattedCitation":"{\\rtf (L. Zhang &amp; Wang, 2010, pp. 23\\uc0\\u8211{}24)}","plainCitation":"(L. Zhang &amp; Wang, 2010, pp. 23–24)"},"citationItems":[{"id":1656,"uris":["http://zotero.org/users/992731/items/IWFHK2EQ"],"uri":["http://zotero.org/users/992731/items/IWFHK2EQ"],"itemData":{"id":1656,"type":"article-journal","title":"Current State of Economic Returns from Education in China's Ethnic Regions and Explorations into Ways of Improvement","container-title":"Chinese Education and Society","page":"10-30","volume":"43","issue":"5","abstract":"Economic development and social progress in China's ethnic minority regions depend on improvements in population attributes brought about by education. Developing education in China's ethnic regions is a project of fundamental significance for realizing sustainable economic and social development in the ethnic regions. Improving the economic returns of education in China's ethnic regions is beneficial for making educational input-output more consistent with the needs of the ethnic regions' economic development. In this article, we proceed from the perspective of educational economics, take China's ethnic regions as our study subject, and draw upon relevant data from the \"China Statistical Yearbook\" to measure and calculate the current state of economic returns from education in the ethnic regions, analyze their influencing factors, and explore feasible ways of improving the economic returns of education in China's ethnic minority regions. (Contains 6 tables and 4 figures.)","note":"Source type: scholarlyjournals; Object type: Report; Object type: Article; CSAUnique: EJ919534; AccNum: EJ919534; ISSN: 1061-1932; Peer Reviewed: true","author":[{"family":"Zhang","given":"Lijun"},{"family":"Wang","given":"Fei"}],"issued":{"date-parts":[["2010",9]]}},"locator":"23-24"}],"schema":"https://github.com/citation-style-language/schema/raw/master/csl-citation.json"} </w:instrText>
      </w:r>
      <w:r w:rsidRPr="00FA5AA0">
        <w:rPr>
          <w:rFonts w:asciiTheme="majorHAnsi" w:hAnsiTheme="majorHAnsi"/>
          <w:sz w:val="22"/>
          <w:szCs w:val="22"/>
          <w:lang w:bidi="ar-SA"/>
        </w:rPr>
        <w:fldChar w:fldCharType="separate"/>
      </w:r>
      <w:r w:rsidRPr="00FA5AA0">
        <w:rPr>
          <w:rFonts w:asciiTheme="majorHAnsi" w:hAnsiTheme="majorHAnsi"/>
          <w:sz w:val="22"/>
          <w:szCs w:val="22"/>
        </w:rPr>
        <w:t>(Zhang &amp; Wang, 2010, pp. 23–24)</w:t>
      </w:r>
      <w:r w:rsidRPr="00FA5AA0">
        <w:rPr>
          <w:rFonts w:asciiTheme="majorHAnsi" w:hAnsiTheme="majorHAnsi"/>
          <w:sz w:val="22"/>
          <w:szCs w:val="22"/>
          <w:lang w:bidi="ar-SA"/>
        </w:rPr>
        <w:fldChar w:fldCharType="end"/>
      </w:r>
      <w:r w:rsidRPr="00FA5AA0">
        <w:rPr>
          <w:rFonts w:asciiTheme="majorHAnsi" w:hAnsiTheme="majorHAnsi"/>
          <w:sz w:val="22"/>
          <w:szCs w:val="22"/>
          <w:lang w:bidi="ar-SA"/>
        </w:rPr>
        <w:t>.</w:t>
      </w:r>
    </w:p>
    <w:p w:rsidR="00FA5AA0" w:rsidRPr="00FA5AA0" w:rsidRDefault="00FA5AA0" w:rsidP="00627031">
      <w:pPr>
        <w:pStyle w:val="NormalIndent"/>
        <w:spacing w:line="240" w:lineRule="auto"/>
        <w:contextualSpacing/>
        <w:rPr>
          <w:rFonts w:asciiTheme="majorHAnsi" w:hAnsiTheme="majorHAnsi"/>
          <w:sz w:val="22"/>
          <w:szCs w:val="22"/>
        </w:rPr>
      </w:pPr>
      <w:r w:rsidRPr="00FA5AA0">
        <w:rPr>
          <w:rFonts w:asciiTheme="majorHAnsi" w:hAnsiTheme="majorHAnsi"/>
          <w:sz w:val="22"/>
          <w:szCs w:val="22"/>
          <w:lang w:bidi="ar-SA"/>
        </w:rPr>
        <w:t xml:space="preserve">However, studies have also indicated that the “average” labor market situation of minorities is unlikely to apply in a uniform way.  For example, studies of particular ethnic groups’ labor market experiences show considerable diversity of experience.  An analysis of 1982 and 1990 census data from the Xinjiang Uygur Autonomous Region revealed that the Uyghur population was more likely to be working in agriculture, and that rising ethnic disparities in occupational attainment point to a growing ethnic gap in educational credentials as the most likely source of this change </w:t>
      </w:r>
      <w:r w:rsidRPr="00FA5AA0">
        <w:rPr>
          <w:rFonts w:asciiTheme="majorHAnsi" w:hAnsiTheme="majorHAnsi"/>
          <w:sz w:val="22"/>
          <w:szCs w:val="22"/>
          <w:lang w:bidi="ar-SA"/>
        </w:rPr>
        <w:fldChar w:fldCharType="begin"/>
      </w:r>
      <w:r w:rsidRPr="00FA5AA0">
        <w:rPr>
          <w:rFonts w:asciiTheme="majorHAnsi" w:hAnsiTheme="majorHAnsi"/>
          <w:sz w:val="22"/>
          <w:szCs w:val="22"/>
          <w:lang w:bidi="ar-SA"/>
        </w:rPr>
        <w:instrText xml:space="preserve"> ADDIN ZOTERO_ITEM CSL_CITATION {"citationID":"aQObR82q","properties":{"formattedCitation":"(Hannum &amp; Xie, 1998)","plainCitation":"(Hannum &amp; Xie, 1998)"},"citationItems":[{"id":1066,"uris":["http://zotero.org/users/992731/items/X359FC2I"],"uri":["http://zotero.org/users/992731/items/X359FC2I"],"itemData":{"id":1066,"type":"article-journal","title":"Ethnic stratification in Northwest China: Occupational differences between Han Chinese and national minorities in Xinjiang, 1982-1990","container-title":"Demography","page":"323-333","volume":"35","issue":"3","abstract":"The debate on market reforms and social stratification in China has paid very little attention to China's ethnic minorities. We explored rising occupational stratification by ethnicity in the Xinjiang Uygur Autonomous Region. The debate on market reforms and social stratification in China has paid very little attention to China's ethnic minorities. Rising occupational stratification by ethnicity is explored in the Xinjiang Uygur Autonomous Region. Analyses of census data from 1982 and 1990 pointed to educational disadvantages faced by ethnic minorities as the most plausible explanation for the change. Multivariate analysis revealed a significant increase in the effect of education on high-status occupational attainment but to change in the effect of ethnicity. Net of education, ethnic differences in high-status occupational attainment were negligible. In contrast, large ethnic differences in manufacturing and agricultural occupations persisted after education and geography were statistically controlled.","note":"Source type: scholarlyjournals; Object type: Article; Object type: Feature; CSAUnique: SA-SD-0001659420; AccNum: 2008P039254; ISSN: 0070-3370; CODEN: DMGYAH; Peer Reviewed: true","author":[{"family":"Hannum","given":"Emily"},{"family":"Xie","given":"Yu"}],"issued":{"year":1998},"page-first":"323"}}],"schema":"https://github.com/citation-style-language/schema/raw/master/csl-citation.json"} </w:instrText>
      </w:r>
      <w:r w:rsidRPr="00FA5AA0">
        <w:rPr>
          <w:rFonts w:asciiTheme="majorHAnsi" w:hAnsiTheme="majorHAnsi"/>
          <w:sz w:val="22"/>
          <w:szCs w:val="22"/>
          <w:lang w:bidi="ar-SA"/>
        </w:rPr>
        <w:fldChar w:fldCharType="separate"/>
      </w:r>
      <w:r w:rsidRPr="00FA5AA0">
        <w:rPr>
          <w:rFonts w:asciiTheme="majorHAnsi" w:eastAsia="SimSun" w:hAnsiTheme="majorHAnsi"/>
          <w:sz w:val="22"/>
          <w:szCs w:val="22"/>
          <w:lang w:eastAsia="zh-CN"/>
        </w:rPr>
        <w:t>(Hannum &amp; Xie, 1998)</w:t>
      </w:r>
      <w:r w:rsidRPr="00FA5AA0">
        <w:rPr>
          <w:rFonts w:asciiTheme="majorHAnsi" w:hAnsiTheme="majorHAnsi"/>
          <w:sz w:val="22"/>
          <w:szCs w:val="22"/>
          <w:lang w:bidi="ar-SA"/>
        </w:rPr>
        <w:fldChar w:fldCharType="end"/>
      </w:r>
      <w:r w:rsidRPr="00FA5AA0">
        <w:rPr>
          <w:rFonts w:asciiTheme="majorHAnsi" w:hAnsiTheme="majorHAnsi"/>
          <w:sz w:val="22"/>
          <w:szCs w:val="22"/>
          <w:lang w:bidi="ar-SA"/>
        </w:rPr>
        <w:t xml:space="preserve">.  More recent analyses of the 2005 mini-census showed a continued Han-Uyghur difference in non-agricultural employment (Wu &amp; Song, 2010) Excluding those in agriculture, Uyghur were more likely to work in government or institutions than either Han locals or migrants, and also more likely to become self-employed.  Earnings inequality was negligible in government or institutions, but it increased with the marketization of the employment sector (Wu &amp; Song, 2010).  More recently, a resume audit study focusing on firms indicated discrimination against applicants with Uyghur names in China’s urban labor market </w:t>
      </w:r>
      <w:r w:rsidRPr="00FA5AA0">
        <w:rPr>
          <w:rFonts w:asciiTheme="majorHAnsi" w:hAnsiTheme="majorHAnsi"/>
          <w:sz w:val="22"/>
          <w:szCs w:val="22"/>
          <w:lang w:bidi="ar-SA"/>
        </w:rPr>
        <w:fldChar w:fldCharType="begin"/>
      </w:r>
      <w:r w:rsidRPr="00FA5AA0">
        <w:rPr>
          <w:rFonts w:asciiTheme="majorHAnsi" w:hAnsiTheme="majorHAnsi"/>
          <w:sz w:val="22"/>
          <w:szCs w:val="22"/>
          <w:lang w:bidi="ar-SA"/>
        </w:rPr>
        <w:instrText xml:space="preserve"> ADDIN ZOTERO_ITEM CSL_CITATION {"citationID":"AGeegTEi","properties":{"formattedCitation":"(Maurer-Fazio, 2011)","plainCitation":"(Maurer-Fazio, 2011)"},"citationItems":[{"id":3175,"uris":["http://zotero.org/users/992731/items/NTSI5JIU"],"uri":["http://zotero.org/users/992731/items/NTSI5JIU"],"itemData":{"id":3175,"type":"paper-conference","title":"Ethnicity and Hiring in China: Evidence from a Field Experiment","publisher":"Institute of Ethnology and Anthropology, Chinese Academy of Social Sciences","publisher-place":"Beijing","event":"Workshop on Ethnicity and Economic and Social Development in China and in the World","event-place":"Beijing","author":[{"family":"Maurer-Fazio","given":"Margaret"}],"issued":{"date-parts":[[2011,10,13]]},"accessed":{"date-parts":[[2012,3,12]]}}}],"schema":"https://github.com/citation-style-language/schema/raw/master/csl-citation.json"} </w:instrText>
      </w:r>
      <w:r w:rsidRPr="00FA5AA0">
        <w:rPr>
          <w:rFonts w:asciiTheme="majorHAnsi" w:hAnsiTheme="majorHAnsi"/>
          <w:sz w:val="22"/>
          <w:szCs w:val="22"/>
          <w:lang w:bidi="ar-SA"/>
        </w:rPr>
        <w:fldChar w:fldCharType="separate"/>
      </w:r>
      <w:r w:rsidRPr="00FA5AA0">
        <w:rPr>
          <w:rFonts w:asciiTheme="majorHAnsi" w:eastAsia="SimSun" w:hAnsiTheme="majorHAnsi"/>
          <w:sz w:val="22"/>
          <w:szCs w:val="22"/>
          <w:lang w:eastAsia="zh-CN"/>
        </w:rPr>
        <w:t>(Maurer-Fazio, 2011)</w:t>
      </w:r>
      <w:r w:rsidRPr="00FA5AA0">
        <w:rPr>
          <w:rFonts w:asciiTheme="majorHAnsi" w:hAnsiTheme="majorHAnsi"/>
          <w:sz w:val="22"/>
          <w:szCs w:val="22"/>
          <w:lang w:bidi="ar-SA"/>
        </w:rPr>
        <w:fldChar w:fldCharType="end"/>
      </w:r>
      <w:r w:rsidRPr="00FA5AA0">
        <w:rPr>
          <w:rFonts w:asciiTheme="majorHAnsi" w:hAnsiTheme="majorHAnsi"/>
          <w:sz w:val="22"/>
          <w:szCs w:val="22"/>
          <w:lang w:bidi="ar-SA"/>
        </w:rPr>
        <w:t xml:space="preserve">.  In neighboring Gansu Province, a different story emerges for the urban </w:t>
      </w:r>
      <w:proofErr w:type="spellStart"/>
      <w:r w:rsidRPr="00FA5AA0">
        <w:rPr>
          <w:rFonts w:asciiTheme="majorHAnsi" w:hAnsiTheme="majorHAnsi"/>
          <w:sz w:val="22"/>
          <w:szCs w:val="22"/>
          <w:lang w:bidi="ar-SA"/>
        </w:rPr>
        <w:t>Hui</w:t>
      </w:r>
      <w:proofErr w:type="spellEnd"/>
      <w:r w:rsidRPr="00FA5AA0">
        <w:rPr>
          <w:rFonts w:asciiTheme="majorHAnsi" w:hAnsiTheme="majorHAnsi"/>
          <w:sz w:val="22"/>
          <w:szCs w:val="22"/>
          <w:lang w:bidi="ar-SA"/>
        </w:rPr>
        <w:t xml:space="preserve"> and Han populations.  A study of labor market inequalities between the Han and </w:t>
      </w:r>
      <w:proofErr w:type="spellStart"/>
      <w:r w:rsidRPr="00FA5AA0">
        <w:rPr>
          <w:rFonts w:asciiTheme="majorHAnsi" w:hAnsiTheme="majorHAnsi"/>
          <w:sz w:val="22"/>
          <w:szCs w:val="22"/>
          <w:lang w:bidi="ar-SA"/>
        </w:rPr>
        <w:t>Hui</w:t>
      </w:r>
      <w:proofErr w:type="spellEnd"/>
      <w:r w:rsidRPr="00FA5AA0">
        <w:rPr>
          <w:rFonts w:asciiTheme="majorHAnsi" w:hAnsiTheme="majorHAnsi"/>
          <w:sz w:val="22"/>
          <w:szCs w:val="22"/>
          <w:lang w:bidi="ar-SA"/>
        </w:rPr>
        <w:t xml:space="preserve"> minority in urban Lanzhou shows evidence of </w:t>
      </w:r>
      <w:r w:rsidRPr="00FA5AA0">
        <w:rPr>
          <w:rFonts w:asciiTheme="majorHAnsi" w:hAnsiTheme="majorHAnsi"/>
          <w:sz w:val="22"/>
          <w:szCs w:val="22"/>
        </w:rPr>
        <w:t xml:space="preserve">labor market discrimination in access to state sector employment: ethnic differences in the likelihood of state-sector employment persisted net of education and other background differences </w:t>
      </w:r>
      <w:r w:rsidRPr="00FA5AA0">
        <w:rPr>
          <w:rFonts w:asciiTheme="majorHAnsi" w:hAnsiTheme="majorHAnsi"/>
          <w:sz w:val="22"/>
          <w:szCs w:val="22"/>
        </w:rPr>
        <w:fldChar w:fldCharType="begin"/>
      </w:r>
      <w:r w:rsidRPr="00FA5AA0">
        <w:rPr>
          <w:rFonts w:asciiTheme="majorHAnsi" w:hAnsiTheme="majorHAnsi"/>
          <w:sz w:val="22"/>
          <w:szCs w:val="22"/>
        </w:rPr>
        <w:instrText xml:space="preserve"> ADDIN ZOTERO_ITEM CSL_CITATION {"citationID":"CmnJTlBh","properties":{"formattedCitation":"(Zang, 2008)","plainCitation":"(Zang, 2008)"},"citationItems":[{"id":3041,"uris":["http://zotero.org/users/992731/items/QTIKTNVZ"],"uri":["http://zotero.org/users/992731/items/QTIKTNVZ"],"itemData":{"id":3041,"type":"article-journal","title":"Market Reforms and Han-Muslim Variation in Employment in the Chinese State Sector in a Chinese City","container-title":"World Development","page":"2341-2341-2352","volume":"36","issue":"11","abstract":"This paper studies ethnic disparity in employment in the state sector in China. It compares Han Chinese with Hui Muslims. Data are from a 2001 survey conducted in Lanzhou. Data analysis shows that during market reforms, the CCP has not been able to protect workers of minority status as promised by its equal opportunity policy. Workers of minority status have faced a similar barrier in finding a job in both state firms and redistributive agencies. Minority ethnicity is the main determinant of labor market discrimination, controlling for educational attainment and other key characteristics.","note":"2008-12-01; 8615767; 290256710; Zang, X; 2341-2352; 0305-750X; Nov 2008; 10.1016/j.worlddev.2007.11.009; English; OB-MD-0008874798","author":[{"family":"Zang","given":"X."}],"issued":{"date-parts":[[2008]]}}}],"schema":"https://github.com/citation-style-language/schema/raw/master/csl-citation.json"} </w:instrText>
      </w:r>
      <w:r w:rsidRPr="00FA5AA0">
        <w:rPr>
          <w:rFonts w:asciiTheme="majorHAnsi" w:hAnsiTheme="majorHAnsi"/>
          <w:sz w:val="22"/>
          <w:szCs w:val="22"/>
        </w:rPr>
        <w:fldChar w:fldCharType="separate"/>
      </w:r>
      <w:r w:rsidRPr="00FA5AA0">
        <w:rPr>
          <w:rFonts w:asciiTheme="majorHAnsi" w:eastAsia="SimSun" w:hAnsiTheme="majorHAnsi"/>
          <w:sz w:val="22"/>
          <w:szCs w:val="22"/>
          <w:lang w:eastAsia="zh-CN"/>
        </w:rPr>
        <w:t>(Zang, 2008)</w:t>
      </w:r>
      <w:r w:rsidRPr="00FA5AA0">
        <w:rPr>
          <w:rFonts w:asciiTheme="majorHAnsi" w:hAnsiTheme="majorHAnsi"/>
          <w:sz w:val="22"/>
          <w:szCs w:val="22"/>
        </w:rPr>
        <w:fldChar w:fldCharType="end"/>
      </w:r>
      <w:r w:rsidRPr="00FA5AA0">
        <w:rPr>
          <w:rFonts w:asciiTheme="majorHAnsi" w:hAnsiTheme="majorHAnsi"/>
          <w:sz w:val="22"/>
          <w:szCs w:val="22"/>
        </w:rPr>
        <w:t xml:space="preserve">.  At the same time, gaps were lessened at higher levels of education, highlighting the implications of education for broader stratification patterns.  </w:t>
      </w:r>
    </w:p>
    <w:p w:rsidR="00FA5AA0" w:rsidRPr="00FA5AA0" w:rsidRDefault="00FA5AA0" w:rsidP="00627031">
      <w:pPr>
        <w:pStyle w:val="Heading1"/>
        <w:contextualSpacing/>
        <w:rPr>
          <w:rFonts w:asciiTheme="majorHAnsi" w:hAnsiTheme="majorHAnsi"/>
          <w:sz w:val="22"/>
          <w:szCs w:val="22"/>
        </w:rPr>
      </w:pPr>
      <w:r w:rsidRPr="00FA5AA0">
        <w:rPr>
          <w:rFonts w:asciiTheme="majorHAnsi" w:hAnsiTheme="majorHAnsi"/>
          <w:sz w:val="22"/>
          <w:szCs w:val="22"/>
        </w:rPr>
        <w:t>Discussion</w:t>
      </w:r>
    </w:p>
    <w:p w:rsidR="00FA5AA0" w:rsidRPr="00FA5AA0" w:rsidRDefault="00FA5AA0" w:rsidP="00627031">
      <w:pPr>
        <w:pStyle w:val="NormalIndent"/>
        <w:spacing w:line="240" w:lineRule="auto"/>
        <w:contextualSpacing/>
        <w:rPr>
          <w:rFonts w:asciiTheme="majorHAnsi" w:hAnsiTheme="majorHAnsi"/>
          <w:sz w:val="22"/>
          <w:szCs w:val="22"/>
        </w:rPr>
      </w:pPr>
      <w:r w:rsidRPr="00FA5AA0">
        <w:rPr>
          <w:rFonts w:asciiTheme="majorHAnsi" w:hAnsiTheme="majorHAnsi"/>
          <w:sz w:val="22"/>
          <w:szCs w:val="22"/>
        </w:rPr>
        <w:t xml:space="preserve">In some sense, there is a great deal of common ground connecting the Chinese- and English-language literatures.  These literatures focus on similar case studies, settings, and problems.  It is striking that much of the work in both languages comes from scholars working outside of the field of sociology of education.  Much of the existing work comes out of educational stratification, anthropology, or development economics traditions, or is conducted by educational researchers operating outside of sociological traditions and frameworks altogether.  </w:t>
      </w:r>
    </w:p>
    <w:p w:rsidR="00FA5AA0" w:rsidRPr="00FA5AA0" w:rsidRDefault="00FA5AA0" w:rsidP="00627031">
      <w:pPr>
        <w:pStyle w:val="NormalIndent"/>
        <w:spacing w:line="240" w:lineRule="auto"/>
        <w:contextualSpacing/>
        <w:rPr>
          <w:rFonts w:asciiTheme="majorHAnsi" w:hAnsiTheme="majorHAnsi"/>
          <w:sz w:val="22"/>
          <w:szCs w:val="22"/>
        </w:rPr>
      </w:pPr>
      <w:r w:rsidRPr="00FA5AA0">
        <w:rPr>
          <w:rFonts w:asciiTheme="majorHAnsi" w:hAnsiTheme="majorHAnsi"/>
          <w:sz w:val="22"/>
          <w:szCs w:val="22"/>
        </w:rPr>
        <w:t>Yet, there are certain differences across the two literatures.  These literatures draw on different ideological starting points. They conform to different norms of academic composition and speak to different audiences in different sociopolitical contexts.  In one realm, authors write carefully on topics that are both highly sensitive and highly salient to the national development agenda, and often seek to provide direct suggestions about improvement strategies.  In the other realm, authors speak primarily to an academic audience.  As a consequence, the focus and tone in the two literatures sometimes diverge.  Certain lines of policy-related work appear primarily in Chinese.  For example, there is a debate in the Chinese literature between Marxist and multicultural perspectives that is not prominent in the English literature.  Many Chinese-language studies espouse and explicate a Marxist ideology of ethnic minority education.  These studies focus on the ways that education can and should emphasize national unity and patriotism.  Although most of the policy literature supports this ideology and policies and programs based on this framework, there are a handful of scholars writing in Chinese who are critical of this perspective.  These authors argue that assimilative schooling often ignores other values, which may lead to the disappearance of distinct cultures.  Many of these scholars favor what they call a multicultural approach, which places equal emphasis on all cultural groups.</w:t>
      </w:r>
    </w:p>
    <w:p w:rsidR="00FA5AA0" w:rsidRPr="00FA5AA0" w:rsidRDefault="00FA5AA0" w:rsidP="00627031">
      <w:pPr>
        <w:pStyle w:val="NormalIndent"/>
        <w:spacing w:line="240" w:lineRule="auto"/>
        <w:contextualSpacing/>
        <w:rPr>
          <w:rFonts w:asciiTheme="majorHAnsi" w:hAnsiTheme="majorHAnsi"/>
          <w:sz w:val="22"/>
          <w:szCs w:val="22"/>
        </w:rPr>
      </w:pPr>
      <w:r w:rsidRPr="00FA5AA0">
        <w:rPr>
          <w:rFonts w:asciiTheme="majorHAnsi" w:hAnsiTheme="majorHAnsi"/>
          <w:sz w:val="22"/>
          <w:szCs w:val="22"/>
        </w:rPr>
        <w:t>In the remainder of this concluding section, we discuss a few key themes, noting where relevant when and how interpretations differ significantly in the two literatures.  We discuss how the literatures on ethnic disparity address the role of poverty, the role of culture, the role of policy, and the tensions between language offerings that prioritize cultural preservation and those that prioritize social mobility in a globalized China.</w:t>
      </w:r>
    </w:p>
    <w:p w:rsidR="00FA5AA0" w:rsidRPr="00FA5AA0" w:rsidRDefault="00FA5AA0" w:rsidP="00627031">
      <w:pPr>
        <w:pStyle w:val="Heading2"/>
        <w:spacing w:line="240" w:lineRule="auto"/>
        <w:contextualSpacing/>
        <w:rPr>
          <w:rFonts w:asciiTheme="majorHAnsi" w:hAnsiTheme="majorHAnsi"/>
          <w:sz w:val="22"/>
          <w:szCs w:val="22"/>
        </w:rPr>
      </w:pPr>
      <w:r w:rsidRPr="00FA5AA0">
        <w:rPr>
          <w:rFonts w:asciiTheme="majorHAnsi" w:hAnsiTheme="majorHAnsi"/>
          <w:sz w:val="22"/>
          <w:szCs w:val="22"/>
        </w:rPr>
        <w:t>The role of poverty</w:t>
      </w:r>
    </w:p>
    <w:p w:rsidR="00FA5AA0" w:rsidRPr="00FA5AA0" w:rsidRDefault="00FA5AA0" w:rsidP="00627031">
      <w:pPr>
        <w:spacing w:line="240" w:lineRule="auto"/>
        <w:ind w:firstLine="720"/>
        <w:contextualSpacing/>
        <w:rPr>
          <w:rFonts w:asciiTheme="majorHAnsi" w:hAnsiTheme="majorHAnsi"/>
        </w:rPr>
      </w:pPr>
      <w:r w:rsidRPr="00FA5AA0">
        <w:rPr>
          <w:rFonts w:asciiTheme="majorHAnsi" w:hAnsiTheme="majorHAnsi"/>
        </w:rPr>
        <w:t xml:space="preserve">A discussion and empirical documentation of “uneven development” of educational systems, facilities, and teachers is prominent in the Chinese literature.  Much of this research suggests that ethnic differences can be explained by regional economic development differences and class disparities, as well as associated differences in access to adequate school facilities and teachers.  This work parallels a line of quantitative work in English that has sought to establish empirically the disparities across ethnic groups in educational outcomes.  The English literature on educational stratification by ethnicity in China attests to successes in expanding access to schools to previously excluded groups, to persisting disparities across many groups, and, like the Chinese literature, to the significance of economic and geographic context in contributing to persisting ethnic disparities in education.  While it is clear in both literatures that many of the ethnic gaps in outcomes can be explained </w:t>
      </w:r>
      <w:r w:rsidRPr="00FA5AA0">
        <w:rPr>
          <w:rFonts w:asciiTheme="majorHAnsi" w:hAnsiTheme="majorHAnsi"/>
          <w:i/>
        </w:rPr>
        <w:t>statistically</w:t>
      </w:r>
      <w:r w:rsidRPr="00FA5AA0">
        <w:rPr>
          <w:rFonts w:asciiTheme="majorHAnsi" w:hAnsiTheme="majorHAnsi"/>
        </w:rPr>
        <w:t xml:space="preserve"> by incorporating variables accounting for geographic location, what this fact really tells us is very unclear.  In the Chinese literature, and in some of the English literature, a prominent interpretation is that the problem of minority education is one primarily of poverty and insufficient economic development.  Without discounting the obvious importance of poverty as a significant contributing factor to educational disparities by ethnic group, the qualitative work in both languages certainly suggests that other issues are also at play.</w:t>
      </w:r>
    </w:p>
    <w:p w:rsidR="00FA5AA0" w:rsidRPr="00FA5AA0" w:rsidRDefault="00FA5AA0" w:rsidP="00627031">
      <w:pPr>
        <w:pStyle w:val="Heading2"/>
        <w:spacing w:line="240" w:lineRule="auto"/>
        <w:contextualSpacing/>
        <w:rPr>
          <w:rFonts w:asciiTheme="majorHAnsi" w:hAnsiTheme="majorHAnsi"/>
          <w:sz w:val="22"/>
          <w:szCs w:val="22"/>
        </w:rPr>
      </w:pPr>
      <w:r w:rsidRPr="00FA5AA0">
        <w:rPr>
          <w:rFonts w:asciiTheme="majorHAnsi" w:hAnsiTheme="majorHAnsi"/>
          <w:sz w:val="22"/>
          <w:szCs w:val="22"/>
        </w:rPr>
        <w:t xml:space="preserve">The role of culture </w:t>
      </w:r>
    </w:p>
    <w:p w:rsidR="00FA5AA0" w:rsidRPr="00FA5AA0" w:rsidRDefault="00FA5AA0" w:rsidP="00627031">
      <w:pPr>
        <w:pStyle w:val="NormalIndent"/>
        <w:spacing w:line="240" w:lineRule="auto"/>
        <w:contextualSpacing/>
        <w:rPr>
          <w:rFonts w:asciiTheme="majorHAnsi" w:hAnsiTheme="majorHAnsi"/>
          <w:sz w:val="22"/>
          <w:szCs w:val="22"/>
        </w:rPr>
      </w:pPr>
      <w:r w:rsidRPr="00FA5AA0">
        <w:rPr>
          <w:rFonts w:asciiTheme="majorHAnsi" w:hAnsiTheme="majorHAnsi"/>
          <w:sz w:val="22"/>
          <w:szCs w:val="22"/>
        </w:rPr>
        <w:t>Cultural issues are commonly cited in the qualitative literature as contributing factors.  Some of the work in Chinese puts forth what might be termed a cultural deficit model – characteristics of groups such as religion or gender norms may depress educational levels.  Some of this literature does not really reflect on the school structures or practices that may contribute to unwillingness to attend schools.  There is a contrasting notion of cultural disconnect in the multicultural tradition in Chinese and in much of the ethnographic literature in English.  The cultural disconnect literature describes school and classroom settings where members of certain ethnic minority groups face discouraging, dis-incentivizing messages of linguistic and cultural inferiority; however, there is tremendous variation in experience across minority groups.</w:t>
      </w:r>
    </w:p>
    <w:p w:rsidR="00FA5AA0" w:rsidRPr="00FA5AA0" w:rsidRDefault="00FA5AA0" w:rsidP="00627031">
      <w:pPr>
        <w:pStyle w:val="Heading2"/>
        <w:spacing w:line="240" w:lineRule="auto"/>
        <w:contextualSpacing/>
        <w:rPr>
          <w:rFonts w:asciiTheme="majorHAnsi" w:hAnsiTheme="majorHAnsi"/>
          <w:sz w:val="22"/>
          <w:szCs w:val="22"/>
        </w:rPr>
      </w:pPr>
      <w:r w:rsidRPr="00FA5AA0">
        <w:rPr>
          <w:rFonts w:asciiTheme="majorHAnsi" w:hAnsiTheme="majorHAnsi"/>
          <w:sz w:val="22"/>
          <w:szCs w:val="22"/>
        </w:rPr>
        <w:t>The role of policy: the education project, intended and unintended</w:t>
      </w:r>
    </w:p>
    <w:p w:rsidR="00FA5AA0" w:rsidRPr="00FA5AA0" w:rsidRDefault="00FA5AA0" w:rsidP="00627031">
      <w:pPr>
        <w:pStyle w:val="NormalIndent"/>
        <w:spacing w:line="240" w:lineRule="auto"/>
        <w:contextualSpacing/>
        <w:rPr>
          <w:rFonts w:asciiTheme="majorHAnsi" w:hAnsiTheme="majorHAnsi"/>
          <w:sz w:val="22"/>
          <w:szCs w:val="22"/>
        </w:rPr>
      </w:pPr>
      <w:r w:rsidRPr="00FA5AA0">
        <w:rPr>
          <w:rFonts w:asciiTheme="majorHAnsi" w:hAnsiTheme="majorHAnsi"/>
          <w:sz w:val="22"/>
          <w:szCs w:val="22"/>
        </w:rPr>
        <w:t>A related strand in both literatures includes a substantial number of papers that catalogue existing minority policies and highlight the integrative goals of policies.  The assimilative functions of minority education as promoting development and national unity are problematized in some of the multicultural literature in Chinese, and quite commonly in the English literature.  Further, the English-language research and a few of the Chinese studies suggest that the assimilative mission of minority education utilizes tactics that devalue or suppress certain minority identities.  Yet, a few studies in English suggest that ethnic identities and networks are in some cases strengthened by the experience.</w:t>
      </w:r>
      <w:r w:rsidRPr="00FA5AA0">
        <w:rPr>
          <w:rStyle w:val="FootnoteReference"/>
          <w:rFonts w:asciiTheme="majorHAnsi" w:hAnsiTheme="majorHAnsi"/>
          <w:sz w:val="22"/>
          <w:szCs w:val="22"/>
        </w:rPr>
        <w:footnoteReference w:id="13"/>
      </w:r>
      <w:r w:rsidRPr="00FA5AA0">
        <w:rPr>
          <w:rFonts w:asciiTheme="majorHAnsi" w:hAnsiTheme="majorHAnsi"/>
          <w:sz w:val="22"/>
          <w:szCs w:val="22"/>
        </w:rPr>
        <w:t xml:space="preserve">   </w:t>
      </w:r>
    </w:p>
    <w:p w:rsidR="00FA5AA0" w:rsidRPr="00FA5AA0" w:rsidRDefault="00FA5AA0" w:rsidP="00627031">
      <w:pPr>
        <w:pStyle w:val="Heading2"/>
        <w:spacing w:line="240" w:lineRule="auto"/>
        <w:contextualSpacing/>
        <w:rPr>
          <w:rFonts w:asciiTheme="majorHAnsi" w:hAnsiTheme="majorHAnsi"/>
          <w:sz w:val="22"/>
          <w:szCs w:val="22"/>
        </w:rPr>
      </w:pPr>
      <w:proofErr w:type="gramStart"/>
      <w:r w:rsidRPr="00FA5AA0">
        <w:rPr>
          <w:rFonts w:asciiTheme="majorHAnsi" w:hAnsiTheme="majorHAnsi"/>
          <w:sz w:val="22"/>
          <w:szCs w:val="22"/>
        </w:rPr>
        <w:t>Tradeoffs?</w:t>
      </w:r>
      <w:proofErr w:type="gramEnd"/>
      <w:r w:rsidRPr="00FA5AA0">
        <w:rPr>
          <w:rFonts w:asciiTheme="majorHAnsi" w:hAnsiTheme="majorHAnsi"/>
          <w:sz w:val="22"/>
          <w:szCs w:val="22"/>
        </w:rPr>
        <w:t xml:space="preserve"> Globalization, instrumentalism and language preservation</w:t>
      </w:r>
    </w:p>
    <w:p w:rsidR="00FA5AA0" w:rsidRPr="00FA5AA0" w:rsidRDefault="00FA5AA0" w:rsidP="00627031">
      <w:pPr>
        <w:pStyle w:val="NormalIndent"/>
        <w:spacing w:line="240" w:lineRule="auto"/>
        <w:contextualSpacing/>
        <w:rPr>
          <w:rFonts w:asciiTheme="majorHAnsi" w:hAnsiTheme="majorHAnsi"/>
          <w:sz w:val="22"/>
          <w:szCs w:val="22"/>
        </w:rPr>
      </w:pPr>
      <w:r w:rsidRPr="00FA5AA0">
        <w:rPr>
          <w:rFonts w:asciiTheme="majorHAnsi" w:hAnsiTheme="majorHAnsi"/>
          <w:sz w:val="22"/>
          <w:szCs w:val="22"/>
        </w:rPr>
        <w:t xml:space="preserve">A theme in both language literatures is the instrumental pressure for language assimilation, even in the context of language policies that seek to preserve minority languages.  Both literatures describe an educational system that has policies in place for preservation of minority languages, and both describe a system that tends to promote the dominant culture and standard Chinese language acquisition.  Scholars writing in both languages acknowledge the instrumentality of this latter approach for fostering economic mobility, and highlight the rising economic incentives faced by schools, teachers, and students to privilege standard Chinese and English over minority languages.  However, the English literature focuses strongly on the costs of an approach that devalues minority language and culture, whereas even the more critical Chinese language literature tends to frame the problem as an omission, and not </w:t>
      </w:r>
      <w:proofErr w:type="gramStart"/>
      <w:r w:rsidRPr="00FA5AA0">
        <w:rPr>
          <w:rFonts w:asciiTheme="majorHAnsi" w:hAnsiTheme="majorHAnsi"/>
          <w:sz w:val="22"/>
          <w:szCs w:val="22"/>
        </w:rPr>
        <w:t>a devaluation</w:t>
      </w:r>
      <w:proofErr w:type="gramEnd"/>
      <w:r w:rsidRPr="00FA5AA0">
        <w:rPr>
          <w:rFonts w:asciiTheme="majorHAnsi" w:hAnsiTheme="majorHAnsi"/>
          <w:sz w:val="22"/>
          <w:szCs w:val="22"/>
        </w:rPr>
        <w:t>, of minority language and culture.  In both literatures, the pressures outside the purview of the school system for students to be fluent in standard Chinese and proficient in English are challenging the preservation of minority languages.</w:t>
      </w:r>
    </w:p>
    <w:p w:rsidR="00FA5AA0" w:rsidRPr="00FA5AA0" w:rsidRDefault="00FA5AA0" w:rsidP="00627031">
      <w:pPr>
        <w:pStyle w:val="Heading2"/>
        <w:spacing w:line="240" w:lineRule="auto"/>
        <w:contextualSpacing/>
        <w:rPr>
          <w:rFonts w:asciiTheme="majorHAnsi" w:hAnsiTheme="majorHAnsi"/>
          <w:sz w:val="22"/>
          <w:szCs w:val="22"/>
        </w:rPr>
      </w:pPr>
      <w:r w:rsidRPr="00FA5AA0">
        <w:rPr>
          <w:rFonts w:asciiTheme="majorHAnsi" w:hAnsiTheme="majorHAnsi"/>
          <w:sz w:val="22"/>
          <w:szCs w:val="22"/>
        </w:rPr>
        <w:t>Conclusions</w:t>
      </w:r>
    </w:p>
    <w:p w:rsidR="00FA5AA0" w:rsidRPr="00FA5AA0" w:rsidRDefault="00FA5AA0" w:rsidP="00627031">
      <w:pPr>
        <w:pStyle w:val="NormalIndent"/>
        <w:spacing w:line="240" w:lineRule="auto"/>
        <w:contextualSpacing/>
        <w:rPr>
          <w:rFonts w:asciiTheme="majorHAnsi" w:hAnsiTheme="majorHAnsi"/>
          <w:sz w:val="22"/>
          <w:szCs w:val="22"/>
        </w:rPr>
      </w:pPr>
      <w:r w:rsidRPr="00FA5AA0">
        <w:rPr>
          <w:rFonts w:asciiTheme="majorHAnsi" w:hAnsiTheme="majorHAnsi"/>
          <w:sz w:val="22"/>
          <w:szCs w:val="22"/>
        </w:rPr>
        <w:t>This review has sought to provide an enumeration of some key themes emerging in two linked literatures: themes of the complex interrelationships of ethnicity with cultural, policy, development, and language issues.  We have also highlighted certain divergences in the literatures, and suggested certain reasons why this divergence is present.  While there are of course many exceptions, a key element of the divergence is that economic development and poverty alleviation are key orienting issues in the Chinese literature, while much of the English literature is oriented to a largely academic audience interested very centrally in issues of inequality and ethnic Identity.</w:t>
      </w:r>
    </w:p>
    <w:p w:rsidR="00FA5AA0" w:rsidRPr="00FA5AA0" w:rsidRDefault="00FA5AA0" w:rsidP="00627031">
      <w:pPr>
        <w:pStyle w:val="NormalIndent"/>
        <w:spacing w:line="240" w:lineRule="auto"/>
        <w:contextualSpacing/>
        <w:rPr>
          <w:rFonts w:asciiTheme="majorHAnsi" w:hAnsiTheme="majorHAnsi"/>
          <w:sz w:val="22"/>
          <w:szCs w:val="22"/>
        </w:rPr>
      </w:pPr>
      <w:r w:rsidRPr="00FA5AA0">
        <w:rPr>
          <w:rFonts w:asciiTheme="majorHAnsi" w:hAnsiTheme="majorHAnsi"/>
          <w:sz w:val="22"/>
          <w:szCs w:val="22"/>
        </w:rPr>
        <w:t>Studies in both languages pave the way for comparative sociologists of education to learn from the case of China. Close analyses of China’s diverse groups and institutional arrangements hold great potential for theoretical and policy-relevant insights.  Yet, certain new work is needed to move forward in this direction.  Few studies in either language develop a strong comparative framework for investigating or characterizing the policies in China or the problems associated with education amongst minority communities.  In addition, though some of the studies are very well theorized, most are not framed in a way that facilitates dialogue with comparative scholarship in the sociology of education, or comparative theories about ethnicity and education.  This situation is understandable, given the still-nascent state of the field and the need for empirical description to aid in theory building.  However, more heavily theorized work, and more comparatively framed work, will be needed to enable the Chinese experience to be informed by and inform the development of the field of sociology of education.</w:t>
      </w:r>
    </w:p>
    <w:p w:rsidR="00FA5AA0" w:rsidRPr="00FA5AA0" w:rsidRDefault="00FA5AA0" w:rsidP="00627031">
      <w:pPr>
        <w:pStyle w:val="Heading1"/>
        <w:contextualSpacing/>
        <w:rPr>
          <w:rFonts w:asciiTheme="majorHAnsi" w:hAnsiTheme="majorHAnsi"/>
          <w:sz w:val="22"/>
          <w:szCs w:val="22"/>
        </w:rPr>
      </w:pPr>
      <w:r w:rsidRPr="00FA5AA0">
        <w:rPr>
          <w:rFonts w:asciiTheme="majorHAnsi" w:hAnsiTheme="majorHAnsi"/>
          <w:sz w:val="22"/>
          <w:szCs w:val="22"/>
        </w:rPr>
        <w:t>Chinese References Cited</w:t>
      </w:r>
    </w:p>
    <w:p w:rsidR="00FA5AA0" w:rsidRPr="00FA5AA0" w:rsidRDefault="00FA5AA0" w:rsidP="00627031">
      <w:pPr>
        <w:pStyle w:val="NormalIndent"/>
        <w:spacing w:line="240" w:lineRule="auto"/>
        <w:ind w:left="720" w:hanging="720"/>
        <w:contextualSpacing/>
        <w:rPr>
          <w:rFonts w:asciiTheme="majorHAnsi" w:hAnsiTheme="majorHAnsi"/>
          <w:sz w:val="22"/>
          <w:szCs w:val="22"/>
          <w:lang w:eastAsia="zh-CN"/>
        </w:rPr>
      </w:pPr>
      <w:r w:rsidRPr="00FA5AA0">
        <w:rPr>
          <w:rFonts w:asciiTheme="majorHAnsi" w:hAnsiTheme="majorHAnsi"/>
          <w:sz w:val="22"/>
          <w:szCs w:val="22"/>
          <w:lang w:eastAsia="zh-CN"/>
        </w:rPr>
        <w:t>敖俊梅</w:t>
      </w:r>
      <w:r w:rsidRPr="00FA5AA0">
        <w:rPr>
          <w:rFonts w:asciiTheme="majorHAnsi" w:hAnsiTheme="majorHAnsi"/>
          <w:sz w:val="22"/>
          <w:szCs w:val="22"/>
          <w:lang w:eastAsia="zh-CN"/>
        </w:rPr>
        <w:t xml:space="preserve"> (</w:t>
      </w:r>
      <w:proofErr w:type="spellStart"/>
      <w:r w:rsidRPr="00FA5AA0">
        <w:rPr>
          <w:rFonts w:asciiTheme="majorHAnsi" w:hAnsiTheme="majorHAnsi"/>
          <w:i/>
          <w:sz w:val="22"/>
          <w:szCs w:val="22"/>
          <w:lang w:eastAsia="zh-CN"/>
        </w:rPr>
        <w:t>Ao</w:t>
      </w:r>
      <w:proofErr w:type="spellEnd"/>
      <w:r w:rsidRPr="00FA5AA0">
        <w:rPr>
          <w:rFonts w:asciiTheme="majorHAnsi" w:hAnsiTheme="majorHAnsi"/>
          <w:i/>
          <w:sz w:val="22"/>
          <w:szCs w:val="22"/>
          <w:lang w:eastAsia="zh-CN"/>
        </w:rPr>
        <w:t xml:space="preserve"> </w:t>
      </w:r>
      <w:proofErr w:type="spellStart"/>
      <w:r w:rsidRPr="00FA5AA0">
        <w:rPr>
          <w:rFonts w:asciiTheme="majorHAnsi" w:hAnsiTheme="majorHAnsi"/>
          <w:i/>
          <w:sz w:val="22"/>
          <w:szCs w:val="22"/>
          <w:lang w:eastAsia="zh-CN"/>
        </w:rPr>
        <w:t>Junmei</w:t>
      </w:r>
      <w:proofErr w:type="spellEnd"/>
      <w:r w:rsidRPr="00FA5AA0">
        <w:rPr>
          <w:rFonts w:asciiTheme="majorHAnsi" w:hAnsiTheme="majorHAnsi"/>
          <w:sz w:val="22"/>
          <w:szCs w:val="22"/>
          <w:lang w:eastAsia="zh-CN"/>
        </w:rPr>
        <w:t xml:space="preserve">) (2006). </w:t>
      </w:r>
      <w:r w:rsidRPr="00FA5AA0">
        <w:rPr>
          <w:rFonts w:asciiTheme="majorHAnsi" w:hAnsiTheme="majorHAnsi"/>
          <w:sz w:val="22"/>
          <w:szCs w:val="22"/>
          <w:lang w:eastAsia="zh-CN"/>
        </w:rPr>
        <w:t>个体平等</w:t>
      </w:r>
      <w:r w:rsidRPr="00FA5AA0">
        <w:rPr>
          <w:rFonts w:asciiTheme="majorHAnsi" w:hAnsiTheme="majorHAnsi"/>
          <w:sz w:val="22"/>
          <w:szCs w:val="22"/>
          <w:lang w:eastAsia="zh-CN"/>
        </w:rPr>
        <w:t>,</w:t>
      </w:r>
      <w:r w:rsidRPr="00FA5AA0">
        <w:rPr>
          <w:rFonts w:asciiTheme="majorHAnsi" w:hAnsiTheme="majorHAnsi"/>
          <w:sz w:val="22"/>
          <w:szCs w:val="22"/>
          <w:lang w:eastAsia="zh-CN"/>
        </w:rPr>
        <w:t>抑或群体平等</w:t>
      </w:r>
      <w:r w:rsidRPr="00FA5AA0">
        <w:rPr>
          <w:rFonts w:asciiTheme="majorHAnsi" w:hAnsiTheme="majorHAnsi"/>
          <w:sz w:val="22"/>
          <w:szCs w:val="22"/>
          <w:lang w:eastAsia="zh-CN"/>
        </w:rPr>
        <w:t>——</w:t>
      </w:r>
      <w:r w:rsidRPr="00FA5AA0">
        <w:rPr>
          <w:rFonts w:asciiTheme="majorHAnsi" w:hAnsiTheme="majorHAnsi"/>
          <w:sz w:val="22"/>
          <w:szCs w:val="22"/>
          <w:lang w:eastAsia="zh-CN"/>
        </w:rPr>
        <w:t>少数民族高等教育招生政策理论探究</w:t>
      </w:r>
      <w:r w:rsidRPr="00FA5AA0">
        <w:rPr>
          <w:rFonts w:asciiTheme="majorHAnsi" w:hAnsiTheme="majorHAnsi"/>
          <w:sz w:val="22"/>
          <w:szCs w:val="22"/>
          <w:lang w:eastAsia="zh-CN"/>
        </w:rPr>
        <w:t xml:space="preserve">. </w:t>
      </w:r>
      <w:r w:rsidRPr="00FA5AA0">
        <w:rPr>
          <w:rFonts w:asciiTheme="majorHAnsi" w:hAnsiTheme="majorHAnsi"/>
          <w:sz w:val="22"/>
          <w:szCs w:val="22"/>
          <w:lang w:eastAsia="zh-CN"/>
        </w:rPr>
        <w:t>清华大学教育研究</w:t>
      </w:r>
      <w:r w:rsidRPr="00FA5AA0">
        <w:rPr>
          <w:rFonts w:asciiTheme="majorHAnsi" w:hAnsiTheme="majorHAnsi"/>
          <w:sz w:val="22"/>
          <w:szCs w:val="22"/>
          <w:lang w:eastAsia="zh-CN"/>
        </w:rPr>
        <w:t>, 27(6),70-74.</w:t>
      </w:r>
    </w:p>
    <w:p w:rsidR="00FA5AA0" w:rsidRPr="00FA5AA0" w:rsidRDefault="00FA5AA0" w:rsidP="00627031">
      <w:pPr>
        <w:pStyle w:val="NormalIndent"/>
        <w:spacing w:line="240" w:lineRule="auto"/>
        <w:ind w:firstLine="0"/>
        <w:contextualSpacing/>
        <w:rPr>
          <w:rFonts w:asciiTheme="majorHAnsi" w:hAnsiTheme="majorHAnsi"/>
          <w:sz w:val="22"/>
          <w:szCs w:val="22"/>
          <w:lang w:eastAsia="zh-CN"/>
        </w:rPr>
      </w:pPr>
      <w:r w:rsidRPr="00FA5AA0">
        <w:rPr>
          <w:rFonts w:asciiTheme="majorHAnsi" w:hAnsiTheme="majorHAnsi"/>
          <w:sz w:val="22"/>
          <w:szCs w:val="22"/>
          <w:lang w:eastAsia="zh-CN"/>
        </w:rPr>
        <w:t>宝玉柱</w:t>
      </w:r>
      <w:r w:rsidRPr="00FA5AA0">
        <w:rPr>
          <w:rFonts w:asciiTheme="majorHAnsi" w:hAnsiTheme="majorHAnsi"/>
          <w:sz w:val="22"/>
          <w:szCs w:val="22"/>
          <w:lang w:eastAsia="zh-CN"/>
        </w:rPr>
        <w:t>(</w:t>
      </w:r>
      <w:proofErr w:type="spellStart"/>
      <w:r w:rsidRPr="00FA5AA0">
        <w:rPr>
          <w:rFonts w:asciiTheme="majorHAnsi" w:hAnsiTheme="majorHAnsi"/>
          <w:i/>
          <w:sz w:val="22"/>
          <w:szCs w:val="22"/>
          <w:lang w:eastAsia="zh-CN"/>
        </w:rPr>
        <w:t>Bao</w:t>
      </w:r>
      <w:proofErr w:type="spellEnd"/>
      <w:r w:rsidRPr="00FA5AA0">
        <w:rPr>
          <w:rFonts w:asciiTheme="majorHAnsi" w:hAnsiTheme="majorHAnsi"/>
          <w:i/>
          <w:sz w:val="22"/>
          <w:szCs w:val="22"/>
          <w:lang w:eastAsia="zh-CN"/>
        </w:rPr>
        <w:t xml:space="preserve"> </w:t>
      </w:r>
      <w:proofErr w:type="spellStart"/>
      <w:r w:rsidRPr="00FA5AA0">
        <w:rPr>
          <w:rFonts w:asciiTheme="majorHAnsi" w:hAnsiTheme="majorHAnsi"/>
          <w:i/>
          <w:sz w:val="22"/>
          <w:szCs w:val="22"/>
          <w:lang w:eastAsia="zh-CN"/>
        </w:rPr>
        <w:t>Yuzhu</w:t>
      </w:r>
      <w:proofErr w:type="spellEnd"/>
      <w:r w:rsidRPr="00FA5AA0">
        <w:rPr>
          <w:rFonts w:asciiTheme="majorHAnsi" w:hAnsiTheme="majorHAnsi"/>
          <w:sz w:val="22"/>
          <w:szCs w:val="22"/>
          <w:lang w:eastAsia="zh-CN"/>
        </w:rPr>
        <w:t xml:space="preserve">) (1994). </w:t>
      </w:r>
      <w:r w:rsidRPr="00FA5AA0">
        <w:rPr>
          <w:rFonts w:asciiTheme="majorHAnsi" w:hAnsiTheme="majorHAnsi"/>
          <w:sz w:val="22"/>
          <w:szCs w:val="22"/>
          <w:lang w:eastAsia="zh-CN"/>
        </w:rPr>
        <w:t>古镜契丹字铭文释读《民族译坛》</w:t>
      </w:r>
      <w:r w:rsidRPr="00FA5AA0">
        <w:rPr>
          <w:rFonts w:asciiTheme="majorHAnsi" w:hAnsiTheme="majorHAnsi"/>
          <w:sz w:val="22"/>
          <w:szCs w:val="22"/>
          <w:lang w:eastAsia="zh-CN"/>
        </w:rPr>
        <w:t>1990</w:t>
      </w:r>
      <w:r w:rsidRPr="00FA5AA0">
        <w:rPr>
          <w:rFonts w:asciiTheme="majorHAnsi" w:hAnsiTheme="majorHAnsi"/>
          <w:sz w:val="22"/>
          <w:szCs w:val="22"/>
          <w:lang w:eastAsia="zh-CN"/>
        </w:rPr>
        <w:t>年第</w:t>
      </w:r>
      <w:r w:rsidRPr="00FA5AA0">
        <w:rPr>
          <w:rFonts w:asciiTheme="majorHAnsi" w:hAnsiTheme="majorHAnsi"/>
          <w:sz w:val="22"/>
          <w:szCs w:val="22"/>
          <w:lang w:eastAsia="zh-CN"/>
        </w:rPr>
        <w:t>1</w:t>
      </w:r>
      <w:r w:rsidRPr="00FA5AA0">
        <w:rPr>
          <w:rFonts w:asciiTheme="majorHAnsi" w:hAnsiTheme="majorHAnsi"/>
          <w:sz w:val="22"/>
          <w:szCs w:val="22"/>
          <w:lang w:eastAsia="zh-CN"/>
        </w:rPr>
        <w:t>期</w:t>
      </w:r>
      <w:r w:rsidRPr="00FA5AA0">
        <w:rPr>
          <w:rFonts w:asciiTheme="majorHAnsi" w:hAnsiTheme="majorHAnsi"/>
          <w:sz w:val="22"/>
          <w:szCs w:val="22"/>
          <w:lang w:eastAsia="zh-CN"/>
        </w:rPr>
        <w:t>.</w:t>
      </w:r>
      <w:r w:rsidRPr="00FA5AA0">
        <w:rPr>
          <w:rFonts w:asciiTheme="majorHAnsi" w:hAnsiTheme="majorHAnsi"/>
          <w:sz w:val="22"/>
          <w:szCs w:val="22"/>
          <w:lang w:eastAsia="zh-CN"/>
        </w:rPr>
        <w:t>中央民族大学</w:t>
      </w:r>
      <w:r w:rsidRPr="00FA5AA0">
        <w:rPr>
          <w:rFonts w:asciiTheme="majorHAnsi" w:hAnsiTheme="majorHAnsi"/>
          <w:sz w:val="22"/>
          <w:szCs w:val="22"/>
          <w:lang w:eastAsia="zh-CN"/>
        </w:rPr>
        <w:tab/>
      </w:r>
      <w:r w:rsidRPr="00FA5AA0">
        <w:rPr>
          <w:rFonts w:asciiTheme="majorHAnsi" w:hAnsiTheme="majorHAnsi"/>
          <w:sz w:val="22"/>
          <w:szCs w:val="22"/>
          <w:lang w:eastAsia="zh-CN"/>
        </w:rPr>
        <w:t>出版社</w:t>
      </w:r>
      <w:r w:rsidRPr="00FA5AA0">
        <w:rPr>
          <w:rFonts w:asciiTheme="majorHAnsi" w:hAnsiTheme="majorHAnsi"/>
          <w:sz w:val="22"/>
          <w:szCs w:val="22"/>
          <w:lang w:eastAsia="zh-CN"/>
        </w:rPr>
        <w:t>.</w:t>
      </w:r>
    </w:p>
    <w:p w:rsidR="00FA5AA0" w:rsidRPr="00FA5AA0" w:rsidRDefault="00FA5AA0" w:rsidP="00627031">
      <w:pPr>
        <w:pStyle w:val="NormalIndent"/>
        <w:spacing w:line="240" w:lineRule="auto"/>
        <w:ind w:firstLine="0"/>
        <w:contextualSpacing/>
        <w:rPr>
          <w:rFonts w:asciiTheme="majorHAnsi" w:hAnsiTheme="majorHAnsi"/>
          <w:sz w:val="22"/>
          <w:szCs w:val="22"/>
          <w:lang w:eastAsia="zh-CN"/>
        </w:rPr>
      </w:pPr>
      <w:r w:rsidRPr="00FA5AA0">
        <w:rPr>
          <w:rFonts w:asciiTheme="majorHAnsi" w:hAnsiTheme="majorHAnsi"/>
          <w:sz w:val="22"/>
          <w:szCs w:val="22"/>
          <w:lang w:eastAsia="zh-CN"/>
        </w:rPr>
        <w:t>柏果成</w:t>
      </w:r>
      <w:r w:rsidRPr="00FA5AA0">
        <w:rPr>
          <w:rFonts w:asciiTheme="majorHAnsi" w:hAnsiTheme="majorHAnsi"/>
          <w:sz w:val="22"/>
          <w:szCs w:val="22"/>
          <w:lang w:eastAsia="zh-CN"/>
        </w:rPr>
        <w:t xml:space="preserve"> (</w:t>
      </w:r>
      <w:proofErr w:type="spellStart"/>
      <w:r w:rsidRPr="00FA5AA0">
        <w:rPr>
          <w:rFonts w:asciiTheme="majorHAnsi" w:hAnsiTheme="majorHAnsi"/>
          <w:i/>
          <w:sz w:val="22"/>
          <w:szCs w:val="22"/>
          <w:lang w:eastAsia="zh-CN"/>
        </w:rPr>
        <w:t>Bai</w:t>
      </w:r>
      <w:proofErr w:type="spellEnd"/>
      <w:r w:rsidRPr="00FA5AA0">
        <w:rPr>
          <w:rFonts w:asciiTheme="majorHAnsi" w:hAnsiTheme="majorHAnsi"/>
          <w:i/>
          <w:sz w:val="22"/>
          <w:szCs w:val="22"/>
          <w:lang w:eastAsia="zh-CN"/>
        </w:rPr>
        <w:t xml:space="preserve"> </w:t>
      </w:r>
      <w:proofErr w:type="spellStart"/>
      <w:r w:rsidRPr="00FA5AA0">
        <w:rPr>
          <w:rFonts w:asciiTheme="majorHAnsi" w:hAnsiTheme="majorHAnsi"/>
          <w:i/>
          <w:sz w:val="22"/>
          <w:szCs w:val="22"/>
          <w:lang w:eastAsia="zh-CN"/>
        </w:rPr>
        <w:t>Guocheng</w:t>
      </w:r>
      <w:proofErr w:type="spellEnd"/>
      <w:r w:rsidRPr="00FA5AA0">
        <w:rPr>
          <w:rFonts w:asciiTheme="majorHAnsi" w:hAnsiTheme="majorHAnsi"/>
          <w:sz w:val="22"/>
          <w:szCs w:val="22"/>
          <w:lang w:eastAsia="zh-CN"/>
        </w:rPr>
        <w:t xml:space="preserve">) (1986). </w:t>
      </w:r>
      <w:r w:rsidRPr="00FA5AA0">
        <w:rPr>
          <w:rFonts w:asciiTheme="majorHAnsi" w:hAnsiTheme="majorHAnsi"/>
          <w:sz w:val="22"/>
          <w:szCs w:val="22"/>
          <w:lang w:eastAsia="zh-CN"/>
        </w:rPr>
        <w:t>瑶山民族教育调查报告</w:t>
      </w:r>
      <w:r w:rsidRPr="00FA5AA0">
        <w:rPr>
          <w:rFonts w:asciiTheme="majorHAnsi" w:hAnsiTheme="majorHAnsi"/>
          <w:sz w:val="22"/>
          <w:szCs w:val="22"/>
          <w:lang w:eastAsia="zh-CN"/>
        </w:rPr>
        <w:t>.</w:t>
      </w:r>
      <w:r w:rsidRPr="00FA5AA0">
        <w:rPr>
          <w:rFonts w:asciiTheme="majorHAnsi" w:hAnsiTheme="majorHAnsi"/>
          <w:sz w:val="22"/>
          <w:szCs w:val="22"/>
          <w:lang w:eastAsia="zh-CN"/>
        </w:rPr>
        <w:t>贵州民族学院学报</w:t>
      </w:r>
      <w:r w:rsidRPr="00FA5AA0">
        <w:rPr>
          <w:rFonts w:asciiTheme="majorHAnsi" w:hAnsiTheme="majorHAnsi"/>
          <w:sz w:val="22"/>
          <w:szCs w:val="22"/>
          <w:lang w:eastAsia="zh-CN"/>
        </w:rPr>
        <w:t xml:space="preserve"> </w:t>
      </w:r>
      <w:proofErr w:type="gramStart"/>
      <w:r w:rsidRPr="00FA5AA0">
        <w:rPr>
          <w:rFonts w:asciiTheme="majorHAnsi" w:hAnsiTheme="majorHAnsi"/>
          <w:sz w:val="22"/>
          <w:szCs w:val="22"/>
          <w:lang w:eastAsia="zh-CN"/>
        </w:rPr>
        <w:t>(</w:t>
      </w:r>
      <w:r w:rsidRPr="00FA5AA0">
        <w:rPr>
          <w:rFonts w:asciiTheme="majorHAnsi" w:hAnsiTheme="majorHAnsi"/>
          <w:sz w:val="22"/>
          <w:szCs w:val="22"/>
          <w:lang w:eastAsia="zh-CN"/>
        </w:rPr>
        <w:t>社会科学版</w:t>
      </w:r>
      <w:r w:rsidRPr="00FA5AA0">
        <w:rPr>
          <w:rFonts w:asciiTheme="majorHAnsi" w:hAnsiTheme="majorHAnsi"/>
          <w:sz w:val="22"/>
          <w:szCs w:val="22"/>
          <w:lang w:eastAsia="zh-CN"/>
        </w:rPr>
        <w:t xml:space="preserve">), 2, </w:t>
      </w:r>
      <w:r w:rsidRPr="00FA5AA0">
        <w:rPr>
          <w:rFonts w:asciiTheme="majorHAnsi" w:hAnsiTheme="majorHAnsi"/>
          <w:sz w:val="22"/>
          <w:szCs w:val="22"/>
          <w:lang w:eastAsia="zh-CN"/>
        </w:rPr>
        <w:tab/>
        <w:t>87-94.</w:t>
      </w:r>
      <w:proofErr w:type="gramEnd"/>
    </w:p>
    <w:p w:rsidR="00FA5AA0" w:rsidRPr="00FA5AA0" w:rsidRDefault="00FA5AA0" w:rsidP="00627031">
      <w:pPr>
        <w:pStyle w:val="NormalIndent"/>
        <w:spacing w:line="240" w:lineRule="auto"/>
        <w:ind w:left="720" w:hanging="720"/>
        <w:contextualSpacing/>
        <w:rPr>
          <w:rFonts w:asciiTheme="majorHAnsi" w:hAnsiTheme="majorHAnsi"/>
          <w:sz w:val="22"/>
          <w:szCs w:val="22"/>
          <w:lang w:eastAsia="zh-CN"/>
        </w:rPr>
      </w:pPr>
      <w:r w:rsidRPr="00FA5AA0">
        <w:rPr>
          <w:rFonts w:asciiTheme="majorHAnsi" w:hAnsiTheme="majorHAnsi"/>
          <w:sz w:val="22"/>
          <w:szCs w:val="22"/>
          <w:lang w:eastAsia="zh-CN"/>
        </w:rPr>
        <w:t>甘肃省教育厅民族教育处</w:t>
      </w:r>
      <w:r w:rsidRPr="00FA5AA0">
        <w:rPr>
          <w:rFonts w:asciiTheme="majorHAnsi" w:hAnsiTheme="majorHAnsi"/>
          <w:sz w:val="22"/>
          <w:szCs w:val="22"/>
          <w:lang w:eastAsia="zh-CN"/>
        </w:rPr>
        <w:t xml:space="preserve"> (</w:t>
      </w:r>
      <w:r w:rsidRPr="00FA5AA0">
        <w:rPr>
          <w:rFonts w:asciiTheme="majorHAnsi" w:hAnsiTheme="majorHAnsi"/>
          <w:sz w:val="22"/>
          <w:szCs w:val="22"/>
        </w:rPr>
        <w:t>Minority Education Department of Gansu Provincial Department of Education</w:t>
      </w:r>
      <w:r w:rsidRPr="00FA5AA0">
        <w:rPr>
          <w:rFonts w:asciiTheme="majorHAnsi" w:hAnsiTheme="majorHAnsi"/>
          <w:sz w:val="22"/>
          <w:szCs w:val="22"/>
          <w:lang w:eastAsia="zh-CN"/>
        </w:rPr>
        <w:t xml:space="preserve">) (2010). </w:t>
      </w:r>
      <w:r w:rsidRPr="00FA5AA0">
        <w:rPr>
          <w:rFonts w:asciiTheme="majorHAnsi" w:hAnsiTheme="majorHAnsi"/>
          <w:sz w:val="22"/>
          <w:szCs w:val="22"/>
          <w:lang w:eastAsia="zh-CN"/>
        </w:rPr>
        <w:t>甘肃省民族地区教育综合统计报表</w:t>
      </w:r>
      <w:r w:rsidRPr="00FA5AA0">
        <w:rPr>
          <w:rFonts w:asciiTheme="majorHAnsi" w:hAnsiTheme="majorHAnsi"/>
          <w:sz w:val="22"/>
          <w:szCs w:val="22"/>
          <w:lang w:eastAsia="zh-CN"/>
        </w:rPr>
        <w:t xml:space="preserve"> (2009/2010). </w:t>
      </w:r>
      <w:r w:rsidRPr="00FA5AA0">
        <w:rPr>
          <w:rFonts w:asciiTheme="majorHAnsi" w:hAnsiTheme="majorHAnsi"/>
          <w:sz w:val="22"/>
          <w:szCs w:val="22"/>
          <w:lang w:eastAsia="zh-CN"/>
        </w:rPr>
        <w:t>内部资料</w:t>
      </w:r>
      <w:r w:rsidRPr="00FA5AA0">
        <w:rPr>
          <w:rFonts w:asciiTheme="majorHAnsi" w:hAnsiTheme="majorHAnsi"/>
          <w:sz w:val="22"/>
          <w:szCs w:val="22"/>
          <w:lang w:eastAsia="zh-CN"/>
        </w:rPr>
        <w:t>.</w:t>
      </w:r>
    </w:p>
    <w:p w:rsidR="00FA5AA0" w:rsidRPr="00FA5AA0" w:rsidRDefault="00FA5AA0" w:rsidP="00627031">
      <w:pPr>
        <w:pStyle w:val="NormalIndent"/>
        <w:spacing w:line="240" w:lineRule="auto"/>
        <w:ind w:left="720" w:hanging="720"/>
        <w:contextualSpacing/>
        <w:rPr>
          <w:rFonts w:asciiTheme="majorHAnsi" w:hAnsiTheme="majorHAnsi"/>
          <w:sz w:val="22"/>
          <w:szCs w:val="22"/>
          <w:lang w:eastAsia="zh-CN"/>
        </w:rPr>
      </w:pPr>
      <w:r w:rsidRPr="00FA5AA0">
        <w:rPr>
          <w:rFonts w:asciiTheme="majorHAnsi" w:hAnsiTheme="majorHAnsi"/>
          <w:sz w:val="22"/>
          <w:szCs w:val="22"/>
          <w:lang w:eastAsia="zh-CN"/>
        </w:rPr>
        <w:t>国家统计局</w:t>
      </w:r>
      <w:r w:rsidRPr="00FA5AA0">
        <w:rPr>
          <w:rFonts w:asciiTheme="majorHAnsi" w:hAnsiTheme="majorHAnsi"/>
          <w:sz w:val="22"/>
          <w:szCs w:val="22"/>
          <w:lang w:eastAsia="zh-CN"/>
        </w:rPr>
        <w:t xml:space="preserve"> (National Bureau of Statistics) (2011). </w:t>
      </w:r>
      <w:proofErr w:type="gramStart"/>
      <w:r w:rsidRPr="00FA5AA0">
        <w:rPr>
          <w:rFonts w:asciiTheme="majorHAnsi" w:hAnsiTheme="majorHAnsi"/>
          <w:sz w:val="22"/>
          <w:szCs w:val="22"/>
          <w:lang w:eastAsia="zh-CN"/>
        </w:rPr>
        <w:t>2010</w:t>
      </w:r>
      <w:r w:rsidRPr="00FA5AA0">
        <w:rPr>
          <w:rFonts w:asciiTheme="majorHAnsi" w:hAnsiTheme="majorHAnsi"/>
          <w:sz w:val="22"/>
          <w:szCs w:val="22"/>
          <w:lang w:eastAsia="zh-CN"/>
        </w:rPr>
        <w:t>年第六次全国人口普查主要数据公</w:t>
      </w:r>
      <w:r w:rsidRPr="00FA5AA0">
        <w:rPr>
          <w:rFonts w:asciiTheme="majorHAnsi" w:hAnsiTheme="majorHAnsi"/>
          <w:sz w:val="22"/>
          <w:szCs w:val="22"/>
          <w:lang w:eastAsia="zh-CN"/>
        </w:rPr>
        <w:tab/>
      </w:r>
      <w:r w:rsidRPr="00FA5AA0">
        <w:rPr>
          <w:rFonts w:asciiTheme="majorHAnsi" w:hAnsiTheme="majorHAnsi"/>
          <w:sz w:val="22"/>
          <w:szCs w:val="22"/>
          <w:lang w:eastAsia="zh-CN"/>
        </w:rPr>
        <w:t>报</w:t>
      </w:r>
      <w:r w:rsidRPr="00FA5AA0">
        <w:rPr>
          <w:rFonts w:asciiTheme="majorHAnsi" w:hAnsiTheme="majorHAnsi"/>
          <w:sz w:val="22"/>
          <w:szCs w:val="22"/>
          <w:lang w:eastAsia="zh-CN"/>
        </w:rPr>
        <w:t xml:space="preserve"> (</w:t>
      </w:r>
      <w:r w:rsidRPr="00FA5AA0">
        <w:rPr>
          <w:rFonts w:asciiTheme="majorHAnsi" w:hAnsiTheme="majorHAnsi"/>
          <w:sz w:val="22"/>
          <w:szCs w:val="22"/>
          <w:lang w:eastAsia="zh-CN"/>
        </w:rPr>
        <w:t>第</w:t>
      </w:r>
      <w:r w:rsidRPr="00FA5AA0">
        <w:rPr>
          <w:rFonts w:asciiTheme="majorHAnsi" w:hAnsiTheme="majorHAnsi"/>
          <w:sz w:val="22"/>
          <w:szCs w:val="22"/>
          <w:lang w:eastAsia="zh-CN"/>
        </w:rPr>
        <w:t>1</w:t>
      </w:r>
      <w:r w:rsidRPr="00FA5AA0">
        <w:rPr>
          <w:rFonts w:asciiTheme="majorHAnsi" w:hAnsiTheme="majorHAnsi"/>
          <w:sz w:val="22"/>
          <w:szCs w:val="22"/>
          <w:lang w:eastAsia="zh-CN"/>
        </w:rPr>
        <w:t>号</w:t>
      </w:r>
      <w:r w:rsidRPr="00FA5AA0">
        <w:rPr>
          <w:rFonts w:asciiTheme="majorHAnsi" w:hAnsiTheme="majorHAnsi"/>
          <w:sz w:val="22"/>
          <w:szCs w:val="22"/>
          <w:lang w:eastAsia="zh-CN"/>
        </w:rPr>
        <w:t>).</w:t>
      </w:r>
      <w:proofErr w:type="gramEnd"/>
      <w:r w:rsidRPr="00FA5AA0">
        <w:rPr>
          <w:rFonts w:asciiTheme="majorHAnsi" w:hAnsiTheme="majorHAnsi"/>
          <w:sz w:val="22"/>
          <w:szCs w:val="22"/>
          <w:lang w:eastAsia="zh-CN"/>
        </w:rPr>
        <w:t xml:space="preserve"> </w:t>
      </w:r>
      <w:hyperlink r:id="rId8" w:history="1">
        <w:r w:rsidRPr="00FA5AA0">
          <w:rPr>
            <w:rStyle w:val="Hyperlink"/>
            <w:rFonts w:asciiTheme="majorHAnsi" w:hAnsiTheme="majorHAnsi"/>
            <w:sz w:val="22"/>
            <w:szCs w:val="22"/>
            <w:lang w:eastAsia="zh-CN"/>
          </w:rPr>
          <w:t>http://www.stats.gov.cn/was40/gjtjj_detail.jsp?searchword=%C8%CB%BF%DA%C6%</w:t>
        </w:r>
      </w:hyperlink>
      <w:r w:rsidRPr="00FA5AA0">
        <w:rPr>
          <w:rFonts w:asciiTheme="majorHAnsi" w:hAnsiTheme="majorHAnsi"/>
          <w:sz w:val="22"/>
          <w:szCs w:val="22"/>
          <w:lang w:eastAsia="zh-CN"/>
        </w:rPr>
        <w:t>D5%B2%E9&amp;presearchword=%C8%CB%BF%DA%C6%D5%B2%E9&amp;channelid=6697&amp;record=40.</w:t>
      </w:r>
    </w:p>
    <w:p w:rsidR="00FA5AA0" w:rsidRPr="00FA5AA0" w:rsidRDefault="00FA5AA0" w:rsidP="00627031">
      <w:pPr>
        <w:pStyle w:val="NormalIndent"/>
        <w:spacing w:line="240" w:lineRule="auto"/>
        <w:ind w:left="720" w:hanging="720"/>
        <w:contextualSpacing/>
        <w:rPr>
          <w:rFonts w:asciiTheme="majorHAnsi" w:hAnsiTheme="majorHAnsi"/>
          <w:sz w:val="22"/>
          <w:szCs w:val="22"/>
          <w:lang w:eastAsia="zh-CN"/>
        </w:rPr>
      </w:pPr>
      <w:r w:rsidRPr="00FA5AA0">
        <w:rPr>
          <w:rFonts w:asciiTheme="majorHAnsi" w:hAnsiTheme="majorHAnsi"/>
          <w:sz w:val="22"/>
          <w:szCs w:val="22"/>
          <w:lang w:eastAsia="zh-CN"/>
        </w:rPr>
        <w:t>韩嘉玲</w:t>
      </w:r>
      <w:r w:rsidRPr="00FA5AA0">
        <w:rPr>
          <w:rFonts w:asciiTheme="majorHAnsi" w:hAnsiTheme="majorHAnsi"/>
          <w:sz w:val="22"/>
          <w:szCs w:val="22"/>
          <w:lang w:eastAsia="zh-CN"/>
        </w:rPr>
        <w:t xml:space="preserve"> (</w:t>
      </w:r>
      <w:r w:rsidRPr="00FA5AA0">
        <w:rPr>
          <w:rFonts w:asciiTheme="majorHAnsi" w:hAnsiTheme="majorHAnsi"/>
          <w:i/>
          <w:sz w:val="22"/>
          <w:szCs w:val="22"/>
          <w:lang w:eastAsia="zh-CN"/>
        </w:rPr>
        <w:t>Han Jialing</w:t>
      </w:r>
      <w:r w:rsidRPr="00FA5AA0">
        <w:rPr>
          <w:rFonts w:asciiTheme="majorHAnsi" w:hAnsiTheme="majorHAnsi"/>
          <w:sz w:val="22"/>
          <w:szCs w:val="22"/>
          <w:lang w:eastAsia="zh-CN"/>
        </w:rPr>
        <w:t>) (</w:t>
      </w:r>
      <w:r w:rsidRPr="00FA5AA0">
        <w:rPr>
          <w:rFonts w:asciiTheme="majorHAnsi" w:eastAsia="SimSun" w:hAnsiTheme="majorHAnsi"/>
          <w:sz w:val="22"/>
          <w:szCs w:val="22"/>
          <w:lang w:eastAsia="zh-CN"/>
        </w:rPr>
        <w:t>1999</w:t>
      </w:r>
      <w:r w:rsidRPr="00FA5AA0">
        <w:rPr>
          <w:rFonts w:asciiTheme="majorHAnsi" w:hAnsiTheme="majorHAnsi"/>
          <w:sz w:val="22"/>
          <w:szCs w:val="22"/>
          <w:lang w:eastAsia="zh-CN"/>
        </w:rPr>
        <w:t>)</w:t>
      </w:r>
      <w:r w:rsidRPr="00FA5AA0">
        <w:rPr>
          <w:rFonts w:asciiTheme="majorHAnsi" w:eastAsia="SimSun" w:hAnsiTheme="majorHAnsi"/>
          <w:sz w:val="22"/>
          <w:szCs w:val="22"/>
          <w:lang w:eastAsia="zh-CN"/>
        </w:rPr>
        <w:t>.</w:t>
      </w:r>
      <w:r w:rsidRPr="00FA5AA0">
        <w:rPr>
          <w:rFonts w:asciiTheme="majorHAnsi" w:hAnsiTheme="majorHAnsi"/>
          <w:sz w:val="22"/>
          <w:szCs w:val="22"/>
          <w:lang w:eastAsia="zh-CN"/>
        </w:rPr>
        <w:t xml:space="preserve"> </w:t>
      </w:r>
      <w:r w:rsidRPr="00FA5AA0">
        <w:rPr>
          <w:rFonts w:asciiTheme="majorHAnsi" w:hAnsiTheme="majorHAnsi"/>
          <w:sz w:val="22"/>
          <w:szCs w:val="22"/>
          <w:lang w:eastAsia="zh-CN"/>
        </w:rPr>
        <w:t>中国贫困地区的女童教育研究</w:t>
      </w:r>
      <w:r w:rsidRPr="00FA5AA0">
        <w:rPr>
          <w:rFonts w:asciiTheme="majorHAnsi" w:hAnsiTheme="majorHAnsi"/>
          <w:sz w:val="22"/>
          <w:szCs w:val="22"/>
          <w:lang w:eastAsia="zh-CN"/>
        </w:rPr>
        <w:t>:</w:t>
      </w:r>
      <w:r w:rsidRPr="00FA5AA0">
        <w:rPr>
          <w:rFonts w:asciiTheme="majorHAnsi" w:eastAsia="SimSun" w:hAnsiTheme="majorHAnsi"/>
          <w:sz w:val="22"/>
          <w:szCs w:val="22"/>
          <w:lang w:eastAsia="zh-CN"/>
        </w:rPr>
        <w:t xml:space="preserve"> </w:t>
      </w:r>
      <w:r w:rsidRPr="00FA5AA0">
        <w:rPr>
          <w:rFonts w:asciiTheme="majorHAnsi" w:hAnsiTheme="majorHAnsi"/>
          <w:sz w:val="22"/>
          <w:szCs w:val="22"/>
          <w:lang w:eastAsia="zh-CN"/>
        </w:rPr>
        <w:t>贵州省雷山县案例调查</w:t>
      </w:r>
      <w:r w:rsidRPr="00FA5AA0">
        <w:rPr>
          <w:rFonts w:asciiTheme="majorHAnsi" w:eastAsia="SimSun" w:hAnsiTheme="majorHAnsi"/>
          <w:sz w:val="22"/>
          <w:szCs w:val="22"/>
          <w:lang w:eastAsia="zh-CN"/>
        </w:rPr>
        <w:t>.</w:t>
      </w:r>
      <w:r w:rsidRPr="00FA5AA0">
        <w:rPr>
          <w:rFonts w:asciiTheme="majorHAnsi" w:hAnsiTheme="majorHAnsi"/>
          <w:sz w:val="22"/>
          <w:szCs w:val="22"/>
          <w:lang w:eastAsia="zh-CN"/>
        </w:rPr>
        <w:t>民族教</w:t>
      </w:r>
      <w:r w:rsidRPr="00FA5AA0">
        <w:rPr>
          <w:rFonts w:asciiTheme="majorHAnsi" w:hAnsiTheme="majorHAnsi"/>
          <w:sz w:val="22"/>
          <w:szCs w:val="22"/>
          <w:lang w:eastAsia="zh-CN"/>
        </w:rPr>
        <w:tab/>
      </w:r>
      <w:r w:rsidRPr="00FA5AA0">
        <w:rPr>
          <w:rFonts w:asciiTheme="majorHAnsi" w:hAnsiTheme="majorHAnsi"/>
          <w:sz w:val="22"/>
          <w:szCs w:val="22"/>
          <w:lang w:eastAsia="zh-CN"/>
        </w:rPr>
        <w:t>育研究</w:t>
      </w:r>
      <w:r w:rsidRPr="00FA5AA0">
        <w:rPr>
          <w:rFonts w:asciiTheme="majorHAnsi" w:hAnsiTheme="majorHAnsi"/>
          <w:sz w:val="22"/>
          <w:szCs w:val="22"/>
          <w:lang w:eastAsia="zh-CN"/>
        </w:rPr>
        <w:t xml:space="preserve">, </w:t>
      </w:r>
      <w:r w:rsidRPr="00FA5AA0">
        <w:rPr>
          <w:rFonts w:asciiTheme="majorHAnsi" w:eastAsia="SimSun" w:hAnsiTheme="majorHAnsi"/>
          <w:sz w:val="22"/>
          <w:szCs w:val="22"/>
          <w:lang w:eastAsia="zh-CN"/>
        </w:rPr>
        <w:t>2.</w:t>
      </w:r>
    </w:p>
    <w:p w:rsidR="00FA5AA0" w:rsidRPr="00FA5AA0" w:rsidRDefault="00FA5AA0" w:rsidP="00627031">
      <w:pPr>
        <w:pStyle w:val="NormalIndent"/>
        <w:spacing w:line="240" w:lineRule="auto"/>
        <w:ind w:left="720" w:hanging="720"/>
        <w:contextualSpacing/>
        <w:rPr>
          <w:rFonts w:asciiTheme="majorHAnsi" w:hAnsiTheme="majorHAnsi"/>
          <w:sz w:val="22"/>
          <w:szCs w:val="22"/>
          <w:lang w:eastAsia="zh-CN"/>
        </w:rPr>
      </w:pPr>
      <w:r w:rsidRPr="00FA5AA0">
        <w:rPr>
          <w:rFonts w:asciiTheme="majorHAnsi" w:hAnsiTheme="majorHAnsi"/>
          <w:sz w:val="22"/>
          <w:szCs w:val="22"/>
          <w:lang w:eastAsia="zh-CN"/>
        </w:rPr>
        <w:t>洪岩璧</w:t>
      </w:r>
      <w:r w:rsidRPr="00FA5AA0">
        <w:rPr>
          <w:rFonts w:asciiTheme="majorHAnsi" w:hAnsiTheme="majorHAnsi"/>
          <w:sz w:val="22"/>
          <w:szCs w:val="22"/>
          <w:lang w:eastAsia="zh-CN"/>
        </w:rPr>
        <w:t xml:space="preserve"> (</w:t>
      </w:r>
      <w:proofErr w:type="spellStart"/>
      <w:r w:rsidRPr="00FA5AA0">
        <w:rPr>
          <w:rFonts w:asciiTheme="majorHAnsi" w:hAnsiTheme="majorHAnsi"/>
          <w:i/>
          <w:sz w:val="22"/>
          <w:szCs w:val="22"/>
          <w:lang w:eastAsia="zh-CN"/>
        </w:rPr>
        <w:t>HongYyanbi</w:t>
      </w:r>
      <w:proofErr w:type="spellEnd"/>
      <w:r w:rsidRPr="00FA5AA0">
        <w:rPr>
          <w:rFonts w:asciiTheme="majorHAnsi" w:hAnsiTheme="majorHAnsi"/>
          <w:sz w:val="22"/>
          <w:szCs w:val="22"/>
          <w:lang w:eastAsia="zh-CN"/>
        </w:rPr>
        <w:t xml:space="preserve">) (2010). </w:t>
      </w:r>
      <w:r w:rsidRPr="00FA5AA0">
        <w:rPr>
          <w:rFonts w:asciiTheme="majorHAnsi" w:hAnsiTheme="majorHAnsi"/>
          <w:sz w:val="22"/>
          <w:szCs w:val="22"/>
          <w:lang w:eastAsia="zh-CN"/>
        </w:rPr>
        <w:t>族群与教育不平等</w:t>
      </w:r>
      <w:r w:rsidRPr="00FA5AA0">
        <w:rPr>
          <w:rFonts w:asciiTheme="majorHAnsi" w:hAnsiTheme="majorHAnsi"/>
          <w:sz w:val="22"/>
          <w:szCs w:val="22"/>
          <w:lang w:eastAsia="zh-CN"/>
        </w:rPr>
        <w:t>:</w:t>
      </w:r>
      <w:r w:rsidRPr="00FA5AA0">
        <w:rPr>
          <w:rFonts w:asciiTheme="majorHAnsi" w:hAnsiTheme="majorHAnsi"/>
          <w:sz w:val="22"/>
          <w:szCs w:val="22"/>
          <w:lang w:eastAsia="zh-CN"/>
        </w:rPr>
        <w:t>我国西部少数民族教育获得的一项实证研究</w:t>
      </w:r>
      <w:r w:rsidRPr="00FA5AA0">
        <w:rPr>
          <w:rFonts w:asciiTheme="majorHAnsi" w:hAnsiTheme="majorHAnsi"/>
          <w:sz w:val="22"/>
          <w:szCs w:val="22"/>
          <w:lang w:eastAsia="zh-CN"/>
        </w:rPr>
        <w:t xml:space="preserve">. </w:t>
      </w:r>
      <w:r w:rsidRPr="00FA5AA0">
        <w:rPr>
          <w:rFonts w:asciiTheme="majorHAnsi" w:hAnsiTheme="majorHAnsi"/>
          <w:sz w:val="22"/>
          <w:szCs w:val="22"/>
          <w:lang w:eastAsia="zh-CN"/>
        </w:rPr>
        <w:t>社会</w:t>
      </w:r>
      <w:r w:rsidRPr="00FA5AA0">
        <w:rPr>
          <w:rFonts w:asciiTheme="majorHAnsi" w:hAnsiTheme="majorHAnsi"/>
          <w:sz w:val="22"/>
          <w:szCs w:val="22"/>
          <w:lang w:eastAsia="zh-CN"/>
        </w:rPr>
        <w:t>, 30(2), 45-73.</w:t>
      </w:r>
    </w:p>
    <w:p w:rsidR="00FA5AA0" w:rsidRPr="00FA5AA0" w:rsidRDefault="00FA5AA0" w:rsidP="00627031">
      <w:pPr>
        <w:pStyle w:val="NormalIndent"/>
        <w:spacing w:line="240" w:lineRule="auto"/>
        <w:ind w:left="720" w:hanging="720"/>
        <w:contextualSpacing/>
        <w:rPr>
          <w:rFonts w:asciiTheme="majorHAnsi" w:hAnsiTheme="majorHAnsi"/>
          <w:sz w:val="22"/>
          <w:szCs w:val="22"/>
          <w:lang w:eastAsia="zh-CN"/>
        </w:rPr>
      </w:pPr>
      <w:r w:rsidRPr="00FA5AA0">
        <w:rPr>
          <w:rFonts w:asciiTheme="majorHAnsi" w:hAnsiTheme="majorHAnsi"/>
          <w:sz w:val="22"/>
          <w:szCs w:val="22"/>
          <w:lang w:eastAsia="zh-CN"/>
        </w:rPr>
        <w:t>胡鞍钢、温军</w:t>
      </w:r>
      <w:r w:rsidRPr="00FA5AA0">
        <w:rPr>
          <w:rFonts w:asciiTheme="majorHAnsi" w:hAnsiTheme="majorHAnsi"/>
          <w:sz w:val="22"/>
          <w:szCs w:val="22"/>
          <w:lang w:eastAsia="zh-CN"/>
        </w:rPr>
        <w:t xml:space="preserve"> (</w:t>
      </w:r>
      <w:r w:rsidRPr="00FA5AA0">
        <w:rPr>
          <w:rFonts w:asciiTheme="majorHAnsi" w:hAnsiTheme="majorHAnsi"/>
          <w:i/>
          <w:sz w:val="22"/>
          <w:szCs w:val="22"/>
          <w:lang w:eastAsia="zh-CN"/>
        </w:rPr>
        <w:t xml:space="preserve">Hu </w:t>
      </w:r>
      <w:proofErr w:type="spellStart"/>
      <w:r w:rsidRPr="00FA5AA0">
        <w:rPr>
          <w:rFonts w:asciiTheme="majorHAnsi" w:hAnsiTheme="majorHAnsi"/>
          <w:i/>
          <w:sz w:val="22"/>
          <w:szCs w:val="22"/>
          <w:lang w:eastAsia="zh-CN"/>
        </w:rPr>
        <w:t>Angang</w:t>
      </w:r>
      <w:proofErr w:type="spellEnd"/>
      <w:r w:rsidRPr="00FA5AA0">
        <w:rPr>
          <w:rFonts w:asciiTheme="majorHAnsi" w:hAnsiTheme="majorHAnsi"/>
          <w:i/>
          <w:sz w:val="22"/>
          <w:szCs w:val="22"/>
          <w:lang w:eastAsia="zh-CN"/>
        </w:rPr>
        <w:t>, Wen Jun</w:t>
      </w:r>
      <w:r w:rsidRPr="00FA5AA0">
        <w:rPr>
          <w:rFonts w:asciiTheme="majorHAnsi" w:hAnsiTheme="majorHAnsi"/>
          <w:sz w:val="22"/>
          <w:szCs w:val="22"/>
          <w:lang w:eastAsia="zh-CN"/>
        </w:rPr>
        <w:t xml:space="preserve">) (2001). </w:t>
      </w:r>
      <w:r w:rsidRPr="00FA5AA0">
        <w:rPr>
          <w:rFonts w:asciiTheme="majorHAnsi" w:hAnsiTheme="majorHAnsi"/>
          <w:sz w:val="22"/>
          <w:szCs w:val="22"/>
          <w:lang w:eastAsia="zh-CN"/>
        </w:rPr>
        <w:t>社会发展优先</w:t>
      </w:r>
      <w:r w:rsidRPr="00FA5AA0">
        <w:rPr>
          <w:rFonts w:asciiTheme="majorHAnsi" w:hAnsiTheme="majorHAnsi"/>
          <w:sz w:val="22"/>
          <w:szCs w:val="22"/>
          <w:lang w:eastAsia="zh-CN"/>
        </w:rPr>
        <w:t>:</w:t>
      </w:r>
      <w:r w:rsidRPr="00FA5AA0">
        <w:rPr>
          <w:rFonts w:asciiTheme="majorHAnsi" w:hAnsiTheme="majorHAnsi"/>
          <w:sz w:val="22"/>
          <w:szCs w:val="22"/>
          <w:lang w:eastAsia="zh-CN"/>
        </w:rPr>
        <w:t>西部民族地区新的追赶战略</w:t>
      </w:r>
      <w:r w:rsidRPr="00FA5AA0">
        <w:rPr>
          <w:rFonts w:asciiTheme="majorHAnsi" w:hAnsiTheme="majorHAnsi"/>
          <w:sz w:val="22"/>
          <w:szCs w:val="22"/>
          <w:lang w:eastAsia="zh-CN"/>
        </w:rPr>
        <w:t>.</w:t>
      </w:r>
      <w:r w:rsidRPr="00FA5AA0">
        <w:rPr>
          <w:rFonts w:asciiTheme="majorHAnsi" w:hAnsiTheme="majorHAnsi"/>
          <w:sz w:val="22"/>
          <w:szCs w:val="22"/>
          <w:lang w:eastAsia="zh-CN"/>
        </w:rPr>
        <w:t>民族研究</w:t>
      </w:r>
      <w:r w:rsidRPr="00FA5AA0">
        <w:rPr>
          <w:rFonts w:asciiTheme="majorHAnsi" w:hAnsiTheme="majorHAnsi"/>
          <w:sz w:val="22"/>
          <w:szCs w:val="22"/>
          <w:lang w:eastAsia="zh-CN"/>
        </w:rPr>
        <w:t>, 3, 12-23.</w:t>
      </w:r>
    </w:p>
    <w:p w:rsidR="00FA5AA0" w:rsidRPr="00FA5AA0" w:rsidRDefault="00FA5AA0" w:rsidP="00627031">
      <w:pPr>
        <w:spacing w:before="120" w:line="240" w:lineRule="auto"/>
        <w:contextualSpacing/>
        <w:rPr>
          <w:rFonts w:asciiTheme="majorHAnsi" w:hAnsiTheme="majorHAnsi" w:cs="Times New Roman"/>
        </w:rPr>
      </w:pPr>
      <w:r w:rsidRPr="00FA5AA0">
        <w:rPr>
          <w:rFonts w:asciiTheme="majorHAnsi" w:hAnsiTheme="majorHAnsi" w:cs="Times New Roman"/>
        </w:rPr>
        <w:t>贾东海</w:t>
      </w:r>
      <w:r w:rsidRPr="00FA5AA0">
        <w:rPr>
          <w:rFonts w:asciiTheme="majorHAnsi" w:hAnsiTheme="majorHAnsi" w:cs="Times New Roman"/>
        </w:rPr>
        <w:t xml:space="preserve"> (</w:t>
      </w:r>
      <w:proofErr w:type="spellStart"/>
      <w:r w:rsidRPr="00FA5AA0">
        <w:rPr>
          <w:rFonts w:asciiTheme="majorHAnsi" w:hAnsiTheme="majorHAnsi" w:cs="Times New Roman"/>
          <w:i/>
        </w:rPr>
        <w:t>Jia</w:t>
      </w:r>
      <w:proofErr w:type="spellEnd"/>
      <w:r w:rsidRPr="00FA5AA0">
        <w:rPr>
          <w:rFonts w:asciiTheme="majorHAnsi" w:hAnsiTheme="majorHAnsi" w:cs="Times New Roman"/>
          <w:i/>
        </w:rPr>
        <w:t xml:space="preserve"> </w:t>
      </w:r>
      <w:proofErr w:type="spellStart"/>
      <w:r w:rsidRPr="00FA5AA0">
        <w:rPr>
          <w:rFonts w:asciiTheme="majorHAnsi" w:hAnsiTheme="majorHAnsi" w:cs="Times New Roman"/>
          <w:i/>
        </w:rPr>
        <w:t>Donghai</w:t>
      </w:r>
      <w:proofErr w:type="spellEnd"/>
      <w:r w:rsidRPr="00FA5AA0">
        <w:rPr>
          <w:rFonts w:asciiTheme="majorHAnsi" w:hAnsiTheme="majorHAnsi" w:cs="Times New Roman"/>
        </w:rPr>
        <w:t xml:space="preserve">) (2000). </w:t>
      </w:r>
      <w:r w:rsidRPr="00FA5AA0">
        <w:rPr>
          <w:rFonts w:asciiTheme="majorHAnsi" w:hAnsiTheme="majorHAnsi" w:cs="Times New Roman"/>
        </w:rPr>
        <w:t>马克思主义民族理论与政策五十年研究回顾</w:t>
      </w:r>
      <w:r w:rsidRPr="00FA5AA0">
        <w:rPr>
          <w:rFonts w:asciiTheme="majorHAnsi" w:hAnsiTheme="majorHAnsi" w:cs="Times New Roman"/>
        </w:rPr>
        <w:t>.</w:t>
      </w:r>
      <w:r w:rsidRPr="00FA5AA0">
        <w:rPr>
          <w:rFonts w:asciiTheme="majorHAnsi" w:hAnsiTheme="majorHAnsi" w:cs="Times New Roman"/>
        </w:rPr>
        <w:t>兰州，甘肃人民</w:t>
      </w:r>
      <w:r w:rsidRPr="00FA5AA0">
        <w:rPr>
          <w:rFonts w:asciiTheme="majorHAnsi" w:hAnsiTheme="majorHAnsi" w:cs="Times New Roman"/>
        </w:rPr>
        <w:tab/>
      </w:r>
      <w:r w:rsidRPr="00FA5AA0">
        <w:rPr>
          <w:rFonts w:asciiTheme="majorHAnsi" w:hAnsiTheme="majorHAnsi" w:cs="Times New Roman"/>
        </w:rPr>
        <w:t>出版社</w:t>
      </w:r>
      <w:r w:rsidRPr="00FA5AA0">
        <w:rPr>
          <w:rFonts w:asciiTheme="majorHAnsi" w:hAnsiTheme="majorHAnsi" w:cs="Times New Roman"/>
        </w:rPr>
        <w:t>.</w:t>
      </w:r>
    </w:p>
    <w:p w:rsidR="00FA5AA0" w:rsidRPr="00FA5AA0" w:rsidRDefault="00FA5AA0" w:rsidP="00627031">
      <w:pPr>
        <w:spacing w:before="120" w:line="240" w:lineRule="auto"/>
        <w:contextualSpacing/>
        <w:rPr>
          <w:rFonts w:asciiTheme="majorHAnsi" w:hAnsiTheme="majorHAnsi" w:cs="Times New Roman"/>
        </w:rPr>
      </w:pPr>
      <w:r w:rsidRPr="00FA5AA0">
        <w:rPr>
          <w:rFonts w:asciiTheme="majorHAnsi" w:hAnsiTheme="majorHAnsi" w:cs="Times New Roman"/>
        </w:rPr>
        <w:t>贾东海</w:t>
      </w:r>
      <w:r w:rsidRPr="00FA5AA0">
        <w:rPr>
          <w:rFonts w:asciiTheme="majorHAnsi" w:hAnsiTheme="majorHAnsi" w:cs="Times New Roman"/>
        </w:rPr>
        <w:t>(</w:t>
      </w:r>
      <w:proofErr w:type="spellStart"/>
      <w:r w:rsidRPr="00FA5AA0">
        <w:rPr>
          <w:rFonts w:asciiTheme="majorHAnsi" w:hAnsiTheme="majorHAnsi" w:cs="Times New Roman"/>
          <w:i/>
        </w:rPr>
        <w:t>Jia</w:t>
      </w:r>
      <w:proofErr w:type="spellEnd"/>
      <w:r w:rsidRPr="00FA5AA0">
        <w:rPr>
          <w:rFonts w:asciiTheme="majorHAnsi" w:hAnsiTheme="majorHAnsi" w:cs="Times New Roman"/>
          <w:i/>
        </w:rPr>
        <w:t xml:space="preserve"> </w:t>
      </w:r>
      <w:proofErr w:type="spellStart"/>
      <w:r w:rsidRPr="00FA5AA0">
        <w:rPr>
          <w:rFonts w:asciiTheme="majorHAnsi" w:hAnsiTheme="majorHAnsi" w:cs="Times New Roman"/>
          <w:i/>
        </w:rPr>
        <w:t>Donghai</w:t>
      </w:r>
      <w:proofErr w:type="spellEnd"/>
      <w:r w:rsidRPr="00FA5AA0">
        <w:rPr>
          <w:rFonts w:asciiTheme="majorHAnsi" w:hAnsiTheme="majorHAnsi" w:cs="Times New Roman"/>
        </w:rPr>
        <w:t xml:space="preserve">) (2007). </w:t>
      </w:r>
      <w:r w:rsidRPr="00FA5AA0">
        <w:rPr>
          <w:rFonts w:asciiTheme="majorHAnsi" w:hAnsiTheme="majorHAnsi" w:cs="Times New Roman"/>
        </w:rPr>
        <w:t>马克思主义民族理论与民族政策研究</w:t>
      </w:r>
      <w:r w:rsidRPr="00FA5AA0">
        <w:rPr>
          <w:rFonts w:asciiTheme="majorHAnsi" w:hAnsiTheme="majorHAnsi" w:cs="Times New Roman"/>
        </w:rPr>
        <w:t>——</w:t>
      </w:r>
      <w:r w:rsidRPr="00FA5AA0">
        <w:rPr>
          <w:rFonts w:asciiTheme="majorHAnsi" w:hAnsiTheme="majorHAnsi" w:cs="Times New Roman"/>
        </w:rPr>
        <w:t>中国化的实践</w:t>
      </w:r>
      <w:r w:rsidRPr="00FA5AA0">
        <w:rPr>
          <w:rFonts w:asciiTheme="majorHAnsi" w:hAnsiTheme="majorHAnsi" w:cs="Times New Roman"/>
        </w:rPr>
        <w:t>.</w:t>
      </w:r>
    </w:p>
    <w:p w:rsidR="00FA5AA0" w:rsidRPr="00FA5AA0" w:rsidRDefault="00FA5AA0" w:rsidP="00627031">
      <w:pPr>
        <w:pStyle w:val="NormalIndent"/>
        <w:spacing w:line="240" w:lineRule="auto"/>
        <w:ind w:left="720" w:hanging="720"/>
        <w:contextualSpacing/>
        <w:rPr>
          <w:rFonts w:asciiTheme="majorHAnsi" w:hAnsiTheme="majorHAnsi"/>
          <w:sz w:val="22"/>
          <w:szCs w:val="22"/>
          <w:lang w:eastAsia="zh-CN"/>
        </w:rPr>
      </w:pPr>
      <w:r w:rsidRPr="00FA5AA0">
        <w:rPr>
          <w:rFonts w:asciiTheme="majorHAnsi" w:hAnsiTheme="majorHAnsi"/>
          <w:sz w:val="22"/>
          <w:szCs w:val="22"/>
          <w:lang w:eastAsia="zh-CN"/>
        </w:rPr>
        <w:t>教育部</w:t>
      </w:r>
      <w:r w:rsidRPr="00FA5AA0">
        <w:rPr>
          <w:rFonts w:asciiTheme="majorHAnsi" w:hAnsiTheme="majorHAnsi"/>
          <w:sz w:val="22"/>
          <w:szCs w:val="22"/>
          <w:lang w:eastAsia="zh-CN"/>
        </w:rPr>
        <w:t xml:space="preserve"> (Ministry of Education) (1983). </w:t>
      </w:r>
      <w:r w:rsidRPr="00FA5AA0">
        <w:rPr>
          <w:rFonts w:asciiTheme="majorHAnsi" w:hAnsiTheme="majorHAnsi"/>
          <w:sz w:val="22"/>
          <w:szCs w:val="22"/>
          <w:lang w:eastAsia="zh-CN"/>
        </w:rPr>
        <w:t>教育部关于学习贯彻《关于加强爱国主义宣传教育的意见》的通知</w:t>
      </w:r>
      <w:r w:rsidRPr="00FA5AA0">
        <w:rPr>
          <w:rFonts w:asciiTheme="majorHAnsi" w:hAnsiTheme="majorHAnsi"/>
          <w:sz w:val="22"/>
          <w:szCs w:val="22"/>
          <w:lang w:eastAsia="zh-CN"/>
        </w:rPr>
        <w:t xml:space="preserve">. </w:t>
      </w:r>
      <w:r w:rsidRPr="00FA5AA0">
        <w:rPr>
          <w:rFonts w:asciiTheme="majorHAnsi" w:hAnsiTheme="majorHAnsi"/>
          <w:sz w:val="22"/>
          <w:szCs w:val="22"/>
          <w:lang w:eastAsia="zh-CN"/>
        </w:rPr>
        <w:t>中国教育年鉴</w:t>
      </w:r>
      <w:r w:rsidRPr="00FA5AA0">
        <w:rPr>
          <w:rFonts w:asciiTheme="majorHAnsi" w:hAnsiTheme="majorHAnsi"/>
          <w:sz w:val="22"/>
          <w:szCs w:val="22"/>
          <w:lang w:eastAsia="zh-CN"/>
        </w:rPr>
        <w:t xml:space="preserve"> (1982-1984).</w:t>
      </w:r>
      <w:r w:rsidRPr="00FA5AA0">
        <w:rPr>
          <w:rFonts w:asciiTheme="majorHAnsi" w:hAnsiTheme="majorHAnsi"/>
          <w:sz w:val="22"/>
          <w:szCs w:val="22"/>
          <w:lang w:eastAsia="zh-CN"/>
        </w:rPr>
        <w:t>北京</w:t>
      </w:r>
      <w:proofErr w:type="gramStart"/>
      <w:r w:rsidRPr="00FA5AA0">
        <w:rPr>
          <w:rFonts w:asciiTheme="majorHAnsi" w:hAnsiTheme="majorHAnsi"/>
          <w:b/>
          <w:sz w:val="22"/>
          <w:szCs w:val="22"/>
          <w:lang w:eastAsia="zh-CN"/>
        </w:rPr>
        <w:t>:</w:t>
      </w:r>
      <w:r w:rsidRPr="00FA5AA0">
        <w:rPr>
          <w:rFonts w:asciiTheme="majorHAnsi" w:hAnsiTheme="majorHAnsi"/>
          <w:sz w:val="22"/>
          <w:szCs w:val="22"/>
          <w:lang w:eastAsia="zh-CN"/>
        </w:rPr>
        <w:t>中国大百科全书出版社出版</w:t>
      </w:r>
      <w:proofErr w:type="gramEnd"/>
    </w:p>
    <w:p w:rsidR="00FA5AA0" w:rsidRPr="00FA5AA0" w:rsidRDefault="00FA5AA0" w:rsidP="00627031">
      <w:pPr>
        <w:pStyle w:val="NormalIndent"/>
        <w:spacing w:line="240" w:lineRule="auto"/>
        <w:ind w:left="720" w:hanging="720"/>
        <w:contextualSpacing/>
        <w:rPr>
          <w:rFonts w:asciiTheme="majorHAnsi" w:hAnsiTheme="majorHAnsi"/>
          <w:sz w:val="22"/>
          <w:szCs w:val="22"/>
          <w:lang w:eastAsia="zh-CN"/>
        </w:rPr>
      </w:pPr>
      <w:r w:rsidRPr="00FA5AA0">
        <w:rPr>
          <w:rFonts w:asciiTheme="majorHAnsi" w:hAnsiTheme="majorHAnsi"/>
          <w:sz w:val="22"/>
          <w:szCs w:val="22"/>
          <w:lang w:eastAsia="zh-CN"/>
        </w:rPr>
        <w:t>教育部</w:t>
      </w:r>
      <w:r w:rsidRPr="00FA5AA0">
        <w:rPr>
          <w:rFonts w:asciiTheme="majorHAnsi" w:hAnsiTheme="majorHAnsi"/>
          <w:sz w:val="22"/>
          <w:szCs w:val="22"/>
          <w:lang w:eastAsia="zh-CN"/>
        </w:rPr>
        <w:t xml:space="preserve">(Ministry of Education) (2001). </w:t>
      </w:r>
      <w:r w:rsidRPr="00FA5AA0">
        <w:rPr>
          <w:rFonts w:asciiTheme="majorHAnsi" w:hAnsiTheme="majorHAnsi"/>
          <w:sz w:val="22"/>
          <w:szCs w:val="22"/>
          <w:lang w:eastAsia="zh-CN"/>
        </w:rPr>
        <w:t>基础教育课程改革纲要</w:t>
      </w:r>
      <w:r w:rsidRPr="00FA5AA0">
        <w:rPr>
          <w:rFonts w:asciiTheme="majorHAnsi" w:hAnsiTheme="majorHAnsi"/>
          <w:sz w:val="22"/>
          <w:szCs w:val="22"/>
          <w:lang w:eastAsia="zh-CN"/>
        </w:rPr>
        <w:t>(</w:t>
      </w:r>
      <w:r w:rsidRPr="00FA5AA0">
        <w:rPr>
          <w:rFonts w:asciiTheme="majorHAnsi" w:hAnsiTheme="majorHAnsi"/>
          <w:sz w:val="22"/>
          <w:szCs w:val="22"/>
          <w:lang w:eastAsia="zh-CN"/>
        </w:rPr>
        <w:t>试行</w:t>
      </w:r>
      <w:r w:rsidRPr="00FA5AA0">
        <w:rPr>
          <w:rFonts w:asciiTheme="majorHAnsi" w:hAnsiTheme="majorHAnsi"/>
          <w:sz w:val="22"/>
          <w:szCs w:val="22"/>
          <w:lang w:eastAsia="zh-CN"/>
        </w:rPr>
        <w:t xml:space="preserve">). </w:t>
      </w:r>
      <w:r w:rsidRPr="00FA5AA0">
        <w:rPr>
          <w:rFonts w:asciiTheme="majorHAnsi" w:hAnsiTheme="majorHAnsi"/>
          <w:sz w:val="22"/>
          <w:szCs w:val="22"/>
          <w:lang w:eastAsia="zh-CN"/>
        </w:rPr>
        <w:t>中华人民共和国教育部网站</w:t>
      </w:r>
      <w:r w:rsidRPr="00FA5AA0">
        <w:rPr>
          <w:rFonts w:asciiTheme="majorHAnsi" w:hAnsiTheme="majorHAnsi"/>
          <w:sz w:val="22"/>
          <w:szCs w:val="22"/>
          <w:lang w:eastAsia="zh-CN"/>
        </w:rPr>
        <w:t xml:space="preserve">. </w:t>
      </w:r>
      <w:hyperlink r:id="rId9" w:history="1">
        <w:r w:rsidRPr="00FA5AA0">
          <w:rPr>
            <w:rStyle w:val="Hyperlink"/>
            <w:rFonts w:asciiTheme="majorHAnsi" w:hAnsiTheme="majorHAnsi"/>
            <w:color w:val="auto"/>
            <w:sz w:val="22"/>
            <w:szCs w:val="22"/>
            <w:lang w:eastAsia="zh-CN"/>
          </w:rPr>
          <w:t>www.moe.edu.cn</w:t>
        </w:r>
      </w:hyperlink>
      <w:r w:rsidRPr="00FA5AA0">
        <w:rPr>
          <w:rFonts w:asciiTheme="majorHAnsi" w:hAnsiTheme="majorHAnsi"/>
          <w:sz w:val="22"/>
          <w:szCs w:val="22"/>
          <w:lang w:eastAsia="zh-CN"/>
        </w:rPr>
        <w:t>.</w:t>
      </w:r>
    </w:p>
    <w:p w:rsidR="00FA5AA0" w:rsidRPr="00FA5AA0" w:rsidRDefault="00FA5AA0" w:rsidP="00627031">
      <w:pPr>
        <w:pStyle w:val="NormalIndent"/>
        <w:spacing w:line="240" w:lineRule="auto"/>
        <w:ind w:left="720" w:hanging="720"/>
        <w:contextualSpacing/>
        <w:rPr>
          <w:rFonts w:asciiTheme="majorHAnsi" w:hAnsiTheme="majorHAnsi"/>
          <w:sz w:val="22"/>
          <w:szCs w:val="22"/>
        </w:rPr>
      </w:pPr>
      <w:r w:rsidRPr="00FA5AA0">
        <w:rPr>
          <w:rFonts w:asciiTheme="majorHAnsi" w:hAnsiTheme="majorHAnsi"/>
          <w:sz w:val="22"/>
          <w:szCs w:val="22"/>
          <w:lang w:eastAsia="zh-CN"/>
        </w:rPr>
        <w:t>教育部</w:t>
      </w:r>
      <w:r w:rsidRPr="00FA5AA0">
        <w:rPr>
          <w:rFonts w:asciiTheme="majorHAnsi" w:hAnsiTheme="majorHAnsi"/>
          <w:sz w:val="22"/>
          <w:szCs w:val="22"/>
          <w:lang w:eastAsia="zh-CN"/>
        </w:rPr>
        <w:t xml:space="preserve"> (Ministry of Education) (2004). </w:t>
      </w:r>
      <w:r w:rsidRPr="00FA5AA0">
        <w:rPr>
          <w:rFonts w:asciiTheme="majorHAnsi" w:hAnsiTheme="majorHAnsi"/>
          <w:sz w:val="22"/>
          <w:szCs w:val="22"/>
          <w:lang w:eastAsia="zh-CN"/>
        </w:rPr>
        <w:t>内地新疆高中班办学工作取得初步成效</w:t>
      </w:r>
      <w:r w:rsidRPr="00FA5AA0">
        <w:rPr>
          <w:rFonts w:asciiTheme="majorHAnsi" w:hAnsiTheme="majorHAnsi"/>
          <w:sz w:val="22"/>
          <w:szCs w:val="22"/>
          <w:lang w:eastAsia="zh-CN"/>
        </w:rPr>
        <w:t xml:space="preserve">. </w:t>
      </w:r>
      <w:r w:rsidRPr="00FA5AA0">
        <w:rPr>
          <w:rFonts w:asciiTheme="majorHAnsi" w:hAnsiTheme="majorHAnsi"/>
          <w:sz w:val="22"/>
          <w:szCs w:val="22"/>
          <w:lang w:eastAsia="zh-CN"/>
        </w:rPr>
        <w:t>中华人民共和国教育部网站</w:t>
      </w:r>
      <w:r w:rsidRPr="00FA5AA0">
        <w:rPr>
          <w:rFonts w:asciiTheme="majorHAnsi" w:hAnsiTheme="majorHAnsi"/>
          <w:sz w:val="22"/>
          <w:szCs w:val="22"/>
          <w:lang w:eastAsia="zh-CN"/>
        </w:rPr>
        <w:t xml:space="preserve">. </w:t>
      </w:r>
      <w:hyperlink r:id="rId10" w:history="1">
        <w:r w:rsidRPr="00FA5AA0">
          <w:rPr>
            <w:rFonts w:asciiTheme="majorHAnsi" w:hAnsiTheme="majorHAnsi"/>
            <w:sz w:val="22"/>
            <w:szCs w:val="22"/>
          </w:rPr>
          <w:t>http://www.moe.gov.cn/publicfiles/business/htmlfiles/moe/moe_317/200409/941.html</w:t>
        </w:r>
      </w:hyperlink>
    </w:p>
    <w:p w:rsidR="00FA5AA0" w:rsidRPr="00FA5AA0" w:rsidRDefault="00FA5AA0" w:rsidP="00627031">
      <w:pPr>
        <w:pStyle w:val="NormalIndent"/>
        <w:spacing w:line="240" w:lineRule="auto"/>
        <w:ind w:left="720" w:hanging="720"/>
        <w:contextualSpacing/>
        <w:rPr>
          <w:rFonts w:asciiTheme="majorHAnsi" w:hAnsiTheme="majorHAnsi"/>
          <w:sz w:val="22"/>
          <w:szCs w:val="22"/>
          <w:lang w:eastAsia="zh-CN"/>
        </w:rPr>
      </w:pPr>
      <w:r w:rsidRPr="00FA5AA0">
        <w:rPr>
          <w:rFonts w:asciiTheme="majorHAnsi" w:hAnsiTheme="majorHAnsi"/>
          <w:sz w:val="22"/>
          <w:szCs w:val="22"/>
          <w:lang w:eastAsia="zh-CN"/>
        </w:rPr>
        <w:t>教育部</w:t>
      </w:r>
      <w:r w:rsidRPr="00FA5AA0">
        <w:rPr>
          <w:rFonts w:asciiTheme="majorHAnsi" w:hAnsiTheme="majorHAnsi"/>
          <w:sz w:val="22"/>
          <w:szCs w:val="22"/>
          <w:lang w:eastAsia="zh-CN"/>
        </w:rPr>
        <w:t xml:space="preserve">(Ministry of Education) (2010). </w:t>
      </w:r>
      <w:proofErr w:type="gramStart"/>
      <w:r w:rsidRPr="00FA5AA0">
        <w:rPr>
          <w:rFonts w:asciiTheme="majorHAnsi" w:hAnsiTheme="majorHAnsi"/>
          <w:sz w:val="22"/>
          <w:szCs w:val="22"/>
          <w:lang w:eastAsia="zh-CN"/>
        </w:rPr>
        <w:t>2009</w:t>
      </w:r>
      <w:r w:rsidRPr="00FA5AA0">
        <w:rPr>
          <w:rFonts w:asciiTheme="majorHAnsi" w:hAnsiTheme="majorHAnsi"/>
          <w:sz w:val="22"/>
          <w:szCs w:val="22"/>
          <w:lang w:eastAsia="zh-CN"/>
        </w:rPr>
        <w:t>年全国各级各类学历教育学生情况</w:t>
      </w:r>
      <w:r w:rsidRPr="00FA5AA0">
        <w:rPr>
          <w:rFonts w:asciiTheme="majorHAnsi" w:hAnsiTheme="majorHAnsi"/>
          <w:sz w:val="22"/>
          <w:szCs w:val="22"/>
          <w:lang w:eastAsia="zh-CN"/>
        </w:rPr>
        <w:t xml:space="preserve">. </w:t>
      </w:r>
      <w:r w:rsidRPr="00FA5AA0">
        <w:rPr>
          <w:rFonts w:asciiTheme="majorHAnsi" w:hAnsiTheme="majorHAnsi"/>
          <w:sz w:val="22"/>
          <w:szCs w:val="22"/>
          <w:lang w:eastAsia="zh-CN"/>
        </w:rPr>
        <w:t>教育部网站</w:t>
      </w:r>
      <w:r w:rsidRPr="00FA5AA0">
        <w:rPr>
          <w:rFonts w:asciiTheme="majorHAnsi" w:hAnsiTheme="majorHAnsi"/>
          <w:sz w:val="22"/>
          <w:szCs w:val="22"/>
          <w:lang w:eastAsia="zh-CN"/>
        </w:rPr>
        <w:t>.</w:t>
      </w:r>
      <w:proofErr w:type="gramEnd"/>
      <w:r w:rsidRPr="00FA5AA0">
        <w:rPr>
          <w:rFonts w:asciiTheme="majorHAnsi" w:hAnsiTheme="majorHAnsi"/>
          <w:sz w:val="22"/>
          <w:szCs w:val="22"/>
          <w:lang w:eastAsia="zh-CN"/>
        </w:rPr>
        <w:t xml:space="preserve"> http://www.moe.edu.cn/publicfiles/business/htmlfiles/moe/s4959/201012/113484.html</w:t>
      </w:r>
    </w:p>
    <w:p w:rsidR="00FA5AA0" w:rsidRPr="00FA5AA0" w:rsidRDefault="00FA5AA0" w:rsidP="00627031">
      <w:pPr>
        <w:pStyle w:val="NormalIndent"/>
        <w:spacing w:line="240" w:lineRule="auto"/>
        <w:ind w:left="720" w:hanging="720"/>
        <w:contextualSpacing/>
        <w:rPr>
          <w:rFonts w:asciiTheme="majorHAnsi" w:hAnsiTheme="majorHAnsi"/>
          <w:sz w:val="22"/>
          <w:szCs w:val="22"/>
          <w:lang w:eastAsia="zh-CN"/>
        </w:rPr>
      </w:pPr>
      <w:r w:rsidRPr="00FA5AA0">
        <w:rPr>
          <w:rFonts w:asciiTheme="majorHAnsi" w:hAnsiTheme="majorHAnsi"/>
          <w:sz w:val="22"/>
          <w:szCs w:val="22"/>
          <w:lang w:eastAsia="zh-CN"/>
        </w:rPr>
        <w:t>教育部</w:t>
      </w:r>
      <w:r w:rsidRPr="00FA5AA0">
        <w:rPr>
          <w:rFonts w:asciiTheme="majorHAnsi" w:hAnsiTheme="majorHAnsi"/>
          <w:sz w:val="22"/>
          <w:szCs w:val="22"/>
          <w:lang w:eastAsia="zh-CN"/>
        </w:rPr>
        <w:t>,</w:t>
      </w:r>
      <w:r w:rsidRPr="00FA5AA0">
        <w:rPr>
          <w:rFonts w:asciiTheme="majorHAnsi" w:hAnsiTheme="majorHAnsi"/>
          <w:sz w:val="22"/>
          <w:szCs w:val="22"/>
          <w:lang w:eastAsia="zh-CN"/>
        </w:rPr>
        <w:t>国家发展改革委</w:t>
      </w:r>
      <w:r w:rsidRPr="00FA5AA0">
        <w:rPr>
          <w:rFonts w:asciiTheme="majorHAnsi" w:hAnsiTheme="majorHAnsi"/>
          <w:sz w:val="22"/>
          <w:szCs w:val="22"/>
          <w:lang w:eastAsia="zh-CN"/>
        </w:rPr>
        <w:t>,</w:t>
      </w:r>
      <w:r w:rsidRPr="00FA5AA0">
        <w:rPr>
          <w:rFonts w:asciiTheme="majorHAnsi" w:hAnsiTheme="majorHAnsi"/>
          <w:sz w:val="22"/>
          <w:szCs w:val="22"/>
          <w:lang w:eastAsia="zh-CN"/>
        </w:rPr>
        <w:t>财政部</w:t>
      </w:r>
      <w:r w:rsidRPr="00FA5AA0">
        <w:rPr>
          <w:rFonts w:asciiTheme="majorHAnsi" w:hAnsiTheme="majorHAnsi"/>
          <w:sz w:val="22"/>
          <w:szCs w:val="22"/>
          <w:lang w:eastAsia="zh-CN"/>
        </w:rPr>
        <w:t xml:space="preserve"> (</w:t>
      </w:r>
      <w:r w:rsidRPr="00FA5AA0">
        <w:rPr>
          <w:rFonts w:asciiTheme="majorHAnsi" w:hAnsiTheme="majorHAnsi"/>
          <w:sz w:val="22"/>
          <w:szCs w:val="22"/>
        </w:rPr>
        <w:t>Ministry of Education, National Commission on Development and Reform, Ministry of Finance</w:t>
      </w:r>
      <w:r w:rsidRPr="00FA5AA0">
        <w:rPr>
          <w:rFonts w:asciiTheme="majorHAnsi" w:hAnsiTheme="majorHAnsi"/>
          <w:sz w:val="22"/>
          <w:szCs w:val="22"/>
          <w:lang w:eastAsia="zh-CN"/>
        </w:rPr>
        <w:t xml:space="preserve">) (2007). </w:t>
      </w:r>
      <w:r w:rsidRPr="00FA5AA0">
        <w:rPr>
          <w:rFonts w:asciiTheme="majorHAnsi" w:hAnsiTheme="majorHAnsi"/>
          <w:sz w:val="22"/>
          <w:szCs w:val="22"/>
          <w:lang w:eastAsia="zh-CN"/>
        </w:rPr>
        <w:t>关于《国家西部地区</w:t>
      </w:r>
      <w:r w:rsidRPr="00FA5AA0">
        <w:rPr>
          <w:rFonts w:asciiTheme="majorHAnsi" w:hAnsiTheme="majorHAnsi"/>
          <w:sz w:val="22"/>
          <w:szCs w:val="22"/>
          <w:lang w:eastAsia="zh-CN"/>
        </w:rPr>
        <w:t>“</w:t>
      </w:r>
      <w:r w:rsidRPr="00FA5AA0">
        <w:rPr>
          <w:rFonts w:asciiTheme="majorHAnsi" w:hAnsiTheme="majorHAnsi"/>
          <w:sz w:val="22"/>
          <w:szCs w:val="22"/>
          <w:lang w:eastAsia="zh-CN"/>
        </w:rPr>
        <w:t>两基</w:t>
      </w:r>
      <w:r w:rsidRPr="00FA5AA0">
        <w:rPr>
          <w:rFonts w:asciiTheme="majorHAnsi" w:hAnsiTheme="majorHAnsi"/>
          <w:sz w:val="22"/>
          <w:szCs w:val="22"/>
          <w:lang w:eastAsia="zh-CN"/>
        </w:rPr>
        <w:t>”</w:t>
      </w:r>
      <w:r w:rsidRPr="00FA5AA0">
        <w:rPr>
          <w:rFonts w:asciiTheme="majorHAnsi" w:hAnsiTheme="majorHAnsi"/>
          <w:sz w:val="22"/>
          <w:szCs w:val="22"/>
          <w:lang w:eastAsia="zh-CN"/>
        </w:rPr>
        <w:t>攻坚计划</w:t>
      </w:r>
      <w:r w:rsidRPr="00FA5AA0">
        <w:rPr>
          <w:rFonts w:asciiTheme="majorHAnsi" w:hAnsiTheme="majorHAnsi"/>
          <w:sz w:val="22"/>
          <w:szCs w:val="22"/>
          <w:lang w:eastAsia="zh-CN"/>
        </w:rPr>
        <w:t xml:space="preserve"> (2004—2007</w:t>
      </w:r>
      <w:r w:rsidRPr="00FA5AA0">
        <w:rPr>
          <w:rFonts w:asciiTheme="majorHAnsi" w:hAnsiTheme="majorHAnsi"/>
          <w:sz w:val="22"/>
          <w:szCs w:val="22"/>
          <w:lang w:eastAsia="zh-CN"/>
        </w:rPr>
        <w:t>年</w:t>
      </w:r>
      <w:r w:rsidRPr="00FA5AA0">
        <w:rPr>
          <w:rFonts w:asciiTheme="majorHAnsi" w:hAnsiTheme="majorHAnsi"/>
          <w:sz w:val="22"/>
          <w:szCs w:val="22"/>
          <w:lang w:eastAsia="zh-CN"/>
        </w:rPr>
        <w:t>)</w:t>
      </w:r>
      <w:r w:rsidRPr="00FA5AA0">
        <w:rPr>
          <w:rFonts w:asciiTheme="majorHAnsi" w:hAnsiTheme="majorHAnsi"/>
          <w:sz w:val="22"/>
          <w:szCs w:val="22"/>
          <w:lang w:eastAsia="zh-CN"/>
        </w:rPr>
        <w:t>》完成情况的报告</w:t>
      </w:r>
      <w:r w:rsidRPr="00FA5AA0">
        <w:rPr>
          <w:rFonts w:asciiTheme="majorHAnsi" w:hAnsiTheme="majorHAnsi"/>
          <w:sz w:val="22"/>
          <w:szCs w:val="22"/>
          <w:lang w:eastAsia="zh-CN"/>
        </w:rPr>
        <w:t xml:space="preserve">. </w:t>
      </w:r>
      <w:hyperlink r:id="rId11" w:history="1">
        <w:r w:rsidRPr="00FA5AA0">
          <w:rPr>
            <w:rStyle w:val="Hyperlink"/>
            <w:rFonts w:asciiTheme="majorHAnsi" w:hAnsiTheme="majorHAnsi"/>
            <w:sz w:val="22"/>
            <w:szCs w:val="22"/>
            <w:lang w:eastAsia="zh-CN"/>
          </w:rPr>
          <w:t>http://www.moe.gov.cn/publicfiles/business/htmlfiles/moe/s3034/201001/xxgk_78196.html</w:t>
        </w:r>
      </w:hyperlink>
    </w:p>
    <w:p w:rsidR="00FA5AA0" w:rsidRPr="00FA5AA0" w:rsidRDefault="00FA5AA0" w:rsidP="00627031">
      <w:pPr>
        <w:pStyle w:val="NormalIndent"/>
        <w:spacing w:line="240" w:lineRule="auto"/>
        <w:ind w:left="720" w:hanging="720"/>
        <w:contextualSpacing/>
        <w:rPr>
          <w:rFonts w:asciiTheme="majorHAnsi" w:hAnsiTheme="majorHAnsi"/>
          <w:sz w:val="22"/>
          <w:szCs w:val="22"/>
          <w:lang w:eastAsia="zh-CN"/>
        </w:rPr>
      </w:pPr>
      <w:r w:rsidRPr="00FA5AA0">
        <w:rPr>
          <w:rFonts w:asciiTheme="majorHAnsi" w:hAnsiTheme="majorHAnsi"/>
          <w:sz w:val="22"/>
          <w:szCs w:val="22"/>
          <w:lang w:eastAsia="zh-CN"/>
        </w:rPr>
        <w:t>教育部发展规划司编</w:t>
      </w:r>
      <w:r w:rsidRPr="00FA5AA0">
        <w:rPr>
          <w:rFonts w:asciiTheme="majorHAnsi" w:hAnsiTheme="majorHAnsi"/>
          <w:sz w:val="22"/>
          <w:szCs w:val="22"/>
          <w:lang w:eastAsia="zh-CN"/>
        </w:rPr>
        <w:t>(</w:t>
      </w:r>
      <w:r w:rsidRPr="00FA5AA0">
        <w:rPr>
          <w:rFonts w:asciiTheme="majorHAnsi" w:hAnsiTheme="majorHAnsi"/>
          <w:sz w:val="22"/>
          <w:szCs w:val="22"/>
        </w:rPr>
        <w:t>Development Planning Division of the Ministry of Education)</w:t>
      </w:r>
      <w:r w:rsidRPr="00FA5AA0">
        <w:rPr>
          <w:rFonts w:asciiTheme="majorHAnsi" w:hAnsiTheme="majorHAnsi"/>
          <w:sz w:val="22"/>
          <w:szCs w:val="22"/>
          <w:lang w:eastAsia="zh-CN"/>
        </w:rPr>
        <w:t xml:space="preserve"> (2000).</w:t>
      </w:r>
      <w:r w:rsidRPr="00FA5AA0">
        <w:rPr>
          <w:rFonts w:asciiTheme="majorHAnsi" w:eastAsia="SimSun" w:hAnsiTheme="majorHAnsi"/>
          <w:sz w:val="22"/>
          <w:szCs w:val="22"/>
          <w:lang w:eastAsia="zh-CN"/>
        </w:rPr>
        <w:t>《中国教育事业发展统计简况</w:t>
      </w:r>
      <w:r w:rsidRPr="00FA5AA0">
        <w:rPr>
          <w:rFonts w:asciiTheme="majorHAnsi" w:hAnsiTheme="majorHAnsi"/>
          <w:sz w:val="22"/>
          <w:szCs w:val="22"/>
          <w:lang w:eastAsia="zh-CN"/>
        </w:rPr>
        <w:t xml:space="preserve"> (</w:t>
      </w:r>
      <w:r w:rsidRPr="00FA5AA0">
        <w:rPr>
          <w:rFonts w:asciiTheme="majorHAnsi" w:eastAsia="SimSun" w:hAnsiTheme="majorHAnsi"/>
          <w:sz w:val="22"/>
          <w:szCs w:val="22"/>
          <w:lang w:eastAsia="zh-CN"/>
        </w:rPr>
        <w:t>1999</w:t>
      </w:r>
      <w:r w:rsidRPr="00FA5AA0">
        <w:rPr>
          <w:rFonts w:asciiTheme="majorHAnsi" w:hAnsiTheme="majorHAnsi"/>
          <w:sz w:val="22"/>
          <w:szCs w:val="22"/>
          <w:lang w:eastAsia="zh-CN"/>
        </w:rPr>
        <w:t xml:space="preserve">) </w:t>
      </w:r>
      <w:r w:rsidRPr="00FA5AA0">
        <w:rPr>
          <w:rFonts w:asciiTheme="majorHAnsi" w:hAnsiTheme="majorHAnsi"/>
          <w:sz w:val="22"/>
          <w:szCs w:val="22"/>
          <w:lang w:eastAsia="zh-CN"/>
        </w:rPr>
        <w:t>》</w:t>
      </w:r>
      <w:r w:rsidRPr="00FA5AA0">
        <w:rPr>
          <w:rFonts w:asciiTheme="majorHAnsi" w:eastAsia="SimSun" w:hAnsiTheme="majorHAnsi"/>
          <w:sz w:val="22"/>
          <w:szCs w:val="22"/>
          <w:lang w:eastAsia="zh-CN"/>
        </w:rPr>
        <w:t>.</w:t>
      </w:r>
      <w:r w:rsidRPr="00FA5AA0">
        <w:rPr>
          <w:rFonts w:asciiTheme="majorHAnsi" w:hAnsiTheme="majorHAnsi"/>
          <w:sz w:val="22"/>
          <w:szCs w:val="22"/>
          <w:lang w:eastAsia="zh-CN"/>
        </w:rPr>
        <w:t xml:space="preserve"> </w:t>
      </w:r>
    </w:p>
    <w:p w:rsidR="00FA5AA0" w:rsidRPr="00FA5AA0" w:rsidRDefault="00FA5AA0" w:rsidP="00627031">
      <w:pPr>
        <w:pStyle w:val="NormalIndent"/>
        <w:spacing w:line="240" w:lineRule="auto"/>
        <w:ind w:left="720" w:hanging="720"/>
        <w:contextualSpacing/>
        <w:rPr>
          <w:rFonts w:asciiTheme="majorHAnsi" w:hAnsiTheme="majorHAnsi"/>
          <w:sz w:val="22"/>
          <w:szCs w:val="22"/>
          <w:lang w:eastAsia="zh-CN"/>
        </w:rPr>
      </w:pPr>
      <w:r w:rsidRPr="00FA5AA0">
        <w:rPr>
          <w:rFonts w:asciiTheme="majorHAnsi" w:hAnsiTheme="majorHAnsi"/>
          <w:sz w:val="22"/>
          <w:szCs w:val="22"/>
          <w:lang w:eastAsia="zh-CN"/>
        </w:rPr>
        <w:t>教育部发展规划司编</w:t>
      </w:r>
      <w:r w:rsidRPr="00FA5AA0">
        <w:rPr>
          <w:rFonts w:asciiTheme="majorHAnsi" w:hAnsiTheme="majorHAnsi"/>
          <w:sz w:val="22"/>
          <w:szCs w:val="22"/>
          <w:lang w:eastAsia="zh-CN"/>
        </w:rPr>
        <w:t xml:space="preserve"> (</w:t>
      </w:r>
      <w:r w:rsidRPr="00FA5AA0">
        <w:rPr>
          <w:rFonts w:asciiTheme="majorHAnsi" w:hAnsiTheme="majorHAnsi"/>
          <w:sz w:val="22"/>
          <w:szCs w:val="22"/>
        </w:rPr>
        <w:t>Development Planning Division of the Ministry of Education)</w:t>
      </w:r>
      <w:r w:rsidRPr="00FA5AA0">
        <w:rPr>
          <w:rFonts w:asciiTheme="majorHAnsi" w:hAnsiTheme="majorHAnsi"/>
          <w:sz w:val="22"/>
          <w:szCs w:val="22"/>
          <w:lang w:eastAsia="zh-CN"/>
        </w:rPr>
        <w:t xml:space="preserve"> (2010). 2009</w:t>
      </w:r>
      <w:r w:rsidRPr="00FA5AA0">
        <w:rPr>
          <w:rFonts w:asciiTheme="majorHAnsi" w:hAnsiTheme="majorHAnsi"/>
          <w:sz w:val="22"/>
          <w:szCs w:val="22"/>
          <w:lang w:eastAsia="zh-CN"/>
        </w:rPr>
        <w:t>全国教育事业发展简明统计分析</w:t>
      </w:r>
      <w:r w:rsidRPr="00FA5AA0">
        <w:rPr>
          <w:rFonts w:asciiTheme="majorHAnsi" w:hAnsiTheme="majorHAnsi"/>
          <w:sz w:val="22"/>
          <w:szCs w:val="22"/>
          <w:lang w:eastAsia="zh-CN"/>
        </w:rPr>
        <w:t xml:space="preserve">. </w:t>
      </w:r>
    </w:p>
    <w:p w:rsidR="00FA5AA0" w:rsidRPr="00FA5AA0" w:rsidRDefault="00FA5AA0" w:rsidP="00627031">
      <w:pPr>
        <w:pStyle w:val="NormalIndent"/>
        <w:spacing w:line="240" w:lineRule="auto"/>
        <w:ind w:left="720" w:hanging="720"/>
        <w:contextualSpacing/>
        <w:rPr>
          <w:rFonts w:asciiTheme="majorHAnsi" w:hAnsiTheme="majorHAnsi"/>
          <w:sz w:val="22"/>
          <w:szCs w:val="22"/>
          <w:lang w:eastAsia="zh-CN"/>
        </w:rPr>
      </w:pPr>
      <w:r w:rsidRPr="00FA5AA0">
        <w:rPr>
          <w:rFonts w:asciiTheme="majorHAnsi" w:hAnsiTheme="majorHAnsi"/>
          <w:sz w:val="22"/>
          <w:szCs w:val="22"/>
          <w:lang w:eastAsia="zh-CN"/>
        </w:rPr>
        <w:t>刘精明、杨江华</w:t>
      </w:r>
      <w:r w:rsidRPr="00FA5AA0">
        <w:rPr>
          <w:rFonts w:asciiTheme="majorHAnsi" w:hAnsiTheme="majorHAnsi"/>
          <w:sz w:val="22"/>
          <w:szCs w:val="22"/>
          <w:lang w:eastAsia="zh-CN"/>
        </w:rPr>
        <w:t xml:space="preserve"> (</w:t>
      </w:r>
      <w:r w:rsidRPr="00FA5AA0">
        <w:rPr>
          <w:rFonts w:asciiTheme="majorHAnsi" w:hAnsiTheme="majorHAnsi"/>
          <w:i/>
          <w:sz w:val="22"/>
          <w:szCs w:val="22"/>
          <w:lang w:eastAsia="zh-CN"/>
        </w:rPr>
        <w:t xml:space="preserve">Liu </w:t>
      </w:r>
      <w:proofErr w:type="spellStart"/>
      <w:r w:rsidRPr="00FA5AA0">
        <w:rPr>
          <w:rFonts w:asciiTheme="majorHAnsi" w:hAnsiTheme="majorHAnsi"/>
          <w:i/>
          <w:sz w:val="22"/>
          <w:szCs w:val="22"/>
          <w:lang w:eastAsia="zh-CN"/>
        </w:rPr>
        <w:t>Jingming</w:t>
      </w:r>
      <w:proofErr w:type="spellEnd"/>
      <w:r w:rsidRPr="00FA5AA0">
        <w:rPr>
          <w:rFonts w:asciiTheme="majorHAnsi" w:hAnsiTheme="majorHAnsi"/>
          <w:i/>
          <w:sz w:val="22"/>
          <w:szCs w:val="22"/>
          <w:lang w:eastAsia="zh-CN"/>
        </w:rPr>
        <w:t xml:space="preserve">, Yang </w:t>
      </w:r>
      <w:proofErr w:type="spellStart"/>
      <w:r w:rsidRPr="00FA5AA0">
        <w:rPr>
          <w:rFonts w:asciiTheme="majorHAnsi" w:hAnsiTheme="majorHAnsi"/>
          <w:i/>
          <w:sz w:val="22"/>
          <w:szCs w:val="22"/>
          <w:lang w:eastAsia="zh-CN"/>
        </w:rPr>
        <w:t>Jianghua</w:t>
      </w:r>
      <w:proofErr w:type="spellEnd"/>
      <w:r w:rsidRPr="00FA5AA0">
        <w:rPr>
          <w:rFonts w:asciiTheme="majorHAnsi" w:hAnsiTheme="majorHAnsi"/>
          <w:sz w:val="22"/>
          <w:szCs w:val="22"/>
          <w:lang w:eastAsia="zh-CN"/>
        </w:rPr>
        <w:t xml:space="preserve">) (2007). </w:t>
      </w:r>
      <w:r w:rsidRPr="00FA5AA0">
        <w:rPr>
          <w:rFonts w:asciiTheme="majorHAnsi" w:hAnsiTheme="majorHAnsi"/>
          <w:sz w:val="22"/>
          <w:szCs w:val="22"/>
          <w:lang w:eastAsia="zh-CN"/>
        </w:rPr>
        <w:t>关注贫困儿童的教育公平问题</w:t>
      </w:r>
      <w:r w:rsidRPr="00FA5AA0">
        <w:rPr>
          <w:rFonts w:asciiTheme="majorHAnsi" w:hAnsiTheme="majorHAnsi"/>
          <w:sz w:val="22"/>
          <w:szCs w:val="22"/>
          <w:lang w:eastAsia="zh-CN"/>
        </w:rPr>
        <w:t xml:space="preserve">. </w:t>
      </w:r>
      <w:r w:rsidRPr="00FA5AA0">
        <w:rPr>
          <w:rFonts w:asciiTheme="majorHAnsi" w:hAnsiTheme="majorHAnsi"/>
          <w:sz w:val="22"/>
          <w:szCs w:val="22"/>
          <w:lang w:eastAsia="zh-CN"/>
        </w:rPr>
        <w:t>华中师范大学学报</w:t>
      </w:r>
      <w:r w:rsidRPr="00FA5AA0">
        <w:rPr>
          <w:rFonts w:asciiTheme="majorHAnsi" w:hAnsiTheme="majorHAnsi"/>
          <w:sz w:val="22"/>
          <w:szCs w:val="22"/>
          <w:lang w:eastAsia="zh-CN"/>
        </w:rPr>
        <w:t>, 46(2), 120-128.</w:t>
      </w:r>
    </w:p>
    <w:p w:rsidR="00FA5AA0" w:rsidRPr="00FA5AA0" w:rsidRDefault="00FA5AA0" w:rsidP="00627031">
      <w:pPr>
        <w:pStyle w:val="NormalIndent"/>
        <w:spacing w:line="240" w:lineRule="auto"/>
        <w:ind w:left="720" w:hanging="720"/>
        <w:contextualSpacing/>
        <w:rPr>
          <w:rFonts w:asciiTheme="majorHAnsi" w:hAnsiTheme="majorHAnsi"/>
          <w:sz w:val="22"/>
          <w:szCs w:val="22"/>
          <w:lang w:eastAsia="zh-CN"/>
        </w:rPr>
      </w:pPr>
      <w:r w:rsidRPr="00FA5AA0">
        <w:rPr>
          <w:rFonts w:asciiTheme="majorHAnsi" w:hAnsiTheme="majorHAnsi"/>
          <w:sz w:val="22"/>
          <w:szCs w:val="22"/>
          <w:lang w:eastAsia="zh-CN"/>
        </w:rPr>
        <w:t>马敏</w:t>
      </w:r>
      <w:r w:rsidRPr="00FA5AA0">
        <w:rPr>
          <w:rFonts w:asciiTheme="majorHAnsi" w:hAnsiTheme="majorHAnsi"/>
          <w:sz w:val="22"/>
          <w:szCs w:val="22"/>
          <w:lang w:eastAsia="zh-CN"/>
        </w:rPr>
        <w:t xml:space="preserve"> (</w:t>
      </w:r>
      <w:r w:rsidRPr="00FA5AA0">
        <w:rPr>
          <w:rFonts w:asciiTheme="majorHAnsi" w:hAnsiTheme="majorHAnsi"/>
          <w:i/>
          <w:sz w:val="22"/>
          <w:szCs w:val="22"/>
          <w:lang w:eastAsia="zh-CN"/>
        </w:rPr>
        <w:t xml:space="preserve">Ma </w:t>
      </w:r>
      <w:proofErr w:type="spellStart"/>
      <w:r w:rsidRPr="00FA5AA0">
        <w:rPr>
          <w:rFonts w:asciiTheme="majorHAnsi" w:hAnsiTheme="majorHAnsi"/>
          <w:i/>
          <w:sz w:val="22"/>
          <w:szCs w:val="22"/>
          <w:lang w:eastAsia="zh-CN"/>
        </w:rPr>
        <w:t>Jei</w:t>
      </w:r>
      <w:proofErr w:type="spellEnd"/>
      <w:r w:rsidRPr="00FA5AA0">
        <w:rPr>
          <w:rFonts w:asciiTheme="majorHAnsi" w:hAnsiTheme="majorHAnsi"/>
          <w:sz w:val="22"/>
          <w:szCs w:val="22"/>
          <w:lang w:eastAsia="zh-CN"/>
        </w:rPr>
        <w:t xml:space="preserve">) (2011). </w:t>
      </w:r>
      <w:r w:rsidRPr="00FA5AA0">
        <w:rPr>
          <w:rFonts w:asciiTheme="majorHAnsi" w:hAnsiTheme="majorHAnsi"/>
          <w:sz w:val="22"/>
          <w:szCs w:val="22"/>
          <w:lang w:eastAsia="zh-CN"/>
        </w:rPr>
        <w:t>新疆内高班内初班年招生规模</w:t>
      </w:r>
      <w:r w:rsidRPr="00FA5AA0">
        <w:rPr>
          <w:rFonts w:asciiTheme="majorHAnsi" w:hAnsiTheme="majorHAnsi"/>
          <w:sz w:val="22"/>
          <w:szCs w:val="22"/>
          <w:lang w:eastAsia="zh-CN"/>
        </w:rPr>
        <w:t>2014</w:t>
      </w:r>
      <w:r w:rsidRPr="00FA5AA0">
        <w:rPr>
          <w:rFonts w:asciiTheme="majorHAnsi" w:hAnsiTheme="majorHAnsi"/>
          <w:sz w:val="22"/>
          <w:szCs w:val="22"/>
          <w:lang w:eastAsia="zh-CN"/>
        </w:rPr>
        <w:t>年将分别达到</w:t>
      </w:r>
      <w:r w:rsidRPr="00FA5AA0">
        <w:rPr>
          <w:rFonts w:asciiTheme="majorHAnsi" w:hAnsiTheme="majorHAnsi"/>
          <w:sz w:val="22"/>
          <w:szCs w:val="22"/>
          <w:lang w:eastAsia="zh-CN"/>
        </w:rPr>
        <w:t>1</w:t>
      </w:r>
      <w:r w:rsidRPr="00FA5AA0">
        <w:rPr>
          <w:rFonts w:asciiTheme="majorHAnsi" w:hAnsiTheme="majorHAnsi"/>
          <w:sz w:val="22"/>
          <w:szCs w:val="22"/>
          <w:lang w:eastAsia="zh-CN"/>
        </w:rPr>
        <w:t>万人</w:t>
      </w:r>
      <w:r w:rsidRPr="00FA5AA0">
        <w:rPr>
          <w:rFonts w:asciiTheme="majorHAnsi" w:hAnsiTheme="majorHAnsi"/>
          <w:sz w:val="22"/>
          <w:szCs w:val="22"/>
          <w:lang w:eastAsia="zh-CN"/>
        </w:rPr>
        <w:t>.</w:t>
      </w:r>
      <w:r w:rsidRPr="00FA5AA0">
        <w:rPr>
          <w:rFonts w:asciiTheme="majorHAnsi" w:hAnsiTheme="majorHAnsi"/>
          <w:sz w:val="22"/>
          <w:szCs w:val="22"/>
          <w:lang w:eastAsia="zh-CN"/>
        </w:rPr>
        <w:t>天山网</w:t>
      </w:r>
      <w:r w:rsidRPr="00FA5AA0">
        <w:rPr>
          <w:rFonts w:asciiTheme="majorHAnsi" w:hAnsiTheme="majorHAnsi"/>
          <w:sz w:val="22"/>
          <w:szCs w:val="22"/>
          <w:lang w:eastAsia="zh-CN"/>
        </w:rPr>
        <w:t xml:space="preserve">. </w:t>
      </w:r>
      <w:hyperlink r:id="rId12" w:history="1">
        <w:proofErr w:type="gramStart"/>
        <w:r w:rsidRPr="00FA5AA0">
          <w:rPr>
            <w:rFonts w:asciiTheme="majorHAnsi" w:hAnsiTheme="majorHAnsi"/>
            <w:sz w:val="22"/>
            <w:szCs w:val="22"/>
            <w:lang w:eastAsia="zh-CN"/>
          </w:rPr>
          <w:t>http://www.xjts.cn/news/content/2011-01/26/content_5554129.htm</w:t>
        </w:r>
      </w:hyperlink>
      <w:r w:rsidRPr="00FA5AA0">
        <w:rPr>
          <w:rFonts w:asciiTheme="majorHAnsi" w:hAnsiTheme="majorHAnsi"/>
          <w:sz w:val="22"/>
          <w:szCs w:val="22"/>
          <w:lang w:eastAsia="zh-CN"/>
        </w:rPr>
        <w:t xml:space="preserve"> 2011.1.26.</w:t>
      </w:r>
      <w:proofErr w:type="gramEnd"/>
    </w:p>
    <w:p w:rsidR="00FA5AA0" w:rsidRPr="00FA5AA0" w:rsidRDefault="00FA5AA0" w:rsidP="00627031">
      <w:pPr>
        <w:pStyle w:val="NormalIndent"/>
        <w:spacing w:line="240" w:lineRule="auto"/>
        <w:ind w:left="720" w:hanging="720"/>
        <w:contextualSpacing/>
        <w:rPr>
          <w:rFonts w:asciiTheme="majorHAnsi" w:hAnsiTheme="majorHAnsi"/>
          <w:sz w:val="22"/>
          <w:szCs w:val="22"/>
          <w:lang w:eastAsia="zh-CN"/>
        </w:rPr>
      </w:pPr>
      <w:r w:rsidRPr="00FA5AA0">
        <w:rPr>
          <w:rFonts w:asciiTheme="majorHAnsi" w:hAnsiTheme="majorHAnsi"/>
          <w:sz w:val="22"/>
          <w:szCs w:val="22"/>
          <w:lang w:eastAsia="zh-CN"/>
        </w:rPr>
        <w:t>马戎</w:t>
      </w:r>
      <w:r w:rsidRPr="00FA5AA0">
        <w:rPr>
          <w:rFonts w:asciiTheme="majorHAnsi" w:hAnsiTheme="majorHAnsi"/>
          <w:sz w:val="22"/>
          <w:szCs w:val="22"/>
          <w:lang w:eastAsia="zh-CN"/>
        </w:rPr>
        <w:t xml:space="preserve"> (</w:t>
      </w:r>
      <w:r w:rsidRPr="00FA5AA0">
        <w:rPr>
          <w:rFonts w:asciiTheme="majorHAnsi" w:hAnsiTheme="majorHAnsi"/>
          <w:i/>
          <w:sz w:val="22"/>
          <w:szCs w:val="22"/>
          <w:lang w:eastAsia="zh-CN"/>
        </w:rPr>
        <w:t xml:space="preserve">Ma </w:t>
      </w:r>
      <w:proofErr w:type="spellStart"/>
      <w:r w:rsidRPr="00FA5AA0">
        <w:rPr>
          <w:rFonts w:asciiTheme="majorHAnsi" w:hAnsiTheme="majorHAnsi"/>
          <w:i/>
          <w:sz w:val="22"/>
          <w:szCs w:val="22"/>
          <w:lang w:eastAsia="zh-CN"/>
        </w:rPr>
        <w:t>Rong</w:t>
      </w:r>
      <w:proofErr w:type="spellEnd"/>
      <w:r w:rsidRPr="00FA5AA0">
        <w:rPr>
          <w:rFonts w:asciiTheme="majorHAnsi" w:hAnsiTheme="majorHAnsi"/>
          <w:sz w:val="22"/>
          <w:szCs w:val="22"/>
          <w:lang w:eastAsia="zh-CN"/>
        </w:rPr>
        <w:t xml:space="preserve">) (1998). </w:t>
      </w:r>
      <w:r w:rsidRPr="00FA5AA0">
        <w:rPr>
          <w:rFonts w:asciiTheme="majorHAnsi" w:hAnsiTheme="majorHAnsi"/>
          <w:sz w:val="22"/>
          <w:szCs w:val="22"/>
          <w:lang w:eastAsia="zh-CN"/>
        </w:rPr>
        <w:t>西藏地区教育事业的发展</w:t>
      </w:r>
      <w:r w:rsidRPr="00FA5AA0">
        <w:rPr>
          <w:rFonts w:asciiTheme="majorHAnsi" w:hAnsiTheme="majorHAnsi"/>
          <w:sz w:val="22"/>
          <w:szCs w:val="22"/>
          <w:lang w:eastAsia="zh-CN"/>
        </w:rPr>
        <w:t>.</w:t>
      </w:r>
      <w:r w:rsidRPr="00FA5AA0">
        <w:rPr>
          <w:rFonts w:asciiTheme="majorHAnsi" w:hAnsiTheme="majorHAnsi"/>
          <w:sz w:val="22"/>
          <w:szCs w:val="22"/>
          <w:lang w:eastAsia="zh-CN"/>
        </w:rPr>
        <w:t>中国藏学</w:t>
      </w:r>
      <w:r w:rsidRPr="00FA5AA0">
        <w:rPr>
          <w:rFonts w:asciiTheme="majorHAnsi" w:hAnsiTheme="majorHAnsi"/>
          <w:sz w:val="22"/>
          <w:szCs w:val="22"/>
          <w:lang w:eastAsia="zh-CN"/>
        </w:rPr>
        <w:t>, 2, 3-24.</w:t>
      </w:r>
    </w:p>
    <w:p w:rsidR="00FA5AA0" w:rsidRPr="00FA5AA0" w:rsidRDefault="00FA5AA0" w:rsidP="00627031">
      <w:pPr>
        <w:pStyle w:val="NormalIndent"/>
        <w:spacing w:line="240" w:lineRule="auto"/>
        <w:ind w:left="720" w:hanging="720"/>
        <w:contextualSpacing/>
        <w:rPr>
          <w:rFonts w:asciiTheme="majorHAnsi" w:hAnsiTheme="majorHAnsi"/>
          <w:sz w:val="22"/>
          <w:szCs w:val="22"/>
          <w:lang w:eastAsia="zh-CN"/>
        </w:rPr>
      </w:pPr>
      <w:r w:rsidRPr="00FA5AA0">
        <w:rPr>
          <w:rFonts w:asciiTheme="majorHAnsi" w:hAnsiTheme="majorHAnsi"/>
          <w:sz w:val="22"/>
          <w:szCs w:val="22"/>
          <w:lang w:eastAsia="zh-CN"/>
        </w:rPr>
        <w:t>马戎</w:t>
      </w:r>
      <w:r w:rsidRPr="00FA5AA0">
        <w:rPr>
          <w:rFonts w:asciiTheme="majorHAnsi" w:hAnsiTheme="majorHAnsi"/>
          <w:sz w:val="22"/>
          <w:szCs w:val="22"/>
          <w:lang w:eastAsia="zh-CN"/>
        </w:rPr>
        <w:t xml:space="preserve"> (</w:t>
      </w:r>
      <w:r w:rsidRPr="00FA5AA0">
        <w:rPr>
          <w:rFonts w:asciiTheme="majorHAnsi" w:hAnsiTheme="majorHAnsi"/>
          <w:i/>
          <w:sz w:val="22"/>
          <w:szCs w:val="22"/>
          <w:lang w:eastAsia="zh-CN"/>
        </w:rPr>
        <w:t xml:space="preserve">Ma </w:t>
      </w:r>
      <w:proofErr w:type="spellStart"/>
      <w:r w:rsidRPr="00FA5AA0">
        <w:rPr>
          <w:rFonts w:asciiTheme="majorHAnsi" w:hAnsiTheme="majorHAnsi"/>
          <w:i/>
          <w:sz w:val="22"/>
          <w:szCs w:val="22"/>
          <w:lang w:eastAsia="zh-CN"/>
        </w:rPr>
        <w:t>Rong</w:t>
      </w:r>
      <w:proofErr w:type="spellEnd"/>
      <w:r w:rsidRPr="00FA5AA0">
        <w:rPr>
          <w:rFonts w:asciiTheme="majorHAnsi" w:hAnsiTheme="majorHAnsi"/>
          <w:sz w:val="22"/>
          <w:szCs w:val="22"/>
          <w:lang w:eastAsia="zh-CN"/>
        </w:rPr>
        <w:t xml:space="preserve">) (2003). </w:t>
      </w:r>
      <w:r w:rsidRPr="00FA5AA0">
        <w:rPr>
          <w:rFonts w:asciiTheme="majorHAnsi" w:hAnsiTheme="majorHAnsi"/>
          <w:sz w:val="22"/>
          <w:szCs w:val="22"/>
          <w:lang w:eastAsia="zh-CN"/>
        </w:rPr>
        <w:t>中国各族群之间的结构性差异</w:t>
      </w:r>
      <w:r w:rsidRPr="00FA5AA0">
        <w:rPr>
          <w:rFonts w:asciiTheme="majorHAnsi" w:hAnsiTheme="majorHAnsi"/>
          <w:sz w:val="22"/>
          <w:szCs w:val="22"/>
          <w:lang w:eastAsia="zh-CN"/>
        </w:rPr>
        <w:t xml:space="preserve">. </w:t>
      </w:r>
      <w:r w:rsidRPr="00FA5AA0">
        <w:rPr>
          <w:rFonts w:asciiTheme="majorHAnsi" w:hAnsiTheme="majorHAnsi"/>
          <w:sz w:val="22"/>
          <w:szCs w:val="22"/>
          <w:lang w:eastAsia="zh-CN"/>
        </w:rPr>
        <w:t>社会科学战线</w:t>
      </w:r>
      <w:r w:rsidRPr="00FA5AA0">
        <w:rPr>
          <w:rFonts w:asciiTheme="majorHAnsi" w:hAnsiTheme="majorHAnsi"/>
          <w:sz w:val="22"/>
          <w:szCs w:val="22"/>
          <w:lang w:eastAsia="zh-CN"/>
        </w:rPr>
        <w:t>, 4.</w:t>
      </w:r>
    </w:p>
    <w:p w:rsidR="00FA5AA0" w:rsidRPr="00FA5AA0" w:rsidRDefault="00FA5AA0" w:rsidP="00627031">
      <w:pPr>
        <w:pStyle w:val="NormalIndent"/>
        <w:spacing w:line="240" w:lineRule="auto"/>
        <w:ind w:left="720" w:hanging="720"/>
        <w:contextualSpacing/>
        <w:rPr>
          <w:rFonts w:asciiTheme="majorHAnsi" w:hAnsiTheme="majorHAnsi"/>
          <w:sz w:val="22"/>
          <w:szCs w:val="22"/>
          <w:lang w:eastAsia="zh-CN"/>
        </w:rPr>
      </w:pPr>
      <w:r w:rsidRPr="00FA5AA0">
        <w:rPr>
          <w:rFonts w:asciiTheme="majorHAnsi" w:hAnsiTheme="majorHAnsi"/>
          <w:sz w:val="22"/>
          <w:szCs w:val="22"/>
          <w:lang w:eastAsia="zh-CN"/>
        </w:rPr>
        <w:t>马戎</w:t>
      </w:r>
      <w:r w:rsidRPr="00FA5AA0">
        <w:rPr>
          <w:rFonts w:asciiTheme="majorHAnsi" w:hAnsiTheme="majorHAnsi"/>
          <w:sz w:val="22"/>
          <w:szCs w:val="22"/>
          <w:lang w:eastAsia="zh-CN"/>
        </w:rPr>
        <w:t xml:space="preserve"> (</w:t>
      </w:r>
      <w:r w:rsidRPr="00FA5AA0">
        <w:rPr>
          <w:rFonts w:asciiTheme="majorHAnsi" w:hAnsiTheme="majorHAnsi"/>
          <w:i/>
          <w:sz w:val="22"/>
          <w:szCs w:val="22"/>
          <w:lang w:eastAsia="zh-CN"/>
        </w:rPr>
        <w:t xml:space="preserve">Ma </w:t>
      </w:r>
      <w:proofErr w:type="spellStart"/>
      <w:r w:rsidRPr="00FA5AA0">
        <w:rPr>
          <w:rFonts w:asciiTheme="majorHAnsi" w:hAnsiTheme="majorHAnsi"/>
          <w:i/>
          <w:sz w:val="22"/>
          <w:szCs w:val="22"/>
          <w:lang w:eastAsia="zh-CN"/>
        </w:rPr>
        <w:t>Rong</w:t>
      </w:r>
      <w:proofErr w:type="spellEnd"/>
      <w:r w:rsidRPr="00FA5AA0">
        <w:rPr>
          <w:rFonts w:asciiTheme="majorHAnsi" w:hAnsiTheme="majorHAnsi"/>
          <w:sz w:val="22"/>
          <w:szCs w:val="22"/>
          <w:lang w:eastAsia="zh-CN"/>
        </w:rPr>
        <w:t xml:space="preserve">) (2007). </w:t>
      </w:r>
      <w:r w:rsidRPr="00FA5AA0">
        <w:rPr>
          <w:rFonts w:asciiTheme="majorHAnsi" w:hAnsiTheme="majorHAnsi"/>
          <w:sz w:val="22"/>
          <w:szCs w:val="22"/>
          <w:lang w:eastAsia="zh-CN"/>
        </w:rPr>
        <w:t>当前中国民族问题研究的选题与思路</w:t>
      </w:r>
      <w:r w:rsidRPr="00FA5AA0">
        <w:rPr>
          <w:rFonts w:asciiTheme="majorHAnsi" w:hAnsiTheme="majorHAnsi"/>
          <w:sz w:val="22"/>
          <w:szCs w:val="22"/>
          <w:lang w:eastAsia="zh-CN"/>
        </w:rPr>
        <w:t xml:space="preserve">. </w:t>
      </w:r>
      <w:r w:rsidRPr="00FA5AA0">
        <w:rPr>
          <w:rFonts w:asciiTheme="majorHAnsi" w:hAnsiTheme="majorHAnsi"/>
          <w:sz w:val="22"/>
          <w:szCs w:val="22"/>
          <w:lang w:eastAsia="zh-CN"/>
        </w:rPr>
        <w:t>中央民族大学学报</w:t>
      </w:r>
      <w:r w:rsidRPr="00FA5AA0">
        <w:rPr>
          <w:rFonts w:asciiTheme="majorHAnsi" w:hAnsiTheme="majorHAnsi"/>
          <w:sz w:val="22"/>
          <w:szCs w:val="22"/>
          <w:lang w:eastAsia="zh-CN"/>
        </w:rPr>
        <w:t xml:space="preserve"> (</w:t>
      </w:r>
      <w:r w:rsidRPr="00FA5AA0">
        <w:rPr>
          <w:rFonts w:asciiTheme="majorHAnsi" w:hAnsiTheme="majorHAnsi"/>
          <w:sz w:val="22"/>
          <w:szCs w:val="22"/>
          <w:lang w:eastAsia="zh-CN"/>
        </w:rPr>
        <w:t>哲学社会科学版</w:t>
      </w:r>
      <w:r w:rsidRPr="00FA5AA0">
        <w:rPr>
          <w:rFonts w:asciiTheme="majorHAnsi" w:hAnsiTheme="majorHAnsi"/>
          <w:sz w:val="22"/>
          <w:szCs w:val="22"/>
          <w:lang w:eastAsia="zh-CN"/>
        </w:rPr>
        <w:t>), 34(3), 12-38.</w:t>
      </w:r>
    </w:p>
    <w:p w:rsidR="00FA5AA0" w:rsidRPr="00FA5AA0" w:rsidRDefault="00FA5AA0" w:rsidP="00627031">
      <w:pPr>
        <w:pStyle w:val="NormalIndent"/>
        <w:spacing w:line="240" w:lineRule="auto"/>
        <w:ind w:left="720" w:hanging="720"/>
        <w:contextualSpacing/>
        <w:rPr>
          <w:rFonts w:asciiTheme="majorHAnsi" w:hAnsiTheme="majorHAnsi"/>
          <w:sz w:val="22"/>
          <w:szCs w:val="22"/>
          <w:lang w:eastAsia="zh-CN"/>
        </w:rPr>
      </w:pPr>
      <w:r w:rsidRPr="00FA5AA0">
        <w:rPr>
          <w:rFonts w:asciiTheme="majorHAnsi" w:hAnsiTheme="majorHAnsi"/>
          <w:sz w:val="22"/>
          <w:szCs w:val="22"/>
          <w:lang w:eastAsia="zh-CN"/>
        </w:rPr>
        <w:t>马戎</w:t>
      </w:r>
      <w:r w:rsidRPr="00FA5AA0">
        <w:rPr>
          <w:rFonts w:asciiTheme="majorHAnsi" w:hAnsiTheme="majorHAnsi"/>
          <w:sz w:val="22"/>
          <w:szCs w:val="22"/>
          <w:lang w:eastAsia="zh-CN"/>
        </w:rPr>
        <w:t xml:space="preserve"> (</w:t>
      </w:r>
      <w:r w:rsidRPr="00FA5AA0">
        <w:rPr>
          <w:rFonts w:asciiTheme="majorHAnsi" w:hAnsiTheme="majorHAnsi"/>
          <w:i/>
          <w:sz w:val="22"/>
          <w:szCs w:val="22"/>
          <w:lang w:eastAsia="zh-CN"/>
        </w:rPr>
        <w:t xml:space="preserve">Ma </w:t>
      </w:r>
      <w:proofErr w:type="spellStart"/>
      <w:r w:rsidRPr="00FA5AA0">
        <w:rPr>
          <w:rFonts w:asciiTheme="majorHAnsi" w:hAnsiTheme="majorHAnsi"/>
          <w:i/>
          <w:sz w:val="22"/>
          <w:szCs w:val="22"/>
          <w:lang w:eastAsia="zh-CN"/>
        </w:rPr>
        <w:t>Rong</w:t>
      </w:r>
      <w:proofErr w:type="spellEnd"/>
      <w:r w:rsidRPr="00FA5AA0">
        <w:rPr>
          <w:rFonts w:asciiTheme="majorHAnsi" w:hAnsiTheme="majorHAnsi"/>
          <w:sz w:val="22"/>
          <w:szCs w:val="22"/>
          <w:lang w:eastAsia="zh-CN"/>
        </w:rPr>
        <w:t xml:space="preserve">) (2008). </w:t>
      </w:r>
      <w:r w:rsidRPr="00FA5AA0">
        <w:rPr>
          <w:rFonts w:asciiTheme="majorHAnsi" w:hAnsiTheme="majorHAnsi"/>
          <w:sz w:val="22"/>
          <w:szCs w:val="22"/>
          <w:lang w:eastAsia="zh-CN"/>
        </w:rPr>
        <w:t>新疆民族教育的发展与双语教育的实践</w:t>
      </w:r>
      <w:r w:rsidRPr="00FA5AA0">
        <w:rPr>
          <w:rFonts w:asciiTheme="majorHAnsi" w:hAnsiTheme="majorHAnsi"/>
          <w:sz w:val="22"/>
          <w:szCs w:val="22"/>
          <w:lang w:eastAsia="zh-CN"/>
        </w:rPr>
        <w:t>.</w:t>
      </w:r>
      <w:r w:rsidRPr="00FA5AA0">
        <w:rPr>
          <w:rFonts w:asciiTheme="majorHAnsi" w:hAnsiTheme="majorHAnsi"/>
          <w:sz w:val="22"/>
          <w:szCs w:val="22"/>
          <w:lang w:eastAsia="zh-CN"/>
        </w:rPr>
        <w:t>北京大学教育评论</w:t>
      </w:r>
      <w:r w:rsidRPr="00FA5AA0">
        <w:rPr>
          <w:rFonts w:asciiTheme="majorHAnsi" w:hAnsiTheme="majorHAnsi"/>
          <w:sz w:val="22"/>
          <w:szCs w:val="22"/>
          <w:lang w:eastAsia="zh-CN"/>
        </w:rPr>
        <w:t>, 6(2), 2-41.</w:t>
      </w:r>
    </w:p>
    <w:p w:rsidR="00FA5AA0" w:rsidRPr="00FA5AA0" w:rsidRDefault="00FA5AA0" w:rsidP="00627031">
      <w:pPr>
        <w:pStyle w:val="NormalIndent"/>
        <w:spacing w:line="240" w:lineRule="auto"/>
        <w:ind w:left="720" w:hanging="720"/>
        <w:contextualSpacing/>
        <w:rPr>
          <w:rFonts w:asciiTheme="majorHAnsi" w:hAnsiTheme="majorHAnsi"/>
          <w:sz w:val="22"/>
          <w:szCs w:val="22"/>
          <w:lang w:eastAsia="zh-CN"/>
        </w:rPr>
      </w:pPr>
      <w:r w:rsidRPr="00FA5AA0">
        <w:rPr>
          <w:rFonts w:asciiTheme="majorHAnsi" w:hAnsiTheme="majorHAnsi"/>
          <w:sz w:val="22"/>
          <w:szCs w:val="22"/>
          <w:lang w:eastAsia="zh-CN"/>
        </w:rPr>
        <w:t>马茜</w:t>
      </w:r>
      <w:r w:rsidRPr="00FA5AA0">
        <w:rPr>
          <w:rFonts w:asciiTheme="majorHAnsi" w:hAnsiTheme="majorHAnsi"/>
          <w:sz w:val="22"/>
          <w:szCs w:val="22"/>
          <w:lang w:eastAsia="zh-CN"/>
        </w:rPr>
        <w:t xml:space="preserve"> (</w:t>
      </w:r>
      <w:r w:rsidRPr="00FA5AA0">
        <w:rPr>
          <w:rFonts w:asciiTheme="majorHAnsi" w:hAnsiTheme="majorHAnsi"/>
          <w:i/>
          <w:sz w:val="22"/>
          <w:szCs w:val="22"/>
          <w:lang w:eastAsia="zh-CN"/>
        </w:rPr>
        <w:t xml:space="preserve">Ma </w:t>
      </w:r>
      <w:proofErr w:type="spellStart"/>
      <w:r w:rsidRPr="00FA5AA0">
        <w:rPr>
          <w:rFonts w:asciiTheme="majorHAnsi" w:hAnsiTheme="majorHAnsi"/>
          <w:i/>
          <w:sz w:val="22"/>
          <w:szCs w:val="22"/>
          <w:lang w:eastAsia="zh-CN"/>
        </w:rPr>
        <w:t>Qian</w:t>
      </w:r>
      <w:proofErr w:type="spellEnd"/>
      <w:r w:rsidRPr="00FA5AA0">
        <w:rPr>
          <w:rFonts w:asciiTheme="majorHAnsi" w:hAnsiTheme="majorHAnsi"/>
          <w:sz w:val="22"/>
          <w:szCs w:val="22"/>
          <w:lang w:eastAsia="zh-CN"/>
        </w:rPr>
        <w:t xml:space="preserve">) (2004). </w:t>
      </w:r>
      <w:r w:rsidRPr="00FA5AA0">
        <w:rPr>
          <w:rFonts w:asciiTheme="majorHAnsi" w:hAnsiTheme="majorHAnsi"/>
          <w:sz w:val="22"/>
          <w:szCs w:val="22"/>
          <w:lang w:eastAsia="zh-CN"/>
        </w:rPr>
        <w:t>多民族地区教育学业成就的地域性阐释</w:t>
      </w:r>
      <w:r w:rsidRPr="00FA5AA0">
        <w:rPr>
          <w:rFonts w:asciiTheme="majorHAnsi" w:hAnsiTheme="majorHAnsi"/>
          <w:sz w:val="22"/>
          <w:szCs w:val="22"/>
          <w:lang w:eastAsia="zh-CN"/>
        </w:rPr>
        <w:t>:</w:t>
      </w:r>
      <w:r w:rsidRPr="00FA5AA0">
        <w:rPr>
          <w:rFonts w:asciiTheme="majorHAnsi" w:hAnsiTheme="majorHAnsi"/>
          <w:sz w:val="22"/>
          <w:szCs w:val="22"/>
          <w:lang w:eastAsia="zh-CN"/>
        </w:rPr>
        <w:t>以云南省中甸县第一中学为个案</w:t>
      </w:r>
      <w:r w:rsidRPr="00FA5AA0">
        <w:rPr>
          <w:rFonts w:asciiTheme="majorHAnsi" w:hAnsiTheme="majorHAnsi"/>
          <w:sz w:val="22"/>
          <w:szCs w:val="22"/>
          <w:lang w:eastAsia="zh-CN"/>
        </w:rPr>
        <w:t xml:space="preserve">. </w:t>
      </w:r>
      <w:r w:rsidRPr="00FA5AA0">
        <w:rPr>
          <w:rFonts w:asciiTheme="majorHAnsi" w:hAnsiTheme="majorHAnsi"/>
          <w:sz w:val="22"/>
          <w:szCs w:val="22"/>
          <w:lang w:eastAsia="zh-CN"/>
        </w:rPr>
        <w:t>广西民族学院学报</w:t>
      </w:r>
      <w:r w:rsidRPr="00FA5AA0">
        <w:rPr>
          <w:rFonts w:asciiTheme="majorHAnsi" w:hAnsiTheme="majorHAnsi"/>
          <w:sz w:val="22"/>
          <w:szCs w:val="22"/>
          <w:lang w:eastAsia="zh-CN"/>
        </w:rPr>
        <w:t xml:space="preserve"> (</w:t>
      </w:r>
      <w:r w:rsidRPr="00FA5AA0">
        <w:rPr>
          <w:rFonts w:asciiTheme="majorHAnsi" w:hAnsiTheme="majorHAnsi"/>
          <w:sz w:val="22"/>
          <w:szCs w:val="22"/>
          <w:lang w:eastAsia="zh-CN"/>
        </w:rPr>
        <w:t>哲社版</w:t>
      </w:r>
      <w:r w:rsidRPr="00FA5AA0">
        <w:rPr>
          <w:rFonts w:asciiTheme="majorHAnsi" w:hAnsiTheme="majorHAnsi"/>
          <w:sz w:val="22"/>
          <w:szCs w:val="22"/>
          <w:lang w:eastAsia="zh-CN"/>
        </w:rPr>
        <w:t>), 26(3), 32-37.</w:t>
      </w:r>
    </w:p>
    <w:p w:rsidR="00FA5AA0" w:rsidRPr="00FA5AA0" w:rsidRDefault="00FA5AA0" w:rsidP="00627031">
      <w:pPr>
        <w:pStyle w:val="NormalIndent"/>
        <w:spacing w:line="240" w:lineRule="auto"/>
        <w:ind w:left="720" w:hanging="720"/>
        <w:contextualSpacing/>
        <w:rPr>
          <w:rFonts w:asciiTheme="majorHAnsi" w:hAnsiTheme="majorHAnsi"/>
          <w:sz w:val="22"/>
          <w:szCs w:val="22"/>
          <w:lang w:eastAsia="zh-CN"/>
        </w:rPr>
      </w:pPr>
      <w:r w:rsidRPr="00FA5AA0">
        <w:rPr>
          <w:rFonts w:asciiTheme="majorHAnsi" w:hAnsiTheme="majorHAnsi"/>
          <w:sz w:val="22"/>
          <w:szCs w:val="22"/>
          <w:lang w:eastAsia="zh-CN"/>
        </w:rPr>
        <w:t>钱民辉</w:t>
      </w:r>
      <w:r w:rsidRPr="00FA5AA0">
        <w:rPr>
          <w:rFonts w:asciiTheme="majorHAnsi" w:hAnsiTheme="majorHAnsi"/>
          <w:sz w:val="22"/>
          <w:szCs w:val="22"/>
          <w:lang w:eastAsia="zh-CN"/>
        </w:rPr>
        <w:t>(</w:t>
      </w:r>
      <w:proofErr w:type="spellStart"/>
      <w:r w:rsidRPr="00FA5AA0">
        <w:rPr>
          <w:rFonts w:asciiTheme="majorHAnsi" w:hAnsiTheme="majorHAnsi"/>
          <w:i/>
          <w:sz w:val="22"/>
          <w:szCs w:val="22"/>
          <w:lang w:eastAsia="zh-CN"/>
        </w:rPr>
        <w:t>Qian</w:t>
      </w:r>
      <w:proofErr w:type="spellEnd"/>
      <w:r w:rsidRPr="00FA5AA0">
        <w:rPr>
          <w:rFonts w:asciiTheme="majorHAnsi" w:hAnsiTheme="majorHAnsi"/>
          <w:i/>
          <w:sz w:val="22"/>
          <w:szCs w:val="22"/>
          <w:lang w:eastAsia="zh-CN"/>
        </w:rPr>
        <w:t xml:space="preserve"> </w:t>
      </w:r>
      <w:proofErr w:type="spellStart"/>
      <w:r w:rsidRPr="00FA5AA0">
        <w:rPr>
          <w:rFonts w:asciiTheme="majorHAnsi" w:hAnsiTheme="majorHAnsi"/>
          <w:i/>
          <w:sz w:val="22"/>
          <w:szCs w:val="22"/>
          <w:lang w:eastAsia="zh-CN"/>
        </w:rPr>
        <w:t>Minhui</w:t>
      </w:r>
      <w:proofErr w:type="spellEnd"/>
      <w:r w:rsidRPr="00FA5AA0">
        <w:rPr>
          <w:rFonts w:asciiTheme="majorHAnsi" w:hAnsiTheme="majorHAnsi"/>
          <w:sz w:val="22"/>
          <w:szCs w:val="22"/>
          <w:lang w:eastAsia="zh-CN"/>
        </w:rPr>
        <w:t xml:space="preserve">) (2007). </w:t>
      </w:r>
      <w:r w:rsidRPr="00FA5AA0">
        <w:rPr>
          <w:rFonts w:asciiTheme="majorHAnsi" w:hAnsiTheme="majorHAnsi"/>
          <w:sz w:val="22"/>
          <w:szCs w:val="22"/>
          <w:lang w:eastAsia="zh-CN"/>
        </w:rPr>
        <w:t>断裂与重构</w:t>
      </w:r>
      <w:r w:rsidRPr="00FA5AA0">
        <w:rPr>
          <w:rFonts w:asciiTheme="majorHAnsi" w:hAnsiTheme="majorHAnsi"/>
          <w:sz w:val="22"/>
          <w:szCs w:val="22"/>
          <w:lang w:eastAsia="zh-CN"/>
        </w:rPr>
        <w:t xml:space="preserve">: </w:t>
      </w:r>
      <w:r w:rsidRPr="00FA5AA0">
        <w:rPr>
          <w:rFonts w:asciiTheme="majorHAnsi" w:hAnsiTheme="majorHAnsi"/>
          <w:sz w:val="22"/>
          <w:szCs w:val="22"/>
          <w:lang w:eastAsia="zh-CN"/>
        </w:rPr>
        <w:t>少数民族地区学校教育中的潜在课程研究</w:t>
      </w:r>
      <w:r w:rsidRPr="00FA5AA0">
        <w:rPr>
          <w:rFonts w:asciiTheme="majorHAnsi" w:hAnsiTheme="majorHAnsi"/>
          <w:sz w:val="22"/>
          <w:szCs w:val="22"/>
          <w:lang w:eastAsia="zh-CN"/>
        </w:rPr>
        <w:t xml:space="preserve">. </w:t>
      </w:r>
      <w:r w:rsidRPr="00FA5AA0">
        <w:rPr>
          <w:rFonts w:asciiTheme="majorHAnsi" w:hAnsiTheme="majorHAnsi"/>
          <w:sz w:val="22"/>
          <w:szCs w:val="22"/>
          <w:lang w:eastAsia="zh-CN"/>
        </w:rPr>
        <w:t>西北民族研究</w:t>
      </w:r>
      <w:r w:rsidRPr="00FA5AA0">
        <w:rPr>
          <w:rFonts w:asciiTheme="majorHAnsi" w:hAnsiTheme="majorHAnsi"/>
          <w:sz w:val="22"/>
          <w:szCs w:val="22"/>
          <w:lang w:eastAsia="zh-CN"/>
        </w:rPr>
        <w:t>, 52(1), 58-68.</w:t>
      </w:r>
    </w:p>
    <w:p w:rsidR="00FA5AA0" w:rsidRPr="00FA5AA0" w:rsidRDefault="00FA5AA0" w:rsidP="00627031">
      <w:pPr>
        <w:pStyle w:val="NormalIndent"/>
        <w:spacing w:line="240" w:lineRule="auto"/>
        <w:ind w:left="720" w:hanging="720"/>
        <w:contextualSpacing/>
        <w:rPr>
          <w:rFonts w:asciiTheme="majorHAnsi" w:hAnsiTheme="majorHAnsi"/>
          <w:sz w:val="22"/>
          <w:szCs w:val="22"/>
          <w:lang w:eastAsia="zh-CN"/>
        </w:rPr>
      </w:pPr>
      <w:r w:rsidRPr="00FA5AA0">
        <w:rPr>
          <w:rFonts w:asciiTheme="majorHAnsi" w:hAnsiTheme="majorHAnsi"/>
          <w:sz w:val="22"/>
          <w:szCs w:val="22"/>
          <w:lang w:eastAsia="zh-CN"/>
        </w:rPr>
        <w:t>滕星</w:t>
      </w:r>
      <w:r w:rsidRPr="00FA5AA0">
        <w:rPr>
          <w:rFonts w:asciiTheme="majorHAnsi" w:hAnsiTheme="majorHAnsi"/>
          <w:sz w:val="22"/>
          <w:szCs w:val="22"/>
          <w:lang w:eastAsia="zh-CN"/>
        </w:rPr>
        <w:t xml:space="preserve"> (</w:t>
      </w:r>
      <w:proofErr w:type="spellStart"/>
      <w:r w:rsidRPr="00FA5AA0">
        <w:rPr>
          <w:rFonts w:asciiTheme="majorHAnsi" w:hAnsiTheme="majorHAnsi"/>
          <w:i/>
          <w:sz w:val="22"/>
          <w:szCs w:val="22"/>
          <w:lang w:eastAsia="zh-CN"/>
        </w:rPr>
        <w:t>Teng</w:t>
      </w:r>
      <w:proofErr w:type="spellEnd"/>
      <w:r w:rsidRPr="00FA5AA0">
        <w:rPr>
          <w:rFonts w:asciiTheme="majorHAnsi" w:hAnsiTheme="majorHAnsi"/>
          <w:i/>
          <w:sz w:val="22"/>
          <w:szCs w:val="22"/>
          <w:lang w:eastAsia="zh-CN"/>
        </w:rPr>
        <w:t xml:space="preserve"> </w:t>
      </w:r>
      <w:proofErr w:type="spellStart"/>
      <w:r w:rsidRPr="00FA5AA0">
        <w:rPr>
          <w:rFonts w:asciiTheme="majorHAnsi" w:hAnsiTheme="majorHAnsi"/>
          <w:i/>
          <w:sz w:val="22"/>
          <w:szCs w:val="22"/>
          <w:lang w:eastAsia="zh-CN"/>
        </w:rPr>
        <w:t>Xin</w:t>
      </w:r>
      <w:proofErr w:type="spellEnd"/>
      <w:r w:rsidRPr="00FA5AA0">
        <w:rPr>
          <w:rFonts w:asciiTheme="majorHAnsi" w:hAnsiTheme="majorHAnsi"/>
          <w:sz w:val="22"/>
          <w:szCs w:val="22"/>
          <w:lang w:eastAsia="zh-CN"/>
        </w:rPr>
        <w:t xml:space="preserve">) (2001). </w:t>
      </w:r>
      <w:r w:rsidRPr="00FA5AA0">
        <w:rPr>
          <w:rFonts w:asciiTheme="majorHAnsi" w:hAnsiTheme="majorHAnsi"/>
          <w:sz w:val="22"/>
          <w:szCs w:val="22"/>
          <w:lang w:eastAsia="zh-CN"/>
        </w:rPr>
        <w:t>文化变迁与双语教育</w:t>
      </w:r>
      <w:r w:rsidRPr="00FA5AA0">
        <w:rPr>
          <w:rFonts w:asciiTheme="majorHAnsi" w:hAnsiTheme="majorHAnsi"/>
          <w:sz w:val="22"/>
          <w:szCs w:val="22"/>
          <w:lang w:eastAsia="zh-CN"/>
        </w:rPr>
        <w:t>——</w:t>
      </w:r>
      <w:r w:rsidRPr="00FA5AA0">
        <w:rPr>
          <w:rFonts w:asciiTheme="majorHAnsi" w:hAnsiTheme="majorHAnsi"/>
          <w:sz w:val="22"/>
          <w:szCs w:val="22"/>
          <w:lang w:eastAsia="zh-CN"/>
        </w:rPr>
        <w:t>凉山彝族社区教育人类学的田野工作于文本撰述</w:t>
      </w:r>
      <w:r w:rsidRPr="00FA5AA0">
        <w:rPr>
          <w:rFonts w:asciiTheme="majorHAnsi" w:hAnsiTheme="majorHAnsi"/>
          <w:sz w:val="22"/>
          <w:szCs w:val="22"/>
          <w:lang w:eastAsia="zh-CN"/>
        </w:rPr>
        <w:t xml:space="preserve">. </w:t>
      </w:r>
      <w:r w:rsidRPr="00FA5AA0">
        <w:rPr>
          <w:rFonts w:asciiTheme="majorHAnsi" w:hAnsiTheme="majorHAnsi"/>
          <w:sz w:val="22"/>
          <w:szCs w:val="22"/>
          <w:lang w:eastAsia="zh-CN"/>
        </w:rPr>
        <w:t>北京</w:t>
      </w:r>
      <w:r w:rsidRPr="00FA5AA0">
        <w:rPr>
          <w:rFonts w:asciiTheme="majorHAnsi" w:hAnsiTheme="majorHAnsi"/>
          <w:sz w:val="22"/>
          <w:szCs w:val="22"/>
          <w:lang w:eastAsia="zh-CN"/>
        </w:rPr>
        <w:t>:</w:t>
      </w:r>
      <w:r w:rsidRPr="00FA5AA0">
        <w:rPr>
          <w:rFonts w:asciiTheme="majorHAnsi" w:hAnsiTheme="majorHAnsi"/>
          <w:sz w:val="22"/>
          <w:szCs w:val="22"/>
          <w:lang w:eastAsia="zh-CN"/>
        </w:rPr>
        <w:t>教育科学出版社</w:t>
      </w:r>
      <w:r w:rsidRPr="00FA5AA0">
        <w:rPr>
          <w:rFonts w:asciiTheme="majorHAnsi" w:hAnsiTheme="majorHAnsi"/>
          <w:sz w:val="22"/>
          <w:szCs w:val="22"/>
          <w:lang w:eastAsia="zh-CN"/>
        </w:rPr>
        <w:t>.</w:t>
      </w:r>
    </w:p>
    <w:p w:rsidR="00FA5AA0" w:rsidRPr="00FA5AA0" w:rsidRDefault="00FA5AA0" w:rsidP="00627031">
      <w:pPr>
        <w:pStyle w:val="NormalIndent"/>
        <w:spacing w:line="240" w:lineRule="auto"/>
        <w:ind w:left="720" w:hanging="720"/>
        <w:contextualSpacing/>
        <w:rPr>
          <w:rFonts w:asciiTheme="majorHAnsi" w:hAnsiTheme="majorHAnsi"/>
          <w:sz w:val="22"/>
          <w:szCs w:val="22"/>
          <w:lang w:eastAsia="zh-CN"/>
        </w:rPr>
      </w:pPr>
      <w:r w:rsidRPr="00FA5AA0">
        <w:rPr>
          <w:rFonts w:asciiTheme="majorHAnsi" w:hAnsiTheme="majorHAnsi"/>
          <w:sz w:val="22"/>
          <w:szCs w:val="22"/>
          <w:lang w:eastAsia="zh-CN"/>
        </w:rPr>
        <w:t>滕星</w:t>
      </w:r>
      <w:r w:rsidRPr="00FA5AA0">
        <w:rPr>
          <w:rFonts w:asciiTheme="majorHAnsi" w:hAnsiTheme="majorHAnsi"/>
          <w:sz w:val="22"/>
          <w:szCs w:val="22"/>
          <w:lang w:eastAsia="zh-CN"/>
        </w:rPr>
        <w:t>(</w:t>
      </w:r>
      <w:proofErr w:type="spellStart"/>
      <w:r w:rsidRPr="00FA5AA0">
        <w:rPr>
          <w:rFonts w:asciiTheme="majorHAnsi" w:hAnsiTheme="majorHAnsi"/>
          <w:i/>
          <w:sz w:val="22"/>
          <w:szCs w:val="22"/>
          <w:lang w:eastAsia="zh-CN"/>
        </w:rPr>
        <w:t>Teng</w:t>
      </w:r>
      <w:proofErr w:type="spellEnd"/>
      <w:r w:rsidRPr="00FA5AA0">
        <w:rPr>
          <w:rFonts w:asciiTheme="majorHAnsi" w:hAnsiTheme="majorHAnsi"/>
          <w:i/>
          <w:sz w:val="22"/>
          <w:szCs w:val="22"/>
          <w:lang w:eastAsia="zh-CN"/>
        </w:rPr>
        <w:t xml:space="preserve"> </w:t>
      </w:r>
      <w:proofErr w:type="spellStart"/>
      <w:r w:rsidRPr="00FA5AA0">
        <w:rPr>
          <w:rFonts w:asciiTheme="majorHAnsi" w:hAnsiTheme="majorHAnsi"/>
          <w:i/>
          <w:sz w:val="22"/>
          <w:szCs w:val="22"/>
          <w:lang w:eastAsia="zh-CN"/>
        </w:rPr>
        <w:t>Xin</w:t>
      </w:r>
      <w:proofErr w:type="spellEnd"/>
      <w:r w:rsidRPr="00FA5AA0">
        <w:rPr>
          <w:rFonts w:asciiTheme="majorHAnsi" w:hAnsiTheme="majorHAnsi"/>
          <w:sz w:val="22"/>
          <w:szCs w:val="22"/>
          <w:lang w:eastAsia="zh-CN"/>
        </w:rPr>
        <w:t xml:space="preserve">) (2004). </w:t>
      </w:r>
      <w:r w:rsidRPr="00FA5AA0">
        <w:rPr>
          <w:rFonts w:asciiTheme="majorHAnsi" w:hAnsiTheme="majorHAnsi"/>
          <w:sz w:val="22"/>
          <w:szCs w:val="22"/>
          <w:lang w:eastAsia="zh-CN"/>
        </w:rPr>
        <w:t>小康社会与西部偏远贫困地区少数民族基础教育</w:t>
      </w:r>
      <w:r w:rsidRPr="00FA5AA0">
        <w:rPr>
          <w:rFonts w:asciiTheme="majorHAnsi" w:hAnsiTheme="majorHAnsi"/>
          <w:sz w:val="22"/>
          <w:szCs w:val="22"/>
          <w:lang w:eastAsia="zh-CN"/>
        </w:rPr>
        <w:t>.</w:t>
      </w:r>
      <w:r w:rsidRPr="00FA5AA0">
        <w:rPr>
          <w:rFonts w:asciiTheme="majorHAnsi" w:hAnsiTheme="majorHAnsi"/>
          <w:sz w:val="22"/>
          <w:szCs w:val="22"/>
          <w:lang w:eastAsia="zh-CN"/>
        </w:rPr>
        <w:t>云南民族大学学报</w:t>
      </w:r>
      <w:r w:rsidRPr="00FA5AA0">
        <w:rPr>
          <w:rFonts w:asciiTheme="majorHAnsi" w:hAnsiTheme="majorHAnsi"/>
          <w:sz w:val="22"/>
          <w:szCs w:val="22"/>
          <w:lang w:eastAsia="zh-CN"/>
        </w:rPr>
        <w:t xml:space="preserve"> </w:t>
      </w:r>
      <w:proofErr w:type="gramStart"/>
      <w:r w:rsidRPr="00FA5AA0">
        <w:rPr>
          <w:rFonts w:asciiTheme="majorHAnsi" w:hAnsiTheme="majorHAnsi"/>
          <w:sz w:val="22"/>
          <w:szCs w:val="22"/>
          <w:lang w:eastAsia="zh-CN"/>
        </w:rPr>
        <w:t>(</w:t>
      </w:r>
      <w:r w:rsidRPr="00FA5AA0">
        <w:rPr>
          <w:rFonts w:asciiTheme="majorHAnsi" w:hAnsiTheme="majorHAnsi"/>
          <w:sz w:val="22"/>
          <w:szCs w:val="22"/>
          <w:lang w:eastAsia="zh-CN"/>
        </w:rPr>
        <w:t>哲学社会科学版</w:t>
      </w:r>
      <w:r w:rsidRPr="00FA5AA0">
        <w:rPr>
          <w:rFonts w:asciiTheme="majorHAnsi" w:hAnsiTheme="majorHAnsi"/>
          <w:sz w:val="22"/>
          <w:szCs w:val="22"/>
          <w:lang w:eastAsia="zh-CN"/>
        </w:rPr>
        <w:t>), 21(4), 148-150.</w:t>
      </w:r>
      <w:proofErr w:type="gramEnd"/>
    </w:p>
    <w:p w:rsidR="00FA5AA0" w:rsidRPr="00FA5AA0" w:rsidRDefault="00FA5AA0" w:rsidP="00627031">
      <w:pPr>
        <w:pStyle w:val="NormalIndent"/>
        <w:spacing w:line="240" w:lineRule="auto"/>
        <w:ind w:left="720" w:hanging="720"/>
        <w:contextualSpacing/>
        <w:rPr>
          <w:rFonts w:asciiTheme="majorHAnsi" w:hAnsiTheme="majorHAnsi"/>
          <w:sz w:val="22"/>
          <w:szCs w:val="22"/>
          <w:lang w:eastAsia="zh-CN"/>
        </w:rPr>
      </w:pPr>
      <w:r w:rsidRPr="00FA5AA0">
        <w:rPr>
          <w:rFonts w:asciiTheme="majorHAnsi" w:hAnsiTheme="majorHAnsi"/>
          <w:sz w:val="22"/>
          <w:szCs w:val="22"/>
          <w:lang w:eastAsia="zh-CN"/>
        </w:rPr>
        <w:t>滕星</w:t>
      </w:r>
      <w:r w:rsidRPr="00FA5AA0">
        <w:rPr>
          <w:rFonts w:asciiTheme="majorHAnsi" w:hAnsiTheme="majorHAnsi"/>
          <w:sz w:val="22"/>
          <w:szCs w:val="22"/>
          <w:lang w:eastAsia="zh-CN"/>
        </w:rPr>
        <w:t xml:space="preserve">, </w:t>
      </w:r>
      <w:r w:rsidRPr="00FA5AA0">
        <w:rPr>
          <w:rFonts w:asciiTheme="majorHAnsi" w:hAnsiTheme="majorHAnsi"/>
          <w:sz w:val="22"/>
          <w:szCs w:val="22"/>
          <w:lang w:eastAsia="zh-CN"/>
        </w:rPr>
        <w:t>马效义</w:t>
      </w:r>
      <w:r w:rsidRPr="00FA5AA0">
        <w:rPr>
          <w:rFonts w:asciiTheme="majorHAnsi" w:hAnsiTheme="majorHAnsi"/>
          <w:sz w:val="22"/>
          <w:szCs w:val="22"/>
          <w:lang w:eastAsia="zh-CN"/>
        </w:rPr>
        <w:t>(</w:t>
      </w:r>
      <w:proofErr w:type="spellStart"/>
      <w:r w:rsidRPr="00FA5AA0">
        <w:rPr>
          <w:rFonts w:asciiTheme="majorHAnsi" w:hAnsiTheme="majorHAnsi"/>
          <w:i/>
          <w:sz w:val="22"/>
          <w:szCs w:val="22"/>
          <w:lang w:eastAsia="zh-CN"/>
        </w:rPr>
        <w:t>Teng</w:t>
      </w:r>
      <w:proofErr w:type="spellEnd"/>
      <w:r w:rsidRPr="00FA5AA0">
        <w:rPr>
          <w:rFonts w:asciiTheme="majorHAnsi" w:hAnsiTheme="majorHAnsi"/>
          <w:i/>
          <w:sz w:val="22"/>
          <w:szCs w:val="22"/>
          <w:lang w:eastAsia="zh-CN"/>
        </w:rPr>
        <w:t xml:space="preserve"> </w:t>
      </w:r>
      <w:proofErr w:type="spellStart"/>
      <w:r w:rsidRPr="00FA5AA0">
        <w:rPr>
          <w:rFonts w:asciiTheme="majorHAnsi" w:hAnsiTheme="majorHAnsi"/>
          <w:i/>
          <w:sz w:val="22"/>
          <w:szCs w:val="22"/>
          <w:lang w:eastAsia="zh-CN"/>
        </w:rPr>
        <w:t>Xin</w:t>
      </w:r>
      <w:proofErr w:type="spellEnd"/>
      <w:r w:rsidRPr="00FA5AA0">
        <w:rPr>
          <w:rFonts w:asciiTheme="majorHAnsi" w:hAnsiTheme="majorHAnsi"/>
          <w:i/>
          <w:sz w:val="22"/>
          <w:szCs w:val="22"/>
          <w:lang w:eastAsia="zh-CN"/>
        </w:rPr>
        <w:t xml:space="preserve">, Ma </w:t>
      </w:r>
      <w:proofErr w:type="spellStart"/>
      <w:r w:rsidRPr="00FA5AA0">
        <w:rPr>
          <w:rFonts w:asciiTheme="majorHAnsi" w:hAnsiTheme="majorHAnsi"/>
          <w:i/>
          <w:sz w:val="22"/>
          <w:szCs w:val="22"/>
          <w:lang w:eastAsia="zh-CN"/>
        </w:rPr>
        <w:t>Xiaoyi</w:t>
      </w:r>
      <w:proofErr w:type="spellEnd"/>
      <w:r w:rsidRPr="00FA5AA0">
        <w:rPr>
          <w:rFonts w:asciiTheme="majorHAnsi" w:hAnsiTheme="majorHAnsi"/>
          <w:sz w:val="22"/>
          <w:szCs w:val="22"/>
          <w:lang w:eastAsia="zh-CN"/>
        </w:rPr>
        <w:t xml:space="preserve">) (2005). </w:t>
      </w:r>
      <w:r w:rsidRPr="00FA5AA0">
        <w:rPr>
          <w:rFonts w:asciiTheme="majorHAnsi" w:hAnsiTheme="majorHAnsi"/>
          <w:sz w:val="22"/>
          <w:szCs w:val="22"/>
          <w:lang w:eastAsia="zh-CN"/>
        </w:rPr>
        <w:t>中国高等教育的少数民族优惠政策与教育平等</w:t>
      </w:r>
      <w:r w:rsidRPr="00FA5AA0">
        <w:rPr>
          <w:rFonts w:asciiTheme="majorHAnsi" w:hAnsiTheme="majorHAnsi"/>
          <w:sz w:val="22"/>
          <w:szCs w:val="22"/>
          <w:lang w:eastAsia="zh-CN"/>
        </w:rPr>
        <w:t xml:space="preserve">. </w:t>
      </w:r>
      <w:r w:rsidRPr="00FA5AA0">
        <w:rPr>
          <w:rFonts w:asciiTheme="majorHAnsi" w:hAnsiTheme="majorHAnsi"/>
          <w:sz w:val="22"/>
          <w:szCs w:val="22"/>
          <w:lang w:eastAsia="zh-CN"/>
        </w:rPr>
        <w:t>民族研究</w:t>
      </w:r>
      <w:r w:rsidRPr="00FA5AA0">
        <w:rPr>
          <w:rFonts w:asciiTheme="majorHAnsi" w:hAnsiTheme="majorHAnsi"/>
          <w:sz w:val="22"/>
          <w:szCs w:val="22"/>
          <w:lang w:eastAsia="zh-CN"/>
        </w:rPr>
        <w:t>, 5, 10-18.</w:t>
      </w:r>
    </w:p>
    <w:p w:rsidR="00FA5AA0" w:rsidRPr="00FA5AA0" w:rsidRDefault="00FA5AA0" w:rsidP="00627031">
      <w:pPr>
        <w:pStyle w:val="NormalIndent"/>
        <w:spacing w:line="240" w:lineRule="auto"/>
        <w:ind w:left="720" w:hanging="720"/>
        <w:contextualSpacing/>
        <w:rPr>
          <w:rFonts w:asciiTheme="majorHAnsi" w:hAnsiTheme="majorHAnsi"/>
          <w:sz w:val="22"/>
          <w:szCs w:val="22"/>
          <w:lang w:eastAsia="zh-CN"/>
        </w:rPr>
      </w:pPr>
      <w:r w:rsidRPr="00FA5AA0">
        <w:rPr>
          <w:rFonts w:asciiTheme="majorHAnsi" w:hAnsiTheme="majorHAnsi"/>
          <w:sz w:val="22"/>
          <w:szCs w:val="22"/>
          <w:lang w:eastAsia="zh-CN"/>
        </w:rPr>
        <w:t>滕星</w:t>
      </w:r>
      <w:r w:rsidRPr="00FA5AA0">
        <w:rPr>
          <w:rFonts w:asciiTheme="majorHAnsi" w:hAnsiTheme="majorHAnsi"/>
          <w:sz w:val="22"/>
          <w:szCs w:val="22"/>
          <w:lang w:eastAsia="zh-CN"/>
        </w:rPr>
        <w:t xml:space="preserve">, </w:t>
      </w:r>
      <w:r w:rsidRPr="00FA5AA0">
        <w:rPr>
          <w:rFonts w:asciiTheme="majorHAnsi" w:hAnsiTheme="majorHAnsi"/>
          <w:sz w:val="22"/>
          <w:szCs w:val="22"/>
          <w:lang w:eastAsia="zh-CN"/>
        </w:rPr>
        <w:t>苏红</w:t>
      </w:r>
      <w:r w:rsidRPr="00FA5AA0">
        <w:rPr>
          <w:rFonts w:asciiTheme="majorHAnsi" w:hAnsiTheme="majorHAnsi"/>
          <w:sz w:val="22"/>
          <w:szCs w:val="22"/>
          <w:lang w:eastAsia="zh-CN"/>
        </w:rPr>
        <w:t xml:space="preserve"> (</w:t>
      </w:r>
      <w:proofErr w:type="spellStart"/>
      <w:r w:rsidRPr="00FA5AA0">
        <w:rPr>
          <w:rFonts w:asciiTheme="majorHAnsi" w:hAnsiTheme="majorHAnsi"/>
          <w:i/>
          <w:sz w:val="22"/>
          <w:szCs w:val="22"/>
          <w:lang w:eastAsia="zh-CN"/>
        </w:rPr>
        <w:t>Teng</w:t>
      </w:r>
      <w:proofErr w:type="spellEnd"/>
      <w:r w:rsidRPr="00FA5AA0">
        <w:rPr>
          <w:rFonts w:asciiTheme="majorHAnsi" w:hAnsiTheme="majorHAnsi"/>
          <w:i/>
          <w:sz w:val="22"/>
          <w:szCs w:val="22"/>
          <w:lang w:eastAsia="zh-CN"/>
        </w:rPr>
        <w:t xml:space="preserve"> </w:t>
      </w:r>
      <w:proofErr w:type="spellStart"/>
      <w:r w:rsidRPr="00FA5AA0">
        <w:rPr>
          <w:rFonts w:asciiTheme="majorHAnsi" w:hAnsiTheme="majorHAnsi"/>
          <w:i/>
          <w:sz w:val="22"/>
          <w:szCs w:val="22"/>
          <w:lang w:eastAsia="zh-CN"/>
        </w:rPr>
        <w:t>Xin</w:t>
      </w:r>
      <w:proofErr w:type="spellEnd"/>
      <w:r w:rsidRPr="00FA5AA0">
        <w:rPr>
          <w:rFonts w:asciiTheme="majorHAnsi" w:hAnsiTheme="majorHAnsi"/>
          <w:i/>
          <w:sz w:val="22"/>
          <w:szCs w:val="22"/>
          <w:lang w:eastAsia="zh-CN"/>
        </w:rPr>
        <w:t>, Su Hong</w:t>
      </w:r>
      <w:r w:rsidRPr="00FA5AA0">
        <w:rPr>
          <w:rFonts w:asciiTheme="majorHAnsi" w:hAnsiTheme="majorHAnsi"/>
          <w:sz w:val="22"/>
          <w:szCs w:val="22"/>
          <w:lang w:eastAsia="zh-CN"/>
        </w:rPr>
        <w:t xml:space="preserve">) (1997). </w:t>
      </w:r>
      <w:r w:rsidRPr="00FA5AA0">
        <w:rPr>
          <w:rFonts w:asciiTheme="majorHAnsi" w:hAnsiTheme="majorHAnsi"/>
          <w:sz w:val="22"/>
          <w:szCs w:val="22"/>
          <w:lang w:eastAsia="zh-CN"/>
        </w:rPr>
        <w:t>多元文化社会与多元一体化教育</w:t>
      </w:r>
      <w:r w:rsidRPr="00FA5AA0">
        <w:rPr>
          <w:rFonts w:asciiTheme="majorHAnsi" w:hAnsiTheme="majorHAnsi"/>
          <w:sz w:val="22"/>
          <w:szCs w:val="22"/>
          <w:lang w:eastAsia="zh-CN"/>
        </w:rPr>
        <w:t>.</w:t>
      </w:r>
      <w:r w:rsidRPr="00FA5AA0">
        <w:rPr>
          <w:rFonts w:asciiTheme="majorHAnsi" w:hAnsiTheme="majorHAnsi"/>
          <w:sz w:val="22"/>
          <w:szCs w:val="22"/>
          <w:lang w:eastAsia="zh-CN"/>
        </w:rPr>
        <w:t>民族教育研究</w:t>
      </w:r>
      <w:r w:rsidRPr="00FA5AA0">
        <w:rPr>
          <w:rFonts w:asciiTheme="majorHAnsi" w:hAnsiTheme="majorHAnsi"/>
          <w:sz w:val="22"/>
          <w:szCs w:val="22"/>
          <w:lang w:eastAsia="zh-CN"/>
        </w:rPr>
        <w:t>, 1, 18-31.</w:t>
      </w:r>
    </w:p>
    <w:p w:rsidR="00FA5AA0" w:rsidRPr="00FA5AA0" w:rsidRDefault="00FA5AA0" w:rsidP="00627031">
      <w:pPr>
        <w:pStyle w:val="NormalIndent"/>
        <w:spacing w:line="240" w:lineRule="auto"/>
        <w:ind w:left="720" w:hanging="720"/>
        <w:contextualSpacing/>
        <w:rPr>
          <w:rFonts w:asciiTheme="majorHAnsi" w:hAnsiTheme="majorHAnsi"/>
          <w:sz w:val="22"/>
          <w:szCs w:val="22"/>
          <w:lang w:eastAsia="zh-CN"/>
        </w:rPr>
      </w:pPr>
      <w:r w:rsidRPr="00FA5AA0">
        <w:rPr>
          <w:rFonts w:asciiTheme="majorHAnsi" w:hAnsiTheme="majorHAnsi"/>
          <w:sz w:val="22"/>
          <w:szCs w:val="22"/>
          <w:lang w:eastAsia="zh-CN"/>
        </w:rPr>
        <w:t>滕星</w:t>
      </w:r>
      <w:r w:rsidRPr="00FA5AA0">
        <w:rPr>
          <w:rFonts w:asciiTheme="majorHAnsi" w:hAnsiTheme="majorHAnsi"/>
          <w:sz w:val="22"/>
          <w:szCs w:val="22"/>
          <w:lang w:eastAsia="zh-CN"/>
        </w:rPr>
        <w:t xml:space="preserve">, </w:t>
      </w:r>
      <w:r w:rsidRPr="00FA5AA0">
        <w:rPr>
          <w:rFonts w:asciiTheme="majorHAnsi" w:hAnsiTheme="majorHAnsi"/>
          <w:sz w:val="22"/>
          <w:szCs w:val="22"/>
          <w:lang w:eastAsia="zh-CN"/>
        </w:rPr>
        <w:t>苏红</w:t>
      </w:r>
      <w:r w:rsidRPr="00FA5AA0">
        <w:rPr>
          <w:rFonts w:asciiTheme="majorHAnsi" w:hAnsiTheme="majorHAnsi"/>
          <w:sz w:val="22"/>
          <w:szCs w:val="22"/>
          <w:lang w:eastAsia="zh-CN"/>
        </w:rPr>
        <w:t xml:space="preserve"> (</w:t>
      </w:r>
      <w:proofErr w:type="spellStart"/>
      <w:r w:rsidRPr="00FA5AA0">
        <w:rPr>
          <w:rFonts w:asciiTheme="majorHAnsi" w:hAnsiTheme="majorHAnsi"/>
          <w:i/>
          <w:sz w:val="22"/>
          <w:szCs w:val="22"/>
          <w:lang w:eastAsia="zh-CN"/>
        </w:rPr>
        <w:t>Teng</w:t>
      </w:r>
      <w:proofErr w:type="spellEnd"/>
      <w:r w:rsidRPr="00FA5AA0">
        <w:rPr>
          <w:rFonts w:asciiTheme="majorHAnsi" w:hAnsiTheme="majorHAnsi"/>
          <w:i/>
          <w:sz w:val="22"/>
          <w:szCs w:val="22"/>
          <w:lang w:eastAsia="zh-CN"/>
        </w:rPr>
        <w:t xml:space="preserve"> </w:t>
      </w:r>
      <w:proofErr w:type="spellStart"/>
      <w:r w:rsidRPr="00FA5AA0">
        <w:rPr>
          <w:rFonts w:asciiTheme="majorHAnsi" w:hAnsiTheme="majorHAnsi"/>
          <w:i/>
          <w:sz w:val="22"/>
          <w:szCs w:val="22"/>
          <w:lang w:eastAsia="zh-CN"/>
        </w:rPr>
        <w:t>Xin</w:t>
      </w:r>
      <w:proofErr w:type="spellEnd"/>
      <w:r w:rsidRPr="00FA5AA0">
        <w:rPr>
          <w:rFonts w:asciiTheme="majorHAnsi" w:hAnsiTheme="majorHAnsi"/>
          <w:i/>
          <w:sz w:val="22"/>
          <w:szCs w:val="22"/>
          <w:lang w:eastAsia="zh-CN"/>
        </w:rPr>
        <w:t>, Su Hong</w:t>
      </w:r>
      <w:r w:rsidRPr="00FA5AA0">
        <w:rPr>
          <w:rFonts w:asciiTheme="majorHAnsi" w:hAnsiTheme="majorHAnsi"/>
          <w:sz w:val="22"/>
          <w:szCs w:val="22"/>
          <w:lang w:eastAsia="zh-CN"/>
        </w:rPr>
        <w:t xml:space="preserve">) (1998). </w:t>
      </w:r>
      <w:r w:rsidRPr="00FA5AA0">
        <w:rPr>
          <w:rFonts w:asciiTheme="majorHAnsi" w:hAnsiTheme="majorHAnsi"/>
          <w:sz w:val="22"/>
          <w:szCs w:val="22"/>
          <w:lang w:eastAsia="zh-CN"/>
        </w:rPr>
        <w:t>中国少数民族地区现代化过程与教育机会平等</w:t>
      </w:r>
      <w:r w:rsidRPr="00FA5AA0">
        <w:rPr>
          <w:rFonts w:asciiTheme="majorHAnsi" w:hAnsiTheme="majorHAnsi"/>
          <w:sz w:val="22"/>
          <w:szCs w:val="22"/>
          <w:lang w:eastAsia="zh-CN"/>
        </w:rPr>
        <w:t>.</w:t>
      </w:r>
      <w:r w:rsidRPr="00FA5AA0">
        <w:rPr>
          <w:rFonts w:asciiTheme="majorHAnsi" w:hAnsiTheme="majorHAnsi"/>
          <w:sz w:val="22"/>
          <w:szCs w:val="22"/>
          <w:lang w:eastAsia="zh-CN"/>
        </w:rPr>
        <w:t>教育科学</w:t>
      </w:r>
      <w:r w:rsidRPr="00FA5AA0">
        <w:rPr>
          <w:rFonts w:asciiTheme="majorHAnsi" w:hAnsiTheme="majorHAnsi"/>
          <w:sz w:val="22"/>
          <w:szCs w:val="22"/>
          <w:lang w:eastAsia="zh-CN"/>
        </w:rPr>
        <w:t>, 1, 9-11.</w:t>
      </w:r>
    </w:p>
    <w:p w:rsidR="00FA5AA0" w:rsidRPr="00FA5AA0" w:rsidRDefault="00FA5AA0" w:rsidP="00627031">
      <w:pPr>
        <w:pStyle w:val="NormalIndent"/>
        <w:spacing w:line="240" w:lineRule="auto"/>
        <w:ind w:left="720" w:hanging="720"/>
        <w:contextualSpacing/>
        <w:rPr>
          <w:rFonts w:asciiTheme="majorHAnsi" w:hAnsiTheme="majorHAnsi"/>
          <w:sz w:val="22"/>
          <w:szCs w:val="22"/>
          <w:lang w:eastAsia="zh-CN"/>
        </w:rPr>
      </w:pPr>
      <w:r w:rsidRPr="00FA5AA0">
        <w:rPr>
          <w:rFonts w:asciiTheme="majorHAnsi" w:hAnsiTheme="majorHAnsi"/>
          <w:sz w:val="22"/>
          <w:szCs w:val="22"/>
          <w:lang w:eastAsia="zh-CN"/>
        </w:rPr>
        <w:t>万明钢</w:t>
      </w:r>
      <w:r w:rsidRPr="00FA5AA0">
        <w:rPr>
          <w:rFonts w:asciiTheme="majorHAnsi" w:hAnsiTheme="majorHAnsi"/>
          <w:sz w:val="22"/>
          <w:szCs w:val="22"/>
          <w:lang w:eastAsia="zh-CN"/>
        </w:rPr>
        <w:t xml:space="preserve"> (</w:t>
      </w:r>
      <w:r w:rsidRPr="00FA5AA0">
        <w:rPr>
          <w:rFonts w:asciiTheme="majorHAnsi" w:hAnsiTheme="majorHAnsi"/>
          <w:i/>
          <w:sz w:val="22"/>
          <w:szCs w:val="22"/>
          <w:lang w:eastAsia="zh-CN"/>
        </w:rPr>
        <w:t xml:space="preserve">Wan </w:t>
      </w:r>
      <w:proofErr w:type="spellStart"/>
      <w:r w:rsidRPr="00FA5AA0">
        <w:rPr>
          <w:rFonts w:asciiTheme="majorHAnsi" w:hAnsiTheme="majorHAnsi"/>
          <w:i/>
          <w:sz w:val="22"/>
          <w:szCs w:val="22"/>
          <w:lang w:eastAsia="zh-CN"/>
        </w:rPr>
        <w:t>Minggang</w:t>
      </w:r>
      <w:proofErr w:type="spellEnd"/>
      <w:r w:rsidRPr="00FA5AA0">
        <w:rPr>
          <w:rFonts w:asciiTheme="majorHAnsi" w:hAnsiTheme="majorHAnsi"/>
          <w:sz w:val="22"/>
          <w:szCs w:val="22"/>
          <w:lang w:eastAsia="zh-CN"/>
        </w:rPr>
        <w:t xml:space="preserve">) (2006). </w:t>
      </w:r>
      <w:r w:rsidRPr="00FA5AA0">
        <w:rPr>
          <w:rFonts w:asciiTheme="majorHAnsi" w:hAnsiTheme="majorHAnsi"/>
          <w:sz w:val="22"/>
          <w:szCs w:val="22"/>
          <w:lang w:eastAsia="zh-CN"/>
        </w:rPr>
        <w:t>多元文化视野价值观与民族认同研究</w:t>
      </w:r>
      <w:r w:rsidRPr="00FA5AA0">
        <w:rPr>
          <w:rFonts w:asciiTheme="majorHAnsi" w:hAnsiTheme="majorHAnsi"/>
          <w:sz w:val="22"/>
          <w:szCs w:val="22"/>
          <w:lang w:eastAsia="zh-CN"/>
        </w:rPr>
        <w:t>.</w:t>
      </w:r>
      <w:r w:rsidRPr="00FA5AA0">
        <w:rPr>
          <w:rFonts w:asciiTheme="majorHAnsi" w:hAnsiTheme="majorHAnsi"/>
          <w:sz w:val="22"/>
          <w:szCs w:val="22"/>
          <w:lang w:eastAsia="zh-CN"/>
        </w:rPr>
        <w:t>北京</w:t>
      </w:r>
      <w:proofErr w:type="gramStart"/>
      <w:r w:rsidRPr="00FA5AA0">
        <w:rPr>
          <w:rFonts w:asciiTheme="majorHAnsi" w:hAnsiTheme="majorHAnsi"/>
          <w:sz w:val="22"/>
          <w:szCs w:val="22"/>
          <w:lang w:eastAsia="zh-CN"/>
        </w:rPr>
        <w:t>:</w:t>
      </w:r>
      <w:r w:rsidRPr="00FA5AA0">
        <w:rPr>
          <w:rFonts w:asciiTheme="majorHAnsi" w:hAnsiTheme="majorHAnsi"/>
          <w:sz w:val="22"/>
          <w:szCs w:val="22"/>
          <w:lang w:eastAsia="zh-CN"/>
        </w:rPr>
        <w:t>民族出版社</w:t>
      </w:r>
      <w:proofErr w:type="gramEnd"/>
      <w:r w:rsidRPr="00FA5AA0">
        <w:rPr>
          <w:rFonts w:asciiTheme="majorHAnsi" w:hAnsiTheme="majorHAnsi"/>
          <w:sz w:val="22"/>
          <w:szCs w:val="22"/>
          <w:lang w:eastAsia="zh-CN"/>
        </w:rPr>
        <w:t>.</w:t>
      </w:r>
    </w:p>
    <w:p w:rsidR="00FA5AA0" w:rsidRPr="00FA5AA0" w:rsidRDefault="00FA5AA0" w:rsidP="00627031">
      <w:pPr>
        <w:pStyle w:val="NormalIndent"/>
        <w:spacing w:line="240" w:lineRule="auto"/>
        <w:ind w:left="720" w:hanging="720"/>
        <w:contextualSpacing/>
        <w:rPr>
          <w:rFonts w:asciiTheme="majorHAnsi" w:hAnsiTheme="majorHAnsi"/>
          <w:sz w:val="22"/>
          <w:szCs w:val="22"/>
          <w:lang w:eastAsia="zh-CN"/>
        </w:rPr>
      </w:pPr>
      <w:r w:rsidRPr="00FA5AA0">
        <w:rPr>
          <w:rFonts w:asciiTheme="majorHAnsi" w:hAnsiTheme="majorHAnsi"/>
          <w:sz w:val="22"/>
          <w:szCs w:val="22"/>
          <w:lang w:eastAsia="zh-CN"/>
        </w:rPr>
        <w:t>万明钢</w:t>
      </w:r>
      <w:r w:rsidRPr="00FA5AA0">
        <w:rPr>
          <w:rFonts w:asciiTheme="majorHAnsi" w:hAnsiTheme="majorHAnsi"/>
          <w:sz w:val="22"/>
          <w:szCs w:val="22"/>
          <w:lang w:eastAsia="zh-CN"/>
        </w:rPr>
        <w:t xml:space="preserve">, </w:t>
      </w:r>
      <w:r w:rsidRPr="00FA5AA0">
        <w:rPr>
          <w:rFonts w:asciiTheme="majorHAnsi" w:hAnsiTheme="majorHAnsi"/>
          <w:sz w:val="22"/>
          <w:szCs w:val="22"/>
          <w:lang w:eastAsia="zh-CN"/>
        </w:rPr>
        <w:t>白亮</w:t>
      </w:r>
      <w:r w:rsidRPr="00FA5AA0">
        <w:rPr>
          <w:rFonts w:asciiTheme="majorHAnsi" w:hAnsiTheme="majorHAnsi"/>
          <w:sz w:val="22"/>
          <w:szCs w:val="22"/>
          <w:lang w:eastAsia="zh-CN"/>
        </w:rPr>
        <w:t xml:space="preserve"> (</w:t>
      </w:r>
      <w:r w:rsidRPr="00FA5AA0">
        <w:rPr>
          <w:rFonts w:asciiTheme="majorHAnsi" w:hAnsiTheme="majorHAnsi"/>
          <w:i/>
          <w:sz w:val="22"/>
          <w:szCs w:val="22"/>
          <w:lang w:eastAsia="zh-CN"/>
        </w:rPr>
        <w:t xml:space="preserve">Wan </w:t>
      </w:r>
      <w:proofErr w:type="spellStart"/>
      <w:r w:rsidRPr="00FA5AA0">
        <w:rPr>
          <w:rFonts w:asciiTheme="majorHAnsi" w:hAnsiTheme="majorHAnsi"/>
          <w:i/>
          <w:sz w:val="22"/>
          <w:szCs w:val="22"/>
          <w:lang w:eastAsia="zh-CN"/>
        </w:rPr>
        <w:t>Minggang</w:t>
      </w:r>
      <w:proofErr w:type="spellEnd"/>
      <w:r w:rsidRPr="00FA5AA0">
        <w:rPr>
          <w:rFonts w:asciiTheme="majorHAnsi" w:hAnsiTheme="majorHAnsi"/>
          <w:i/>
          <w:sz w:val="22"/>
          <w:szCs w:val="22"/>
          <w:lang w:eastAsia="zh-CN"/>
        </w:rPr>
        <w:t xml:space="preserve">, </w:t>
      </w:r>
      <w:proofErr w:type="spellStart"/>
      <w:r w:rsidRPr="00FA5AA0">
        <w:rPr>
          <w:rFonts w:asciiTheme="majorHAnsi" w:hAnsiTheme="majorHAnsi"/>
          <w:i/>
          <w:sz w:val="22"/>
          <w:szCs w:val="22"/>
          <w:lang w:eastAsia="zh-CN"/>
        </w:rPr>
        <w:t>Bai</w:t>
      </w:r>
      <w:proofErr w:type="spellEnd"/>
      <w:r w:rsidRPr="00FA5AA0">
        <w:rPr>
          <w:rFonts w:asciiTheme="majorHAnsi" w:hAnsiTheme="majorHAnsi"/>
          <w:i/>
          <w:sz w:val="22"/>
          <w:szCs w:val="22"/>
          <w:lang w:eastAsia="zh-CN"/>
        </w:rPr>
        <w:t xml:space="preserve"> Liang</w:t>
      </w:r>
      <w:r w:rsidRPr="00FA5AA0">
        <w:rPr>
          <w:rFonts w:asciiTheme="majorHAnsi" w:hAnsiTheme="majorHAnsi"/>
          <w:sz w:val="22"/>
          <w:szCs w:val="22"/>
          <w:lang w:eastAsia="zh-CN"/>
        </w:rPr>
        <w:t xml:space="preserve">) (2008). </w:t>
      </w:r>
      <w:r w:rsidRPr="00FA5AA0">
        <w:rPr>
          <w:rFonts w:asciiTheme="majorHAnsi" w:hAnsiTheme="majorHAnsi"/>
          <w:sz w:val="22"/>
          <w:szCs w:val="22"/>
          <w:lang w:eastAsia="zh-CN"/>
        </w:rPr>
        <w:t>西方多元文化教育与我国少数民族教育之比较</w:t>
      </w:r>
      <w:r w:rsidRPr="00FA5AA0">
        <w:rPr>
          <w:rFonts w:asciiTheme="majorHAnsi" w:hAnsiTheme="majorHAnsi"/>
          <w:sz w:val="22"/>
          <w:szCs w:val="22"/>
          <w:lang w:eastAsia="zh-CN"/>
        </w:rPr>
        <w:t xml:space="preserve">. </w:t>
      </w:r>
      <w:r w:rsidRPr="00FA5AA0">
        <w:rPr>
          <w:rFonts w:asciiTheme="majorHAnsi" w:hAnsiTheme="majorHAnsi"/>
          <w:sz w:val="22"/>
          <w:szCs w:val="22"/>
          <w:lang w:eastAsia="zh-CN"/>
        </w:rPr>
        <w:t>民族研究</w:t>
      </w:r>
      <w:r w:rsidRPr="00FA5AA0">
        <w:rPr>
          <w:rFonts w:asciiTheme="majorHAnsi" w:hAnsiTheme="majorHAnsi"/>
          <w:sz w:val="22"/>
          <w:szCs w:val="22"/>
          <w:lang w:eastAsia="zh-CN"/>
        </w:rPr>
        <w:t>, 6, 32-41.</w:t>
      </w:r>
    </w:p>
    <w:p w:rsidR="00FA5AA0" w:rsidRPr="00FA5AA0" w:rsidRDefault="00FA5AA0" w:rsidP="00627031">
      <w:pPr>
        <w:pStyle w:val="NormalIndent"/>
        <w:spacing w:line="240" w:lineRule="auto"/>
        <w:ind w:left="720" w:hanging="720"/>
        <w:contextualSpacing/>
        <w:rPr>
          <w:rFonts w:asciiTheme="majorHAnsi" w:hAnsiTheme="majorHAnsi"/>
          <w:sz w:val="22"/>
          <w:szCs w:val="22"/>
          <w:lang w:eastAsia="zh-CN"/>
        </w:rPr>
      </w:pPr>
      <w:r w:rsidRPr="00FA5AA0">
        <w:rPr>
          <w:rFonts w:asciiTheme="majorHAnsi" w:hAnsiTheme="majorHAnsi"/>
          <w:sz w:val="22"/>
          <w:szCs w:val="22"/>
          <w:lang w:eastAsia="zh-CN"/>
        </w:rPr>
        <w:t>王嘉毅</w:t>
      </w:r>
      <w:r w:rsidRPr="00FA5AA0">
        <w:rPr>
          <w:rFonts w:asciiTheme="majorHAnsi" w:hAnsiTheme="majorHAnsi"/>
          <w:sz w:val="22"/>
          <w:szCs w:val="22"/>
          <w:lang w:eastAsia="zh-CN"/>
        </w:rPr>
        <w:t xml:space="preserve"> (</w:t>
      </w:r>
      <w:r w:rsidRPr="00FA5AA0">
        <w:rPr>
          <w:rFonts w:asciiTheme="majorHAnsi" w:hAnsiTheme="majorHAnsi"/>
          <w:i/>
          <w:sz w:val="22"/>
          <w:szCs w:val="22"/>
          <w:lang w:eastAsia="zh-CN"/>
        </w:rPr>
        <w:t>Wang Jiayi</w:t>
      </w:r>
      <w:r w:rsidRPr="00FA5AA0">
        <w:rPr>
          <w:rFonts w:asciiTheme="majorHAnsi" w:hAnsiTheme="majorHAnsi"/>
          <w:sz w:val="22"/>
          <w:szCs w:val="22"/>
          <w:lang w:eastAsia="zh-CN"/>
        </w:rPr>
        <w:t xml:space="preserve">) (2006). </w:t>
      </w:r>
      <w:r w:rsidRPr="00FA5AA0">
        <w:rPr>
          <w:rFonts w:asciiTheme="majorHAnsi" w:hAnsiTheme="majorHAnsi"/>
          <w:sz w:val="22"/>
          <w:szCs w:val="22"/>
          <w:lang w:eastAsia="zh-CN"/>
        </w:rPr>
        <w:t>西北少数民族基础教育发展现状与对策研究</w:t>
      </w:r>
      <w:r w:rsidRPr="00FA5AA0">
        <w:rPr>
          <w:rFonts w:asciiTheme="majorHAnsi" w:hAnsiTheme="majorHAnsi"/>
          <w:sz w:val="22"/>
          <w:szCs w:val="22"/>
          <w:lang w:eastAsia="zh-CN"/>
        </w:rPr>
        <w:t xml:space="preserve">. </w:t>
      </w:r>
      <w:r w:rsidRPr="00FA5AA0">
        <w:rPr>
          <w:rFonts w:asciiTheme="majorHAnsi" w:hAnsiTheme="majorHAnsi"/>
          <w:sz w:val="22"/>
          <w:szCs w:val="22"/>
          <w:lang w:eastAsia="zh-CN"/>
        </w:rPr>
        <w:t>北京</w:t>
      </w:r>
      <w:r w:rsidRPr="00FA5AA0">
        <w:rPr>
          <w:rFonts w:asciiTheme="majorHAnsi" w:hAnsiTheme="majorHAnsi"/>
          <w:sz w:val="22"/>
          <w:szCs w:val="22"/>
          <w:lang w:eastAsia="zh-CN"/>
        </w:rPr>
        <w:t>:</w:t>
      </w:r>
      <w:r w:rsidRPr="00FA5AA0">
        <w:rPr>
          <w:rFonts w:asciiTheme="majorHAnsi" w:hAnsiTheme="majorHAnsi"/>
          <w:sz w:val="22"/>
          <w:szCs w:val="22"/>
          <w:lang w:eastAsia="zh-CN"/>
        </w:rPr>
        <w:t>民族出版社</w:t>
      </w:r>
      <w:r w:rsidRPr="00FA5AA0">
        <w:rPr>
          <w:rFonts w:asciiTheme="majorHAnsi" w:hAnsiTheme="majorHAnsi"/>
          <w:sz w:val="22"/>
          <w:szCs w:val="22"/>
          <w:lang w:eastAsia="zh-CN"/>
        </w:rPr>
        <w:t>.</w:t>
      </w:r>
    </w:p>
    <w:p w:rsidR="00FA5AA0" w:rsidRPr="00FA5AA0" w:rsidRDefault="00FA5AA0" w:rsidP="00627031">
      <w:pPr>
        <w:pStyle w:val="NormalIndent"/>
        <w:spacing w:line="240" w:lineRule="auto"/>
        <w:ind w:left="720" w:hanging="720"/>
        <w:contextualSpacing/>
        <w:rPr>
          <w:rFonts w:asciiTheme="majorHAnsi" w:hAnsiTheme="majorHAnsi"/>
          <w:sz w:val="22"/>
          <w:szCs w:val="22"/>
          <w:lang w:eastAsia="zh-CN"/>
        </w:rPr>
      </w:pPr>
      <w:r w:rsidRPr="00FA5AA0">
        <w:rPr>
          <w:rFonts w:asciiTheme="majorHAnsi" w:hAnsiTheme="majorHAnsi"/>
          <w:sz w:val="22"/>
          <w:szCs w:val="22"/>
          <w:lang w:eastAsia="zh-CN"/>
        </w:rPr>
        <w:t>王鉴</w:t>
      </w:r>
      <w:r w:rsidRPr="00FA5AA0">
        <w:rPr>
          <w:rFonts w:asciiTheme="majorHAnsi" w:hAnsiTheme="majorHAnsi"/>
          <w:sz w:val="22"/>
          <w:szCs w:val="22"/>
          <w:lang w:eastAsia="zh-CN"/>
        </w:rPr>
        <w:t xml:space="preserve"> (</w:t>
      </w:r>
      <w:r w:rsidRPr="00FA5AA0">
        <w:rPr>
          <w:rFonts w:asciiTheme="majorHAnsi" w:hAnsiTheme="majorHAnsi"/>
          <w:i/>
          <w:sz w:val="22"/>
          <w:szCs w:val="22"/>
          <w:lang w:eastAsia="zh-CN"/>
        </w:rPr>
        <w:t xml:space="preserve">Wang </w:t>
      </w:r>
      <w:proofErr w:type="spellStart"/>
      <w:r w:rsidRPr="00FA5AA0">
        <w:rPr>
          <w:rFonts w:asciiTheme="majorHAnsi" w:hAnsiTheme="majorHAnsi"/>
          <w:i/>
          <w:sz w:val="22"/>
          <w:szCs w:val="22"/>
          <w:lang w:eastAsia="zh-CN"/>
        </w:rPr>
        <w:t>Jian</w:t>
      </w:r>
      <w:proofErr w:type="spellEnd"/>
      <w:r w:rsidRPr="00FA5AA0">
        <w:rPr>
          <w:rFonts w:asciiTheme="majorHAnsi" w:hAnsiTheme="majorHAnsi"/>
          <w:sz w:val="22"/>
          <w:szCs w:val="22"/>
          <w:lang w:eastAsia="zh-CN"/>
        </w:rPr>
        <w:t xml:space="preserve">) (2003). </w:t>
      </w:r>
      <w:r w:rsidRPr="00FA5AA0">
        <w:rPr>
          <w:rFonts w:asciiTheme="majorHAnsi" w:hAnsiTheme="majorHAnsi"/>
          <w:sz w:val="22"/>
          <w:szCs w:val="22"/>
          <w:lang w:eastAsia="zh-CN"/>
        </w:rPr>
        <w:t>我国民族教育政策体系探讨</w:t>
      </w:r>
      <w:r w:rsidRPr="00FA5AA0">
        <w:rPr>
          <w:rFonts w:asciiTheme="majorHAnsi" w:hAnsiTheme="majorHAnsi"/>
          <w:sz w:val="22"/>
          <w:szCs w:val="22"/>
          <w:lang w:eastAsia="zh-CN"/>
        </w:rPr>
        <w:t xml:space="preserve">. </w:t>
      </w:r>
      <w:r w:rsidRPr="00FA5AA0">
        <w:rPr>
          <w:rFonts w:asciiTheme="majorHAnsi" w:hAnsiTheme="majorHAnsi"/>
          <w:sz w:val="22"/>
          <w:szCs w:val="22"/>
          <w:lang w:eastAsia="zh-CN"/>
        </w:rPr>
        <w:t>民族研究</w:t>
      </w:r>
      <w:r w:rsidRPr="00FA5AA0">
        <w:rPr>
          <w:rFonts w:asciiTheme="majorHAnsi" w:hAnsiTheme="majorHAnsi"/>
          <w:sz w:val="22"/>
          <w:szCs w:val="22"/>
          <w:lang w:eastAsia="zh-CN"/>
        </w:rPr>
        <w:t>, 6, 33-41.</w:t>
      </w:r>
    </w:p>
    <w:p w:rsidR="00FA5AA0" w:rsidRPr="00FA5AA0" w:rsidRDefault="00FA5AA0" w:rsidP="00627031">
      <w:pPr>
        <w:pStyle w:val="NormalIndent"/>
        <w:spacing w:line="240" w:lineRule="auto"/>
        <w:ind w:left="720" w:hanging="720"/>
        <w:contextualSpacing/>
        <w:rPr>
          <w:rFonts w:asciiTheme="majorHAnsi" w:hAnsiTheme="majorHAnsi"/>
          <w:sz w:val="22"/>
          <w:szCs w:val="22"/>
          <w:lang w:eastAsia="zh-CN"/>
        </w:rPr>
      </w:pPr>
      <w:r w:rsidRPr="00FA5AA0">
        <w:rPr>
          <w:rFonts w:asciiTheme="majorHAnsi" w:hAnsiTheme="majorHAnsi"/>
          <w:sz w:val="22"/>
          <w:szCs w:val="22"/>
          <w:lang w:eastAsia="zh-CN"/>
        </w:rPr>
        <w:t>王振岭</w:t>
      </w:r>
      <w:r w:rsidRPr="00FA5AA0">
        <w:rPr>
          <w:rFonts w:asciiTheme="majorHAnsi" w:hAnsiTheme="majorHAnsi"/>
          <w:sz w:val="22"/>
          <w:szCs w:val="22"/>
          <w:lang w:eastAsia="zh-CN"/>
        </w:rPr>
        <w:t>(</w:t>
      </w:r>
      <w:r w:rsidRPr="00FA5AA0">
        <w:rPr>
          <w:rFonts w:asciiTheme="majorHAnsi" w:hAnsiTheme="majorHAnsi"/>
          <w:i/>
          <w:sz w:val="22"/>
          <w:szCs w:val="22"/>
          <w:lang w:eastAsia="zh-CN"/>
        </w:rPr>
        <w:t xml:space="preserve">Wang </w:t>
      </w:r>
      <w:proofErr w:type="spellStart"/>
      <w:r w:rsidRPr="00FA5AA0">
        <w:rPr>
          <w:rFonts w:asciiTheme="majorHAnsi" w:hAnsiTheme="majorHAnsi"/>
          <w:i/>
          <w:sz w:val="22"/>
          <w:szCs w:val="22"/>
          <w:lang w:eastAsia="zh-CN"/>
        </w:rPr>
        <w:t>Zhenling</w:t>
      </w:r>
      <w:proofErr w:type="spellEnd"/>
      <w:r w:rsidRPr="00FA5AA0">
        <w:rPr>
          <w:rFonts w:asciiTheme="majorHAnsi" w:hAnsiTheme="majorHAnsi"/>
          <w:sz w:val="22"/>
          <w:szCs w:val="22"/>
          <w:lang w:eastAsia="zh-CN"/>
        </w:rPr>
        <w:t xml:space="preserve">) (1990). </w:t>
      </w:r>
      <w:r w:rsidRPr="00FA5AA0">
        <w:rPr>
          <w:rFonts w:asciiTheme="majorHAnsi" w:hAnsiTheme="majorHAnsi"/>
          <w:sz w:val="22"/>
          <w:szCs w:val="22"/>
          <w:lang w:eastAsia="zh-CN"/>
        </w:rPr>
        <w:t>发展藏族教育必须从实际出发</w:t>
      </w:r>
      <w:r w:rsidRPr="00FA5AA0">
        <w:rPr>
          <w:rFonts w:asciiTheme="majorHAnsi" w:hAnsiTheme="majorHAnsi"/>
          <w:sz w:val="22"/>
          <w:szCs w:val="22"/>
          <w:lang w:eastAsia="zh-CN"/>
        </w:rPr>
        <w:t xml:space="preserve"> </w:t>
      </w:r>
      <w:r w:rsidRPr="00FA5AA0">
        <w:rPr>
          <w:rFonts w:asciiTheme="majorHAnsi" w:hAnsiTheme="majorHAnsi"/>
          <w:sz w:val="22"/>
          <w:szCs w:val="22"/>
          <w:lang w:eastAsia="zh-CN"/>
        </w:rPr>
        <w:t>讲求实效</w:t>
      </w:r>
      <w:r w:rsidRPr="00FA5AA0">
        <w:rPr>
          <w:rFonts w:asciiTheme="majorHAnsi" w:hAnsiTheme="majorHAnsi"/>
          <w:sz w:val="22"/>
          <w:szCs w:val="22"/>
          <w:lang w:eastAsia="zh-CN"/>
        </w:rPr>
        <w:t>——</w:t>
      </w:r>
      <w:r w:rsidRPr="00FA5AA0">
        <w:rPr>
          <w:rFonts w:asciiTheme="majorHAnsi" w:hAnsiTheme="majorHAnsi"/>
          <w:sz w:val="22"/>
          <w:szCs w:val="22"/>
          <w:lang w:eastAsia="zh-CN"/>
        </w:rPr>
        <w:t>多玛县少数民族教育调查报告</w:t>
      </w:r>
      <w:r w:rsidRPr="00FA5AA0">
        <w:rPr>
          <w:rFonts w:asciiTheme="majorHAnsi" w:hAnsiTheme="majorHAnsi"/>
          <w:sz w:val="22"/>
          <w:szCs w:val="22"/>
          <w:lang w:eastAsia="zh-CN"/>
        </w:rPr>
        <w:t>, 1, 110-116.</w:t>
      </w:r>
    </w:p>
    <w:p w:rsidR="00FA5AA0" w:rsidRPr="00FA5AA0" w:rsidRDefault="00FA5AA0" w:rsidP="00627031">
      <w:pPr>
        <w:pStyle w:val="NormalIndent"/>
        <w:spacing w:line="240" w:lineRule="auto"/>
        <w:ind w:left="720" w:hanging="720"/>
        <w:contextualSpacing/>
        <w:rPr>
          <w:rFonts w:asciiTheme="majorHAnsi" w:hAnsiTheme="majorHAnsi"/>
          <w:sz w:val="22"/>
          <w:szCs w:val="22"/>
          <w:lang w:eastAsia="zh-CN"/>
        </w:rPr>
      </w:pPr>
      <w:r w:rsidRPr="00FA5AA0">
        <w:rPr>
          <w:rFonts w:asciiTheme="majorHAnsi" w:hAnsiTheme="majorHAnsi"/>
          <w:sz w:val="22"/>
          <w:szCs w:val="22"/>
          <w:lang w:eastAsia="zh-CN"/>
        </w:rPr>
        <w:t>西藏自治区统计局</w:t>
      </w:r>
      <w:r w:rsidRPr="00FA5AA0">
        <w:rPr>
          <w:rFonts w:asciiTheme="majorHAnsi" w:hAnsiTheme="majorHAnsi"/>
          <w:sz w:val="22"/>
          <w:szCs w:val="22"/>
          <w:lang w:eastAsia="zh-CN"/>
        </w:rPr>
        <w:t xml:space="preserve"> (Tibet Autonomous Region Bureau of Statistics) (1989). 1989:549</w:t>
      </w:r>
      <w:r w:rsidRPr="00FA5AA0">
        <w:rPr>
          <w:rFonts w:asciiTheme="majorHAnsi" w:hAnsiTheme="majorHAnsi"/>
          <w:sz w:val="22"/>
          <w:szCs w:val="22"/>
          <w:lang w:eastAsia="zh-CN"/>
        </w:rPr>
        <w:t>；</w:t>
      </w:r>
      <w:r w:rsidRPr="00FA5AA0">
        <w:rPr>
          <w:rFonts w:asciiTheme="majorHAnsi" w:hAnsiTheme="majorHAnsi"/>
          <w:sz w:val="22"/>
          <w:szCs w:val="22"/>
          <w:lang w:eastAsia="zh-CN"/>
        </w:rPr>
        <w:t>1991:396</w:t>
      </w:r>
    </w:p>
    <w:p w:rsidR="00FA5AA0" w:rsidRPr="00FA5AA0" w:rsidRDefault="00FA5AA0" w:rsidP="00627031">
      <w:pPr>
        <w:pStyle w:val="NormalIndent"/>
        <w:spacing w:line="240" w:lineRule="auto"/>
        <w:ind w:left="720" w:hanging="720"/>
        <w:contextualSpacing/>
        <w:rPr>
          <w:rFonts w:asciiTheme="majorHAnsi" w:hAnsiTheme="majorHAnsi"/>
          <w:sz w:val="22"/>
          <w:szCs w:val="22"/>
          <w:lang w:eastAsia="zh-CN"/>
        </w:rPr>
      </w:pPr>
      <w:r w:rsidRPr="00FA5AA0">
        <w:rPr>
          <w:rFonts w:asciiTheme="majorHAnsi" w:hAnsiTheme="majorHAnsi"/>
          <w:sz w:val="22"/>
          <w:szCs w:val="22"/>
          <w:lang w:eastAsia="zh-CN"/>
        </w:rPr>
        <w:t>夏仕武</w:t>
      </w:r>
      <w:r w:rsidRPr="00FA5AA0">
        <w:rPr>
          <w:rFonts w:asciiTheme="majorHAnsi" w:hAnsiTheme="majorHAnsi"/>
          <w:sz w:val="22"/>
          <w:szCs w:val="22"/>
          <w:lang w:eastAsia="zh-CN"/>
        </w:rPr>
        <w:t xml:space="preserve"> (</w:t>
      </w:r>
      <w:r w:rsidRPr="00FA5AA0">
        <w:rPr>
          <w:rFonts w:asciiTheme="majorHAnsi" w:hAnsiTheme="majorHAnsi"/>
          <w:i/>
          <w:sz w:val="22"/>
          <w:szCs w:val="22"/>
          <w:lang w:eastAsia="zh-CN"/>
        </w:rPr>
        <w:t xml:space="preserve">Xia </w:t>
      </w:r>
      <w:proofErr w:type="spellStart"/>
      <w:r w:rsidRPr="00FA5AA0">
        <w:rPr>
          <w:rFonts w:asciiTheme="majorHAnsi" w:hAnsiTheme="majorHAnsi"/>
          <w:i/>
          <w:sz w:val="22"/>
          <w:szCs w:val="22"/>
          <w:lang w:eastAsia="zh-CN"/>
        </w:rPr>
        <w:t>Shiwu</w:t>
      </w:r>
      <w:proofErr w:type="spellEnd"/>
      <w:r w:rsidRPr="00FA5AA0">
        <w:rPr>
          <w:rFonts w:asciiTheme="majorHAnsi" w:hAnsiTheme="majorHAnsi"/>
          <w:sz w:val="22"/>
          <w:szCs w:val="22"/>
          <w:lang w:eastAsia="zh-CN"/>
        </w:rPr>
        <w:t xml:space="preserve">) (2007). </w:t>
      </w:r>
      <w:r w:rsidRPr="00FA5AA0">
        <w:rPr>
          <w:rFonts w:asciiTheme="majorHAnsi" w:hAnsiTheme="majorHAnsi"/>
          <w:sz w:val="22"/>
          <w:szCs w:val="22"/>
          <w:lang w:eastAsia="zh-CN"/>
        </w:rPr>
        <w:t>中国少数民族教育</w:t>
      </w:r>
      <w:r w:rsidRPr="00FA5AA0">
        <w:rPr>
          <w:rFonts w:asciiTheme="majorHAnsi" w:hAnsiTheme="majorHAnsi"/>
          <w:sz w:val="22"/>
          <w:szCs w:val="22"/>
          <w:lang w:eastAsia="zh-CN"/>
        </w:rPr>
        <w:t>.</w:t>
      </w:r>
      <w:r w:rsidRPr="00FA5AA0">
        <w:rPr>
          <w:rFonts w:asciiTheme="majorHAnsi" w:hAnsiTheme="majorHAnsi"/>
          <w:sz w:val="22"/>
          <w:szCs w:val="22"/>
          <w:lang w:eastAsia="zh-CN"/>
        </w:rPr>
        <w:t>五洲传播出版社</w:t>
      </w:r>
      <w:r w:rsidRPr="00FA5AA0">
        <w:rPr>
          <w:rFonts w:asciiTheme="majorHAnsi" w:hAnsiTheme="majorHAnsi"/>
          <w:sz w:val="22"/>
          <w:szCs w:val="22"/>
          <w:lang w:eastAsia="zh-CN"/>
        </w:rPr>
        <w:t>.</w:t>
      </w:r>
    </w:p>
    <w:p w:rsidR="00FA5AA0" w:rsidRPr="00FA5AA0" w:rsidRDefault="00FA5AA0" w:rsidP="00627031">
      <w:pPr>
        <w:pStyle w:val="NormalIndent"/>
        <w:spacing w:line="240" w:lineRule="auto"/>
        <w:ind w:left="720" w:hanging="720"/>
        <w:contextualSpacing/>
        <w:rPr>
          <w:rFonts w:asciiTheme="majorHAnsi" w:hAnsiTheme="majorHAnsi"/>
          <w:sz w:val="22"/>
          <w:szCs w:val="22"/>
          <w:lang w:eastAsia="zh-CN"/>
        </w:rPr>
      </w:pPr>
      <w:r w:rsidRPr="00FA5AA0">
        <w:rPr>
          <w:rFonts w:asciiTheme="majorHAnsi" w:hAnsiTheme="majorHAnsi"/>
          <w:sz w:val="22"/>
          <w:szCs w:val="22"/>
          <w:lang w:eastAsia="zh-CN"/>
        </w:rPr>
        <w:t>许洁英</w:t>
      </w:r>
      <w:r w:rsidRPr="00FA5AA0">
        <w:rPr>
          <w:rFonts w:asciiTheme="majorHAnsi" w:hAnsiTheme="majorHAnsi"/>
          <w:sz w:val="22"/>
          <w:szCs w:val="22"/>
          <w:lang w:eastAsia="zh-CN"/>
        </w:rPr>
        <w:t xml:space="preserve"> (</w:t>
      </w:r>
      <w:proofErr w:type="spellStart"/>
      <w:r w:rsidRPr="00FA5AA0">
        <w:rPr>
          <w:rFonts w:asciiTheme="majorHAnsi" w:hAnsiTheme="majorHAnsi"/>
          <w:i/>
          <w:sz w:val="22"/>
          <w:szCs w:val="22"/>
          <w:lang w:eastAsia="zh-CN"/>
        </w:rPr>
        <w:t>Xu</w:t>
      </w:r>
      <w:proofErr w:type="spellEnd"/>
      <w:r w:rsidRPr="00FA5AA0">
        <w:rPr>
          <w:rFonts w:asciiTheme="majorHAnsi" w:hAnsiTheme="majorHAnsi"/>
          <w:i/>
          <w:sz w:val="22"/>
          <w:szCs w:val="22"/>
          <w:lang w:eastAsia="zh-CN"/>
        </w:rPr>
        <w:t xml:space="preserve"> </w:t>
      </w:r>
      <w:proofErr w:type="spellStart"/>
      <w:r w:rsidRPr="00FA5AA0">
        <w:rPr>
          <w:rFonts w:asciiTheme="majorHAnsi" w:hAnsiTheme="majorHAnsi"/>
          <w:i/>
          <w:sz w:val="22"/>
          <w:szCs w:val="22"/>
          <w:lang w:eastAsia="zh-CN"/>
        </w:rPr>
        <w:t>Jieying</w:t>
      </w:r>
      <w:proofErr w:type="spellEnd"/>
      <w:r w:rsidRPr="00FA5AA0">
        <w:rPr>
          <w:rFonts w:asciiTheme="majorHAnsi" w:hAnsiTheme="majorHAnsi"/>
          <w:sz w:val="22"/>
          <w:szCs w:val="22"/>
          <w:lang w:eastAsia="zh-CN"/>
        </w:rPr>
        <w:t xml:space="preserve">) (2009). </w:t>
      </w:r>
      <w:r w:rsidRPr="00FA5AA0">
        <w:rPr>
          <w:rFonts w:asciiTheme="majorHAnsi" w:hAnsiTheme="majorHAnsi"/>
          <w:sz w:val="22"/>
          <w:szCs w:val="22"/>
          <w:lang w:eastAsia="zh-CN"/>
        </w:rPr>
        <w:t>加快少数民族教育发展</w:t>
      </w:r>
      <w:r w:rsidRPr="00FA5AA0">
        <w:rPr>
          <w:rFonts w:asciiTheme="majorHAnsi" w:hAnsiTheme="majorHAnsi"/>
          <w:sz w:val="22"/>
          <w:szCs w:val="22"/>
          <w:lang w:eastAsia="zh-CN"/>
        </w:rPr>
        <w:t>,</w:t>
      </w:r>
      <w:r w:rsidRPr="00FA5AA0">
        <w:rPr>
          <w:rFonts w:asciiTheme="majorHAnsi" w:hAnsiTheme="majorHAnsi"/>
          <w:sz w:val="22"/>
          <w:szCs w:val="22"/>
          <w:lang w:eastAsia="zh-CN"/>
        </w:rPr>
        <w:t>切实促进教育公平</w:t>
      </w:r>
      <w:r w:rsidRPr="00FA5AA0">
        <w:rPr>
          <w:rFonts w:asciiTheme="majorHAnsi" w:hAnsiTheme="majorHAnsi"/>
          <w:sz w:val="22"/>
          <w:szCs w:val="22"/>
          <w:lang w:eastAsia="zh-CN"/>
        </w:rPr>
        <w:t>.</w:t>
      </w:r>
      <w:r w:rsidRPr="00FA5AA0">
        <w:rPr>
          <w:rFonts w:asciiTheme="majorHAnsi" w:hAnsiTheme="majorHAnsi"/>
          <w:sz w:val="22"/>
          <w:szCs w:val="22"/>
          <w:lang w:eastAsia="zh-CN"/>
        </w:rPr>
        <w:t>西北师范大学学报</w:t>
      </w:r>
      <w:r w:rsidRPr="00FA5AA0">
        <w:rPr>
          <w:rFonts w:asciiTheme="majorHAnsi" w:hAnsiTheme="majorHAnsi"/>
          <w:sz w:val="22"/>
          <w:szCs w:val="22"/>
          <w:lang w:eastAsia="zh-CN"/>
        </w:rPr>
        <w:t>, 46(1), 75-78.</w:t>
      </w:r>
    </w:p>
    <w:p w:rsidR="00FA5AA0" w:rsidRPr="00FA5AA0" w:rsidRDefault="00FA5AA0" w:rsidP="00627031">
      <w:pPr>
        <w:pStyle w:val="NormalIndent"/>
        <w:spacing w:line="240" w:lineRule="auto"/>
        <w:ind w:left="720" w:hanging="720"/>
        <w:contextualSpacing/>
        <w:rPr>
          <w:rFonts w:asciiTheme="majorHAnsi" w:hAnsiTheme="majorHAnsi"/>
          <w:sz w:val="22"/>
          <w:szCs w:val="22"/>
          <w:lang w:eastAsia="zh-CN"/>
        </w:rPr>
      </w:pPr>
      <w:r w:rsidRPr="00FA5AA0">
        <w:rPr>
          <w:rFonts w:asciiTheme="majorHAnsi" w:hAnsiTheme="majorHAnsi"/>
          <w:sz w:val="22"/>
          <w:szCs w:val="22"/>
          <w:lang w:eastAsia="zh-CN"/>
        </w:rPr>
        <w:t>杨军</w:t>
      </w:r>
      <w:r w:rsidRPr="00FA5AA0">
        <w:rPr>
          <w:rFonts w:asciiTheme="majorHAnsi" w:hAnsiTheme="majorHAnsi"/>
          <w:sz w:val="22"/>
          <w:szCs w:val="22"/>
          <w:lang w:eastAsia="zh-CN"/>
        </w:rPr>
        <w:t xml:space="preserve"> (</w:t>
      </w:r>
      <w:r w:rsidRPr="00FA5AA0">
        <w:rPr>
          <w:rFonts w:asciiTheme="majorHAnsi" w:hAnsiTheme="majorHAnsi"/>
          <w:i/>
          <w:sz w:val="22"/>
          <w:szCs w:val="22"/>
          <w:lang w:eastAsia="zh-CN"/>
        </w:rPr>
        <w:t>Yang Jun</w:t>
      </w:r>
      <w:r w:rsidRPr="00FA5AA0">
        <w:rPr>
          <w:rFonts w:asciiTheme="majorHAnsi" w:hAnsiTheme="majorHAnsi"/>
          <w:sz w:val="22"/>
          <w:szCs w:val="22"/>
          <w:lang w:eastAsia="zh-CN"/>
        </w:rPr>
        <w:t xml:space="preserve">) (2006). </w:t>
      </w:r>
      <w:r w:rsidRPr="00FA5AA0">
        <w:rPr>
          <w:rFonts w:asciiTheme="majorHAnsi" w:hAnsiTheme="majorHAnsi"/>
          <w:sz w:val="22"/>
          <w:szCs w:val="22"/>
          <w:lang w:eastAsia="zh-CN"/>
        </w:rPr>
        <w:t>西北少数民族地区基础教育均衡发展研究</w:t>
      </w:r>
      <w:r w:rsidRPr="00FA5AA0">
        <w:rPr>
          <w:rFonts w:asciiTheme="majorHAnsi" w:hAnsiTheme="majorHAnsi"/>
          <w:sz w:val="22"/>
          <w:szCs w:val="22"/>
          <w:lang w:eastAsia="zh-CN"/>
        </w:rPr>
        <w:t xml:space="preserve">. </w:t>
      </w:r>
      <w:r w:rsidRPr="00FA5AA0">
        <w:rPr>
          <w:rFonts w:asciiTheme="majorHAnsi" w:hAnsiTheme="majorHAnsi"/>
          <w:sz w:val="22"/>
          <w:szCs w:val="22"/>
          <w:lang w:eastAsia="zh-CN"/>
        </w:rPr>
        <w:t>民族出版社</w:t>
      </w:r>
      <w:r w:rsidRPr="00FA5AA0">
        <w:rPr>
          <w:rFonts w:asciiTheme="majorHAnsi" w:hAnsiTheme="majorHAnsi"/>
          <w:sz w:val="22"/>
          <w:szCs w:val="22"/>
          <w:lang w:eastAsia="zh-CN"/>
        </w:rPr>
        <w:t>.</w:t>
      </w:r>
    </w:p>
    <w:p w:rsidR="00FA5AA0" w:rsidRPr="00FA5AA0" w:rsidRDefault="00FA5AA0" w:rsidP="00627031">
      <w:pPr>
        <w:pStyle w:val="NormalIndent"/>
        <w:spacing w:line="240" w:lineRule="auto"/>
        <w:ind w:left="720" w:hanging="720"/>
        <w:contextualSpacing/>
        <w:rPr>
          <w:rFonts w:asciiTheme="majorHAnsi" w:hAnsiTheme="majorHAnsi"/>
          <w:sz w:val="22"/>
          <w:szCs w:val="22"/>
          <w:lang w:eastAsia="zh-CN"/>
        </w:rPr>
      </w:pPr>
      <w:r w:rsidRPr="00FA5AA0">
        <w:rPr>
          <w:rFonts w:asciiTheme="majorHAnsi" w:hAnsiTheme="majorHAnsi"/>
          <w:sz w:val="22"/>
          <w:szCs w:val="22"/>
          <w:lang w:eastAsia="zh-CN"/>
        </w:rPr>
        <w:t>于洪武</w:t>
      </w:r>
      <w:r w:rsidRPr="00FA5AA0">
        <w:rPr>
          <w:rFonts w:asciiTheme="majorHAnsi" w:hAnsiTheme="majorHAnsi"/>
          <w:sz w:val="22"/>
          <w:szCs w:val="22"/>
          <w:lang w:eastAsia="zh-CN"/>
        </w:rPr>
        <w:t xml:space="preserve"> (</w:t>
      </w:r>
      <w:r w:rsidRPr="00FA5AA0">
        <w:rPr>
          <w:rFonts w:asciiTheme="majorHAnsi" w:hAnsiTheme="majorHAnsi"/>
          <w:i/>
          <w:sz w:val="22"/>
          <w:szCs w:val="22"/>
          <w:lang w:eastAsia="zh-CN"/>
        </w:rPr>
        <w:t xml:space="preserve">Yu </w:t>
      </w:r>
      <w:proofErr w:type="spellStart"/>
      <w:r w:rsidRPr="00FA5AA0">
        <w:rPr>
          <w:rFonts w:asciiTheme="majorHAnsi" w:hAnsiTheme="majorHAnsi"/>
          <w:i/>
          <w:sz w:val="22"/>
          <w:szCs w:val="22"/>
          <w:lang w:eastAsia="zh-CN"/>
        </w:rPr>
        <w:t>Hongwu</w:t>
      </w:r>
      <w:proofErr w:type="spellEnd"/>
      <w:r w:rsidRPr="00FA5AA0">
        <w:rPr>
          <w:rFonts w:asciiTheme="majorHAnsi" w:hAnsiTheme="majorHAnsi"/>
          <w:sz w:val="22"/>
          <w:szCs w:val="22"/>
          <w:lang w:eastAsia="zh-CN"/>
        </w:rPr>
        <w:t xml:space="preserve">) (2010). </w:t>
      </w:r>
      <w:r w:rsidRPr="00FA5AA0">
        <w:rPr>
          <w:rFonts w:asciiTheme="majorHAnsi" w:hAnsiTheme="majorHAnsi"/>
          <w:sz w:val="22"/>
          <w:szCs w:val="22"/>
          <w:lang w:eastAsia="zh-CN"/>
        </w:rPr>
        <w:t>民族教育科研成果资料选编</w:t>
      </w:r>
      <w:r w:rsidRPr="00FA5AA0">
        <w:rPr>
          <w:rFonts w:asciiTheme="majorHAnsi" w:hAnsiTheme="majorHAnsi"/>
          <w:sz w:val="22"/>
          <w:szCs w:val="22"/>
          <w:lang w:eastAsia="zh-CN"/>
        </w:rPr>
        <w:t xml:space="preserve">. </w:t>
      </w:r>
      <w:r w:rsidRPr="00FA5AA0">
        <w:rPr>
          <w:rFonts w:asciiTheme="majorHAnsi" w:hAnsiTheme="majorHAnsi"/>
          <w:sz w:val="22"/>
          <w:szCs w:val="22"/>
          <w:lang w:eastAsia="zh-CN"/>
        </w:rPr>
        <w:t>北京</w:t>
      </w:r>
      <w:r w:rsidRPr="00FA5AA0">
        <w:rPr>
          <w:rFonts w:asciiTheme="majorHAnsi" w:hAnsiTheme="majorHAnsi"/>
          <w:sz w:val="22"/>
          <w:szCs w:val="22"/>
          <w:lang w:eastAsia="zh-CN"/>
        </w:rPr>
        <w:t>:</w:t>
      </w:r>
      <w:r w:rsidRPr="00FA5AA0">
        <w:rPr>
          <w:rFonts w:asciiTheme="majorHAnsi" w:hAnsiTheme="majorHAnsi"/>
          <w:sz w:val="22"/>
          <w:szCs w:val="22"/>
          <w:lang w:eastAsia="zh-CN"/>
        </w:rPr>
        <w:t>民族出版社</w:t>
      </w:r>
      <w:r w:rsidRPr="00FA5AA0">
        <w:rPr>
          <w:rFonts w:asciiTheme="majorHAnsi" w:hAnsiTheme="majorHAnsi"/>
          <w:sz w:val="22"/>
          <w:szCs w:val="22"/>
          <w:lang w:eastAsia="zh-CN"/>
        </w:rPr>
        <w:t>.</w:t>
      </w:r>
    </w:p>
    <w:p w:rsidR="00FA5AA0" w:rsidRPr="00FA5AA0" w:rsidRDefault="00FA5AA0" w:rsidP="00627031">
      <w:pPr>
        <w:pStyle w:val="NormalIndent"/>
        <w:spacing w:line="240" w:lineRule="auto"/>
        <w:ind w:left="720" w:hanging="720"/>
        <w:contextualSpacing/>
        <w:rPr>
          <w:rFonts w:asciiTheme="majorHAnsi" w:hAnsiTheme="majorHAnsi"/>
          <w:sz w:val="22"/>
          <w:szCs w:val="22"/>
          <w:lang w:eastAsia="zh-CN"/>
        </w:rPr>
      </w:pPr>
      <w:r w:rsidRPr="00FA5AA0">
        <w:rPr>
          <w:rFonts w:asciiTheme="majorHAnsi" w:hAnsiTheme="majorHAnsi"/>
          <w:sz w:val="22"/>
          <w:szCs w:val="22"/>
          <w:lang w:eastAsia="zh-CN"/>
        </w:rPr>
        <w:t>袁同凯</w:t>
      </w:r>
      <w:r w:rsidRPr="00FA5AA0">
        <w:rPr>
          <w:rFonts w:asciiTheme="majorHAnsi" w:hAnsiTheme="majorHAnsi"/>
          <w:sz w:val="22"/>
          <w:szCs w:val="22"/>
          <w:lang w:eastAsia="zh-CN"/>
        </w:rPr>
        <w:t xml:space="preserve"> (</w:t>
      </w:r>
      <w:r w:rsidRPr="00FA5AA0">
        <w:rPr>
          <w:rFonts w:asciiTheme="majorHAnsi" w:hAnsiTheme="majorHAnsi"/>
          <w:i/>
          <w:sz w:val="22"/>
          <w:szCs w:val="22"/>
          <w:lang w:eastAsia="zh-CN"/>
        </w:rPr>
        <w:t xml:space="preserve">Yuan </w:t>
      </w:r>
      <w:proofErr w:type="spellStart"/>
      <w:r w:rsidRPr="00FA5AA0">
        <w:rPr>
          <w:rFonts w:asciiTheme="majorHAnsi" w:hAnsiTheme="majorHAnsi"/>
          <w:i/>
          <w:sz w:val="22"/>
          <w:szCs w:val="22"/>
          <w:lang w:eastAsia="zh-CN"/>
        </w:rPr>
        <w:t>Tongkai</w:t>
      </w:r>
      <w:proofErr w:type="spellEnd"/>
      <w:r w:rsidRPr="00FA5AA0">
        <w:rPr>
          <w:rFonts w:asciiTheme="majorHAnsi" w:hAnsiTheme="majorHAnsi"/>
          <w:sz w:val="22"/>
          <w:szCs w:val="22"/>
          <w:lang w:eastAsia="zh-CN"/>
        </w:rPr>
        <w:t xml:space="preserve">) (2004). </w:t>
      </w:r>
      <w:r w:rsidRPr="00FA5AA0">
        <w:rPr>
          <w:rFonts w:asciiTheme="majorHAnsi" w:hAnsiTheme="majorHAnsi"/>
          <w:sz w:val="22"/>
          <w:szCs w:val="22"/>
          <w:lang w:eastAsia="zh-CN"/>
        </w:rPr>
        <w:t>走进竹篱教室</w:t>
      </w:r>
      <w:r w:rsidRPr="00FA5AA0">
        <w:rPr>
          <w:rFonts w:asciiTheme="majorHAnsi" w:hAnsiTheme="majorHAnsi"/>
          <w:sz w:val="22"/>
          <w:szCs w:val="22"/>
          <w:lang w:eastAsia="zh-CN"/>
        </w:rPr>
        <w:t xml:space="preserve">: </w:t>
      </w:r>
      <w:r w:rsidRPr="00FA5AA0">
        <w:rPr>
          <w:rFonts w:asciiTheme="majorHAnsi" w:hAnsiTheme="majorHAnsi"/>
          <w:sz w:val="22"/>
          <w:szCs w:val="22"/>
          <w:lang w:eastAsia="zh-CN"/>
        </w:rPr>
        <w:t>土瑶学校教育的民族志研究</w:t>
      </w:r>
      <w:r w:rsidRPr="00FA5AA0">
        <w:rPr>
          <w:rFonts w:asciiTheme="majorHAnsi" w:hAnsiTheme="majorHAnsi"/>
          <w:sz w:val="22"/>
          <w:szCs w:val="22"/>
          <w:lang w:eastAsia="zh-CN"/>
        </w:rPr>
        <w:t>.</w:t>
      </w:r>
      <w:r w:rsidRPr="00FA5AA0">
        <w:rPr>
          <w:rFonts w:asciiTheme="majorHAnsi" w:hAnsiTheme="majorHAnsi"/>
          <w:sz w:val="22"/>
          <w:szCs w:val="22"/>
          <w:lang w:eastAsia="zh-CN"/>
        </w:rPr>
        <w:t>天津</w:t>
      </w:r>
      <w:r w:rsidRPr="00FA5AA0">
        <w:rPr>
          <w:rFonts w:asciiTheme="majorHAnsi" w:hAnsiTheme="majorHAnsi"/>
          <w:sz w:val="22"/>
          <w:szCs w:val="22"/>
          <w:lang w:eastAsia="zh-CN"/>
        </w:rPr>
        <w:t xml:space="preserve">: </w:t>
      </w:r>
      <w:r w:rsidRPr="00FA5AA0">
        <w:rPr>
          <w:rFonts w:asciiTheme="majorHAnsi" w:hAnsiTheme="majorHAnsi"/>
          <w:sz w:val="22"/>
          <w:szCs w:val="22"/>
          <w:lang w:eastAsia="zh-CN"/>
        </w:rPr>
        <w:t>天津人民出版社</w:t>
      </w:r>
      <w:r w:rsidRPr="00FA5AA0">
        <w:rPr>
          <w:rFonts w:asciiTheme="majorHAnsi" w:hAnsiTheme="majorHAnsi"/>
          <w:sz w:val="22"/>
          <w:szCs w:val="22"/>
          <w:lang w:eastAsia="zh-CN"/>
        </w:rPr>
        <w:t>.</w:t>
      </w:r>
    </w:p>
    <w:p w:rsidR="00FA5AA0" w:rsidRPr="00FA5AA0" w:rsidRDefault="00FA5AA0" w:rsidP="00627031">
      <w:pPr>
        <w:pStyle w:val="NormalIndent"/>
        <w:spacing w:line="240" w:lineRule="auto"/>
        <w:ind w:left="720" w:hanging="720"/>
        <w:contextualSpacing/>
        <w:rPr>
          <w:rFonts w:asciiTheme="majorHAnsi" w:hAnsiTheme="majorHAnsi"/>
          <w:sz w:val="22"/>
          <w:szCs w:val="22"/>
          <w:lang w:eastAsia="zh-CN"/>
        </w:rPr>
      </w:pPr>
      <w:r w:rsidRPr="00FA5AA0">
        <w:rPr>
          <w:rFonts w:asciiTheme="majorHAnsi" w:hAnsiTheme="majorHAnsi"/>
          <w:sz w:val="22"/>
          <w:szCs w:val="22"/>
          <w:lang w:eastAsia="zh-CN"/>
        </w:rPr>
        <w:t>张善鑫、刘旭东</w:t>
      </w:r>
      <w:r w:rsidRPr="00FA5AA0">
        <w:rPr>
          <w:rFonts w:asciiTheme="majorHAnsi" w:hAnsiTheme="majorHAnsi"/>
          <w:sz w:val="22"/>
          <w:szCs w:val="22"/>
          <w:lang w:eastAsia="zh-CN"/>
        </w:rPr>
        <w:t xml:space="preserve"> (</w:t>
      </w:r>
      <w:r w:rsidRPr="00FA5AA0">
        <w:rPr>
          <w:rFonts w:asciiTheme="majorHAnsi" w:hAnsiTheme="majorHAnsi"/>
          <w:i/>
          <w:sz w:val="22"/>
          <w:szCs w:val="22"/>
          <w:lang w:eastAsia="zh-CN"/>
        </w:rPr>
        <w:t xml:space="preserve">Zhang </w:t>
      </w:r>
      <w:proofErr w:type="spellStart"/>
      <w:r w:rsidRPr="00FA5AA0">
        <w:rPr>
          <w:rFonts w:asciiTheme="majorHAnsi" w:hAnsiTheme="majorHAnsi"/>
          <w:i/>
          <w:sz w:val="22"/>
          <w:szCs w:val="22"/>
          <w:lang w:eastAsia="zh-CN"/>
        </w:rPr>
        <w:t>Shanxin</w:t>
      </w:r>
      <w:proofErr w:type="spellEnd"/>
      <w:r w:rsidRPr="00FA5AA0">
        <w:rPr>
          <w:rFonts w:asciiTheme="majorHAnsi" w:hAnsiTheme="majorHAnsi"/>
          <w:i/>
          <w:sz w:val="22"/>
          <w:szCs w:val="22"/>
          <w:lang w:eastAsia="zh-CN"/>
        </w:rPr>
        <w:t xml:space="preserve">, Liu </w:t>
      </w:r>
      <w:proofErr w:type="spellStart"/>
      <w:r w:rsidRPr="00FA5AA0">
        <w:rPr>
          <w:rFonts w:asciiTheme="majorHAnsi" w:hAnsiTheme="majorHAnsi"/>
          <w:i/>
          <w:sz w:val="22"/>
          <w:szCs w:val="22"/>
          <w:lang w:eastAsia="zh-CN"/>
        </w:rPr>
        <w:t>Xudong</w:t>
      </w:r>
      <w:proofErr w:type="spellEnd"/>
      <w:r w:rsidRPr="00FA5AA0">
        <w:rPr>
          <w:rFonts w:asciiTheme="majorHAnsi" w:hAnsiTheme="majorHAnsi"/>
          <w:sz w:val="22"/>
          <w:szCs w:val="22"/>
          <w:lang w:eastAsia="zh-CN"/>
        </w:rPr>
        <w:t xml:space="preserve">) (2010). </w:t>
      </w:r>
      <w:r w:rsidRPr="00FA5AA0">
        <w:rPr>
          <w:rFonts w:asciiTheme="majorHAnsi" w:hAnsiTheme="majorHAnsi"/>
          <w:sz w:val="22"/>
          <w:szCs w:val="22"/>
          <w:lang w:eastAsia="zh-CN"/>
        </w:rPr>
        <w:t>少数民族教育公平问题探析</w:t>
      </w:r>
      <w:r w:rsidRPr="00FA5AA0">
        <w:rPr>
          <w:rFonts w:asciiTheme="majorHAnsi" w:hAnsiTheme="majorHAnsi"/>
          <w:sz w:val="22"/>
          <w:szCs w:val="22"/>
          <w:lang w:eastAsia="zh-CN"/>
        </w:rPr>
        <w:t>——</w:t>
      </w:r>
      <w:r w:rsidRPr="00FA5AA0">
        <w:rPr>
          <w:rFonts w:asciiTheme="majorHAnsi" w:hAnsiTheme="majorHAnsi"/>
          <w:sz w:val="22"/>
          <w:szCs w:val="22"/>
          <w:lang w:eastAsia="zh-CN"/>
        </w:rPr>
        <w:t>一位校长的教育人类学口述研究</w:t>
      </w:r>
      <w:r w:rsidRPr="00FA5AA0">
        <w:rPr>
          <w:rFonts w:asciiTheme="majorHAnsi" w:hAnsiTheme="majorHAnsi"/>
          <w:sz w:val="22"/>
          <w:szCs w:val="22"/>
          <w:lang w:eastAsia="zh-CN"/>
        </w:rPr>
        <w:t>.</w:t>
      </w:r>
      <w:r w:rsidRPr="00FA5AA0">
        <w:rPr>
          <w:rFonts w:asciiTheme="majorHAnsi" w:hAnsiTheme="majorHAnsi"/>
          <w:sz w:val="22"/>
          <w:szCs w:val="22"/>
          <w:lang w:eastAsia="zh-CN"/>
        </w:rPr>
        <w:t>当代教育与文化</w:t>
      </w:r>
      <w:r w:rsidRPr="00FA5AA0">
        <w:rPr>
          <w:rFonts w:asciiTheme="majorHAnsi" w:hAnsiTheme="majorHAnsi"/>
          <w:sz w:val="22"/>
          <w:szCs w:val="22"/>
          <w:lang w:eastAsia="zh-CN"/>
        </w:rPr>
        <w:t>.</w:t>
      </w:r>
    </w:p>
    <w:p w:rsidR="00FA5AA0" w:rsidRPr="00FA5AA0" w:rsidRDefault="00FA5AA0" w:rsidP="00627031">
      <w:pPr>
        <w:pStyle w:val="NormalIndent"/>
        <w:spacing w:line="240" w:lineRule="auto"/>
        <w:ind w:left="720" w:hanging="720"/>
        <w:contextualSpacing/>
        <w:rPr>
          <w:rFonts w:asciiTheme="majorHAnsi" w:hAnsiTheme="majorHAnsi"/>
          <w:sz w:val="22"/>
          <w:szCs w:val="22"/>
          <w:lang w:eastAsia="zh-CN"/>
        </w:rPr>
      </w:pPr>
      <w:r w:rsidRPr="00FA5AA0">
        <w:rPr>
          <w:rFonts w:asciiTheme="majorHAnsi" w:hAnsiTheme="majorHAnsi"/>
          <w:sz w:val="22"/>
          <w:szCs w:val="22"/>
          <w:lang w:eastAsia="zh-CN"/>
        </w:rPr>
        <w:t>赵明仁</w:t>
      </w:r>
      <w:r w:rsidRPr="00FA5AA0">
        <w:rPr>
          <w:rFonts w:asciiTheme="majorHAnsi" w:hAnsiTheme="majorHAnsi"/>
          <w:sz w:val="22"/>
          <w:szCs w:val="22"/>
          <w:lang w:eastAsia="zh-CN"/>
        </w:rPr>
        <w:t xml:space="preserve"> (</w:t>
      </w:r>
      <w:r w:rsidRPr="00FA5AA0">
        <w:rPr>
          <w:rFonts w:asciiTheme="majorHAnsi" w:hAnsiTheme="majorHAnsi"/>
          <w:i/>
          <w:sz w:val="22"/>
          <w:szCs w:val="22"/>
          <w:lang w:eastAsia="zh-CN"/>
        </w:rPr>
        <w:t xml:space="preserve">Zhao </w:t>
      </w:r>
      <w:proofErr w:type="spellStart"/>
      <w:r w:rsidRPr="00FA5AA0">
        <w:rPr>
          <w:rFonts w:asciiTheme="majorHAnsi" w:hAnsiTheme="majorHAnsi"/>
          <w:i/>
          <w:sz w:val="22"/>
          <w:szCs w:val="22"/>
          <w:lang w:eastAsia="zh-CN"/>
        </w:rPr>
        <w:t>Mingren</w:t>
      </w:r>
      <w:proofErr w:type="spellEnd"/>
      <w:r w:rsidRPr="00FA5AA0">
        <w:rPr>
          <w:rFonts w:asciiTheme="majorHAnsi" w:hAnsiTheme="majorHAnsi"/>
          <w:sz w:val="22"/>
          <w:szCs w:val="22"/>
          <w:lang w:eastAsia="zh-CN"/>
        </w:rPr>
        <w:t xml:space="preserve">) (2010). </w:t>
      </w:r>
      <w:r w:rsidRPr="00FA5AA0">
        <w:rPr>
          <w:rFonts w:asciiTheme="majorHAnsi" w:hAnsiTheme="majorHAnsi"/>
          <w:sz w:val="22"/>
          <w:szCs w:val="22"/>
          <w:lang w:eastAsia="zh-CN"/>
        </w:rPr>
        <w:t>甘肃省中小学教师队伍建设及管理调研报告</w:t>
      </w:r>
      <w:r w:rsidRPr="00FA5AA0">
        <w:rPr>
          <w:rFonts w:asciiTheme="majorHAnsi" w:hAnsiTheme="majorHAnsi"/>
          <w:sz w:val="22"/>
          <w:szCs w:val="22"/>
          <w:lang w:eastAsia="zh-CN"/>
        </w:rPr>
        <w:t>.</w:t>
      </w:r>
      <w:r w:rsidRPr="00FA5AA0">
        <w:rPr>
          <w:rFonts w:asciiTheme="majorHAnsi" w:hAnsiTheme="majorHAnsi"/>
          <w:sz w:val="22"/>
          <w:szCs w:val="22"/>
          <w:lang w:eastAsia="zh-CN"/>
        </w:rPr>
        <w:t>未发表</w:t>
      </w:r>
      <w:r w:rsidRPr="00FA5AA0">
        <w:rPr>
          <w:rFonts w:asciiTheme="majorHAnsi" w:hAnsiTheme="majorHAnsi"/>
          <w:sz w:val="22"/>
          <w:szCs w:val="22"/>
          <w:lang w:eastAsia="zh-CN"/>
        </w:rPr>
        <w:t>.</w:t>
      </w:r>
    </w:p>
    <w:p w:rsidR="00FA5AA0" w:rsidRPr="00FA5AA0" w:rsidRDefault="00FA5AA0" w:rsidP="00627031">
      <w:pPr>
        <w:pStyle w:val="NormalIndent"/>
        <w:spacing w:line="240" w:lineRule="auto"/>
        <w:ind w:left="720" w:hanging="720"/>
        <w:contextualSpacing/>
        <w:rPr>
          <w:rFonts w:asciiTheme="majorHAnsi" w:hAnsiTheme="majorHAnsi"/>
          <w:sz w:val="22"/>
          <w:szCs w:val="22"/>
          <w:lang w:eastAsia="zh-CN"/>
        </w:rPr>
      </w:pPr>
      <w:r w:rsidRPr="00FA5AA0">
        <w:rPr>
          <w:rFonts w:asciiTheme="majorHAnsi" w:hAnsiTheme="majorHAnsi"/>
          <w:sz w:val="22"/>
          <w:szCs w:val="22"/>
          <w:lang w:eastAsia="zh-CN"/>
        </w:rPr>
        <w:t>中央统战部办公厅、教育部办公厅、西藏自治区人民政府办公厅</w:t>
      </w:r>
      <w:r w:rsidRPr="00FA5AA0">
        <w:rPr>
          <w:rFonts w:asciiTheme="majorHAnsi" w:hAnsiTheme="majorHAnsi"/>
          <w:sz w:val="22"/>
          <w:szCs w:val="22"/>
          <w:lang w:eastAsia="zh-CN"/>
        </w:rPr>
        <w:t xml:space="preserve"> (</w:t>
      </w:r>
      <w:r w:rsidRPr="00FA5AA0">
        <w:rPr>
          <w:rFonts w:asciiTheme="majorHAnsi" w:hAnsiTheme="majorHAnsi"/>
          <w:sz w:val="22"/>
          <w:szCs w:val="22"/>
        </w:rPr>
        <w:t>Ministry of Education, the General Office of Tibet Autonomous Region People's Government</w:t>
      </w:r>
      <w:r w:rsidRPr="00FA5AA0">
        <w:rPr>
          <w:rFonts w:asciiTheme="majorHAnsi" w:hAnsiTheme="majorHAnsi"/>
          <w:sz w:val="22"/>
          <w:szCs w:val="22"/>
          <w:lang w:eastAsia="zh-CN"/>
        </w:rPr>
        <w:t xml:space="preserve">) (2007). </w:t>
      </w:r>
      <w:r w:rsidRPr="00FA5AA0">
        <w:rPr>
          <w:rFonts w:asciiTheme="majorHAnsi" w:hAnsiTheme="majorHAnsi"/>
          <w:sz w:val="22"/>
          <w:szCs w:val="22"/>
          <w:lang w:eastAsia="zh-CN"/>
        </w:rPr>
        <w:t>全国内地西藏班办学和教育援藏工作会议纪要</w:t>
      </w:r>
      <w:r w:rsidRPr="00FA5AA0">
        <w:rPr>
          <w:rFonts w:asciiTheme="majorHAnsi" w:hAnsiTheme="majorHAnsi"/>
          <w:sz w:val="22"/>
          <w:szCs w:val="22"/>
          <w:lang w:eastAsia="zh-CN"/>
        </w:rPr>
        <w:t>.</w:t>
      </w:r>
      <w:r w:rsidRPr="00FA5AA0">
        <w:rPr>
          <w:rFonts w:asciiTheme="majorHAnsi" w:hAnsiTheme="majorHAnsi"/>
          <w:sz w:val="22"/>
          <w:szCs w:val="22"/>
          <w:lang w:eastAsia="zh-CN"/>
        </w:rPr>
        <w:t>中华人民共和国教育部网站</w:t>
      </w:r>
      <w:proofErr w:type="gramStart"/>
      <w:r w:rsidRPr="00FA5AA0">
        <w:rPr>
          <w:rFonts w:asciiTheme="majorHAnsi" w:hAnsiTheme="majorHAnsi"/>
          <w:sz w:val="22"/>
          <w:szCs w:val="22"/>
          <w:lang w:eastAsia="zh-CN"/>
        </w:rPr>
        <w:t xml:space="preserve">, </w:t>
      </w:r>
      <w:hyperlink r:id="rId13" w:history="1">
        <w:r w:rsidRPr="00FA5AA0">
          <w:rPr>
            <w:rFonts w:asciiTheme="majorHAnsi" w:hAnsiTheme="majorHAnsi"/>
            <w:sz w:val="22"/>
            <w:szCs w:val="22"/>
            <w:lang w:eastAsia="zh-CN"/>
          </w:rPr>
          <w:t>http://www.moe.gov.cn/publicfiles/business/htmlfiles/moe/A09_xxgk/200705/xxgk_62393.html</w:t>
        </w:r>
      </w:hyperlink>
      <w:r w:rsidRPr="00FA5AA0">
        <w:rPr>
          <w:rFonts w:asciiTheme="majorHAnsi" w:hAnsiTheme="majorHAnsi"/>
          <w:sz w:val="22"/>
          <w:szCs w:val="22"/>
          <w:lang w:eastAsia="zh-CN"/>
        </w:rPr>
        <w:t>.</w:t>
      </w:r>
      <w:proofErr w:type="gramEnd"/>
    </w:p>
    <w:p w:rsidR="00FA5AA0" w:rsidRPr="00FA5AA0" w:rsidRDefault="00FA5AA0" w:rsidP="00627031">
      <w:pPr>
        <w:pStyle w:val="NormalIndent"/>
        <w:spacing w:line="240" w:lineRule="auto"/>
        <w:ind w:left="720" w:hanging="720"/>
        <w:contextualSpacing/>
        <w:rPr>
          <w:rFonts w:asciiTheme="majorHAnsi" w:hAnsiTheme="majorHAnsi"/>
          <w:sz w:val="22"/>
          <w:szCs w:val="22"/>
          <w:lang w:eastAsia="zh-CN"/>
        </w:rPr>
      </w:pPr>
      <w:r w:rsidRPr="00FA5AA0">
        <w:rPr>
          <w:rFonts w:asciiTheme="majorHAnsi" w:hAnsiTheme="majorHAnsi"/>
          <w:sz w:val="22"/>
          <w:szCs w:val="22"/>
          <w:lang w:eastAsia="zh-CN"/>
        </w:rPr>
        <w:t>周庚鑫</w:t>
      </w:r>
      <w:r w:rsidRPr="00FA5AA0">
        <w:rPr>
          <w:rFonts w:asciiTheme="majorHAnsi" w:hAnsiTheme="majorHAnsi"/>
          <w:sz w:val="22"/>
          <w:szCs w:val="22"/>
          <w:lang w:eastAsia="zh-CN"/>
        </w:rPr>
        <w:t xml:space="preserve"> (</w:t>
      </w:r>
      <w:r w:rsidRPr="00FA5AA0">
        <w:rPr>
          <w:rFonts w:asciiTheme="majorHAnsi" w:hAnsiTheme="majorHAnsi"/>
          <w:i/>
          <w:sz w:val="22"/>
          <w:szCs w:val="22"/>
          <w:lang w:eastAsia="zh-CN"/>
        </w:rPr>
        <w:t xml:space="preserve">Zhou </w:t>
      </w:r>
      <w:proofErr w:type="spellStart"/>
      <w:r w:rsidRPr="00FA5AA0">
        <w:rPr>
          <w:rFonts w:asciiTheme="majorHAnsi" w:hAnsiTheme="majorHAnsi"/>
          <w:i/>
          <w:sz w:val="22"/>
          <w:szCs w:val="22"/>
          <w:lang w:eastAsia="zh-CN"/>
        </w:rPr>
        <w:t>Gengxin</w:t>
      </w:r>
      <w:proofErr w:type="spellEnd"/>
      <w:r w:rsidRPr="00FA5AA0">
        <w:rPr>
          <w:rFonts w:asciiTheme="majorHAnsi" w:hAnsiTheme="majorHAnsi"/>
          <w:sz w:val="22"/>
          <w:szCs w:val="22"/>
          <w:lang w:eastAsia="zh-CN"/>
        </w:rPr>
        <w:t xml:space="preserve">) (1985). </w:t>
      </w:r>
      <w:r w:rsidRPr="00FA5AA0">
        <w:rPr>
          <w:rFonts w:asciiTheme="majorHAnsi" w:hAnsiTheme="majorHAnsi"/>
          <w:sz w:val="22"/>
          <w:szCs w:val="22"/>
          <w:lang w:eastAsia="zh-CN"/>
        </w:rPr>
        <w:t>必须加快少数民族地区教育改革的步伐</w:t>
      </w:r>
      <w:r w:rsidRPr="00FA5AA0">
        <w:rPr>
          <w:rFonts w:asciiTheme="majorHAnsi" w:hAnsiTheme="majorHAnsi"/>
          <w:sz w:val="22"/>
          <w:szCs w:val="22"/>
          <w:lang w:eastAsia="zh-CN"/>
        </w:rPr>
        <w:t>——</w:t>
      </w:r>
      <w:r w:rsidRPr="00FA5AA0">
        <w:rPr>
          <w:rFonts w:asciiTheme="majorHAnsi" w:hAnsiTheme="majorHAnsi"/>
          <w:sz w:val="22"/>
          <w:szCs w:val="22"/>
          <w:lang w:eastAsia="zh-CN"/>
        </w:rPr>
        <w:t>滇西南四县初等教育情况调查</w:t>
      </w:r>
      <w:r w:rsidRPr="00FA5AA0">
        <w:rPr>
          <w:rFonts w:asciiTheme="majorHAnsi" w:hAnsiTheme="majorHAnsi"/>
          <w:sz w:val="22"/>
          <w:szCs w:val="22"/>
          <w:lang w:eastAsia="zh-CN"/>
        </w:rPr>
        <w:t>.</w:t>
      </w:r>
      <w:r w:rsidRPr="00FA5AA0">
        <w:rPr>
          <w:rFonts w:asciiTheme="majorHAnsi" w:hAnsiTheme="majorHAnsi"/>
          <w:sz w:val="22"/>
          <w:szCs w:val="22"/>
          <w:lang w:eastAsia="zh-CN"/>
        </w:rPr>
        <w:t>民族研究</w:t>
      </w:r>
      <w:r w:rsidRPr="00FA5AA0">
        <w:rPr>
          <w:rFonts w:asciiTheme="majorHAnsi" w:hAnsiTheme="majorHAnsi"/>
          <w:sz w:val="22"/>
          <w:szCs w:val="22"/>
          <w:lang w:eastAsia="zh-CN"/>
        </w:rPr>
        <w:t>, 3, 60-64.</w:t>
      </w:r>
    </w:p>
    <w:p w:rsidR="00FA5AA0" w:rsidRPr="00FA5AA0" w:rsidRDefault="00FA5AA0" w:rsidP="00627031">
      <w:pPr>
        <w:pStyle w:val="NormalIndent"/>
        <w:spacing w:line="240" w:lineRule="auto"/>
        <w:ind w:left="720" w:hanging="720"/>
        <w:contextualSpacing/>
        <w:rPr>
          <w:rFonts w:asciiTheme="majorHAnsi" w:hAnsiTheme="majorHAnsi"/>
          <w:sz w:val="22"/>
          <w:szCs w:val="22"/>
          <w:lang w:eastAsia="zh-CN"/>
        </w:rPr>
      </w:pPr>
      <w:r w:rsidRPr="00FA5AA0">
        <w:rPr>
          <w:rFonts w:asciiTheme="majorHAnsi" w:hAnsiTheme="majorHAnsi"/>
          <w:sz w:val="22"/>
          <w:szCs w:val="22"/>
          <w:lang w:eastAsia="zh-CN"/>
        </w:rPr>
        <w:t>朱志勇</w:t>
      </w:r>
      <w:r w:rsidRPr="00FA5AA0">
        <w:rPr>
          <w:rFonts w:asciiTheme="majorHAnsi" w:hAnsiTheme="majorHAnsi"/>
          <w:sz w:val="22"/>
          <w:szCs w:val="22"/>
          <w:lang w:eastAsia="zh-CN"/>
        </w:rPr>
        <w:t xml:space="preserve"> (</w:t>
      </w:r>
      <w:r w:rsidRPr="00FA5AA0">
        <w:rPr>
          <w:rFonts w:asciiTheme="majorHAnsi" w:hAnsiTheme="majorHAnsi"/>
          <w:i/>
          <w:sz w:val="22"/>
          <w:szCs w:val="22"/>
          <w:lang w:eastAsia="zh-CN"/>
        </w:rPr>
        <w:t xml:space="preserve">Zhu </w:t>
      </w:r>
      <w:proofErr w:type="spellStart"/>
      <w:r w:rsidRPr="00FA5AA0">
        <w:rPr>
          <w:rFonts w:asciiTheme="majorHAnsi" w:hAnsiTheme="majorHAnsi"/>
          <w:i/>
          <w:sz w:val="22"/>
          <w:szCs w:val="22"/>
          <w:lang w:eastAsia="zh-CN"/>
        </w:rPr>
        <w:t>Zhiyong</w:t>
      </w:r>
      <w:proofErr w:type="spellEnd"/>
      <w:r w:rsidRPr="00FA5AA0">
        <w:rPr>
          <w:rFonts w:asciiTheme="majorHAnsi" w:hAnsiTheme="majorHAnsi"/>
          <w:sz w:val="22"/>
          <w:szCs w:val="22"/>
          <w:lang w:eastAsia="zh-CN"/>
        </w:rPr>
        <w:t xml:space="preserve">) (2006). </w:t>
      </w:r>
      <w:r w:rsidRPr="00FA5AA0">
        <w:rPr>
          <w:rFonts w:asciiTheme="majorHAnsi" w:hAnsiTheme="majorHAnsi"/>
          <w:sz w:val="22"/>
          <w:szCs w:val="22"/>
          <w:lang w:eastAsia="zh-CN"/>
        </w:rPr>
        <w:t>学校教育情境中族群认同的建构</w:t>
      </w:r>
      <w:r w:rsidRPr="00FA5AA0">
        <w:rPr>
          <w:rFonts w:asciiTheme="majorHAnsi" w:hAnsiTheme="majorHAnsi"/>
          <w:sz w:val="22"/>
          <w:szCs w:val="22"/>
          <w:lang w:eastAsia="zh-CN"/>
        </w:rPr>
        <w:t>——</w:t>
      </w:r>
      <w:r w:rsidRPr="00FA5AA0">
        <w:rPr>
          <w:rFonts w:asciiTheme="majorHAnsi" w:hAnsiTheme="majorHAnsi"/>
          <w:sz w:val="22"/>
          <w:szCs w:val="22"/>
          <w:lang w:eastAsia="zh-CN"/>
        </w:rPr>
        <w:t>内地西藏班的个案研究</w:t>
      </w:r>
      <w:r w:rsidRPr="00FA5AA0">
        <w:rPr>
          <w:rFonts w:asciiTheme="majorHAnsi" w:hAnsiTheme="majorHAnsi"/>
          <w:sz w:val="22"/>
          <w:szCs w:val="22"/>
          <w:lang w:eastAsia="zh-CN"/>
        </w:rPr>
        <w:t xml:space="preserve">. </w:t>
      </w:r>
      <w:r w:rsidRPr="00FA5AA0">
        <w:rPr>
          <w:rFonts w:asciiTheme="majorHAnsi" w:hAnsiTheme="majorHAnsi"/>
          <w:sz w:val="22"/>
          <w:szCs w:val="22"/>
          <w:lang w:eastAsia="zh-CN"/>
        </w:rPr>
        <w:t>南京师大学报</w:t>
      </w:r>
      <w:r w:rsidRPr="00FA5AA0">
        <w:rPr>
          <w:rFonts w:asciiTheme="majorHAnsi" w:hAnsiTheme="majorHAnsi"/>
          <w:sz w:val="22"/>
          <w:szCs w:val="22"/>
          <w:lang w:eastAsia="zh-CN"/>
        </w:rPr>
        <w:t xml:space="preserve"> (</w:t>
      </w:r>
      <w:r w:rsidRPr="00FA5AA0">
        <w:rPr>
          <w:rFonts w:asciiTheme="majorHAnsi" w:hAnsiTheme="majorHAnsi"/>
          <w:sz w:val="22"/>
          <w:szCs w:val="22"/>
          <w:lang w:eastAsia="zh-CN"/>
        </w:rPr>
        <w:t>社会科学版</w:t>
      </w:r>
      <w:r w:rsidRPr="00FA5AA0">
        <w:rPr>
          <w:rFonts w:asciiTheme="majorHAnsi" w:hAnsiTheme="majorHAnsi"/>
          <w:sz w:val="22"/>
          <w:szCs w:val="22"/>
          <w:lang w:eastAsia="zh-CN"/>
        </w:rPr>
        <w:t>), 4, 82-88.</w:t>
      </w:r>
    </w:p>
    <w:p w:rsidR="00FA5AA0" w:rsidRPr="00FA5AA0" w:rsidRDefault="00FA5AA0" w:rsidP="00627031">
      <w:pPr>
        <w:pStyle w:val="NormalIndent"/>
        <w:spacing w:line="240" w:lineRule="auto"/>
        <w:ind w:left="720" w:hanging="720"/>
        <w:contextualSpacing/>
        <w:rPr>
          <w:rFonts w:asciiTheme="majorHAnsi" w:hAnsiTheme="majorHAnsi"/>
          <w:sz w:val="22"/>
          <w:szCs w:val="22"/>
          <w:lang w:eastAsia="zh-CN"/>
        </w:rPr>
      </w:pPr>
      <w:r w:rsidRPr="00FA5AA0">
        <w:rPr>
          <w:rFonts w:asciiTheme="majorHAnsi" w:hAnsiTheme="majorHAnsi"/>
          <w:sz w:val="22"/>
          <w:szCs w:val="22"/>
          <w:lang w:eastAsia="zh-CN"/>
        </w:rPr>
        <w:t>朱志勇</w:t>
      </w:r>
      <w:r w:rsidRPr="00FA5AA0">
        <w:rPr>
          <w:rFonts w:asciiTheme="majorHAnsi" w:hAnsiTheme="majorHAnsi"/>
          <w:sz w:val="22"/>
          <w:szCs w:val="22"/>
          <w:lang w:eastAsia="zh-CN"/>
        </w:rPr>
        <w:t xml:space="preserve"> (</w:t>
      </w:r>
      <w:r w:rsidRPr="00FA5AA0">
        <w:rPr>
          <w:rFonts w:asciiTheme="majorHAnsi" w:hAnsiTheme="majorHAnsi"/>
          <w:i/>
          <w:sz w:val="22"/>
          <w:szCs w:val="22"/>
          <w:lang w:eastAsia="zh-CN"/>
        </w:rPr>
        <w:t xml:space="preserve">Zhu </w:t>
      </w:r>
      <w:proofErr w:type="spellStart"/>
      <w:r w:rsidRPr="00FA5AA0">
        <w:rPr>
          <w:rFonts w:asciiTheme="majorHAnsi" w:hAnsiTheme="majorHAnsi"/>
          <w:i/>
          <w:sz w:val="22"/>
          <w:szCs w:val="22"/>
          <w:lang w:eastAsia="zh-CN"/>
        </w:rPr>
        <w:t>Zhiyong</w:t>
      </w:r>
      <w:proofErr w:type="spellEnd"/>
      <w:r w:rsidRPr="00FA5AA0">
        <w:rPr>
          <w:rFonts w:asciiTheme="majorHAnsi" w:hAnsiTheme="majorHAnsi"/>
          <w:sz w:val="22"/>
          <w:szCs w:val="22"/>
          <w:lang w:eastAsia="zh-CN"/>
        </w:rPr>
        <w:t xml:space="preserve">) (2007). </w:t>
      </w:r>
      <w:r w:rsidRPr="00FA5AA0">
        <w:rPr>
          <w:rFonts w:asciiTheme="majorHAnsi" w:hAnsiTheme="majorHAnsi"/>
          <w:sz w:val="22"/>
          <w:szCs w:val="22"/>
          <w:lang w:eastAsia="zh-CN"/>
        </w:rPr>
        <w:t>西藏牧区</w:t>
      </w:r>
      <w:r w:rsidRPr="00FA5AA0">
        <w:rPr>
          <w:rFonts w:asciiTheme="majorHAnsi" w:hAnsiTheme="majorHAnsi"/>
          <w:sz w:val="22"/>
          <w:szCs w:val="22"/>
          <w:lang w:eastAsia="zh-CN"/>
        </w:rPr>
        <w:t>“</w:t>
      </w:r>
      <w:r w:rsidRPr="00FA5AA0">
        <w:rPr>
          <w:rFonts w:asciiTheme="majorHAnsi" w:hAnsiTheme="majorHAnsi"/>
          <w:sz w:val="22"/>
          <w:szCs w:val="22"/>
          <w:lang w:eastAsia="zh-CN"/>
        </w:rPr>
        <w:t>三包</w:t>
      </w:r>
      <w:r w:rsidRPr="00FA5AA0">
        <w:rPr>
          <w:rFonts w:asciiTheme="majorHAnsi" w:hAnsiTheme="majorHAnsi"/>
          <w:sz w:val="22"/>
          <w:szCs w:val="22"/>
          <w:lang w:eastAsia="zh-CN"/>
        </w:rPr>
        <w:t>”</w:t>
      </w:r>
      <w:r w:rsidRPr="00FA5AA0">
        <w:rPr>
          <w:rFonts w:asciiTheme="majorHAnsi" w:hAnsiTheme="majorHAnsi"/>
          <w:sz w:val="22"/>
          <w:szCs w:val="22"/>
          <w:lang w:eastAsia="zh-CN"/>
        </w:rPr>
        <w:t>政策下的基础教育反思</w:t>
      </w:r>
      <w:r w:rsidRPr="00FA5AA0">
        <w:rPr>
          <w:rFonts w:asciiTheme="majorHAnsi" w:hAnsiTheme="majorHAnsi"/>
          <w:sz w:val="22"/>
          <w:szCs w:val="22"/>
          <w:lang w:eastAsia="zh-CN"/>
        </w:rPr>
        <w:t>:</w:t>
      </w:r>
      <w:r w:rsidRPr="00FA5AA0">
        <w:rPr>
          <w:rFonts w:asciiTheme="majorHAnsi" w:hAnsiTheme="majorHAnsi"/>
          <w:sz w:val="22"/>
          <w:szCs w:val="22"/>
          <w:lang w:eastAsia="zh-CN"/>
        </w:rPr>
        <w:t>个案研究</w:t>
      </w:r>
      <w:r w:rsidRPr="00FA5AA0">
        <w:rPr>
          <w:rFonts w:asciiTheme="majorHAnsi" w:hAnsiTheme="majorHAnsi"/>
          <w:sz w:val="22"/>
          <w:szCs w:val="22"/>
          <w:lang w:eastAsia="zh-CN"/>
        </w:rPr>
        <w:t>.</w:t>
      </w:r>
      <w:r w:rsidRPr="00FA5AA0">
        <w:rPr>
          <w:rFonts w:asciiTheme="majorHAnsi" w:hAnsiTheme="majorHAnsi"/>
          <w:sz w:val="22"/>
          <w:szCs w:val="22"/>
          <w:lang w:eastAsia="zh-CN"/>
        </w:rPr>
        <w:t>教育研究与实验</w:t>
      </w:r>
      <w:r w:rsidRPr="00FA5AA0">
        <w:rPr>
          <w:rFonts w:asciiTheme="majorHAnsi" w:hAnsiTheme="majorHAnsi"/>
          <w:sz w:val="22"/>
          <w:szCs w:val="22"/>
          <w:lang w:eastAsia="zh-CN"/>
        </w:rPr>
        <w:t>, 4, 16-21.</w:t>
      </w:r>
    </w:p>
    <w:p w:rsidR="00FA5AA0" w:rsidRPr="00FA5AA0" w:rsidRDefault="00FA5AA0" w:rsidP="00627031">
      <w:pPr>
        <w:pStyle w:val="NormalIndent"/>
        <w:spacing w:line="240" w:lineRule="auto"/>
        <w:ind w:left="720" w:hanging="720"/>
        <w:contextualSpacing/>
        <w:rPr>
          <w:rFonts w:asciiTheme="majorHAnsi" w:hAnsiTheme="majorHAnsi"/>
          <w:sz w:val="22"/>
          <w:szCs w:val="22"/>
          <w:lang w:eastAsia="zh-CN"/>
        </w:rPr>
      </w:pPr>
      <w:r w:rsidRPr="00FA5AA0">
        <w:rPr>
          <w:rFonts w:asciiTheme="majorHAnsi" w:hAnsiTheme="majorHAnsi"/>
          <w:sz w:val="22"/>
          <w:szCs w:val="22"/>
          <w:lang w:eastAsia="zh-CN"/>
        </w:rPr>
        <w:t>祖力亚提</w:t>
      </w:r>
      <w:r w:rsidRPr="00FA5AA0">
        <w:rPr>
          <w:rFonts w:asciiTheme="majorHAnsi" w:hAnsiTheme="majorHAnsi"/>
          <w:sz w:val="22"/>
          <w:szCs w:val="22"/>
          <w:lang w:eastAsia="zh-CN"/>
        </w:rPr>
        <w:t>.</w:t>
      </w:r>
      <w:r w:rsidRPr="00FA5AA0">
        <w:rPr>
          <w:rFonts w:asciiTheme="majorHAnsi" w:hAnsiTheme="majorHAnsi"/>
          <w:sz w:val="22"/>
          <w:szCs w:val="22"/>
          <w:lang w:eastAsia="zh-CN"/>
        </w:rPr>
        <w:t>司马义</w:t>
      </w:r>
      <w:r w:rsidRPr="00FA5AA0">
        <w:rPr>
          <w:rFonts w:asciiTheme="majorHAnsi" w:hAnsiTheme="majorHAnsi"/>
          <w:sz w:val="22"/>
          <w:szCs w:val="22"/>
          <w:lang w:eastAsia="zh-CN"/>
        </w:rPr>
        <w:t xml:space="preserve"> (</w:t>
      </w:r>
      <w:r w:rsidRPr="00FA5AA0">
        <w:rPr>
          <w:rFonts w:asciiTheme="majorHAnsi" w:hAnsiTheme="majorHAnsi"/>
          <w:i/>
          <w:sz w:val="22"/>
          <w:szCs w:val="22"/>
          <w:lang w:eastAsia="zh-CN"/>
        </w:rPr>
        <w:t xml:space="preserve">Zhu </w:t>
      </w:r>
      <w:proofErr w:type="spellStart"/>
      <w:r w:rsidRPr="00FA5AA0">
        <w:rPr>
          <w:rFonts w:asciiTheme="majorHAnsi" w:hAnsiTheme="majorHAnsi"/>
          <w:i/>
          <w:sz w:val="22"/>
          <w:szCs w:val="22"/>
          <w:lang w:eastAsia="zh-CN"/>
        </w:rPr>
        <w:t>Liyati</w:t>
      </w:r>
      <w:proofErr w:type="spellEnd"/>
      <w:r w:rsidRPr="00FA5AA0">
        <w:rPr>
          <w:rFonts w:asciiTheme="majorHAnsi" w:hAnsiTheme="majorHAnsi"/>
          <w:i/>
          <w:sz w:val="22"/>
          <w:szCs w:val="22"/>
          <w:lang w:eastAsia="zh-CN"/>
        </w:rPr>
        <w:t xml:space="preserve">. </w:t>
      </w:r>
      <w:proofErr w:type="spellStart"/>
      <w:proofErr w:type="gramStart"/>
      <w:r w:rsidRPr="00FA5AA0">
        <w:rPr>
          <w:rFonts w:asciiTheme="majorHAnsi" w:hAnsiTheme="majorHAnsi"/>
          <w:i/>
          <w:sz w:val="22"/>
          <w:szCs w:val="22"/>
          <w:lang w:eastAsia="zh-CN"/>
        </w:rPr>
        <w:t>Simayi</w:t>
      </w:r>
      <w:proofErr w:type="spellEnd"/>
      <w:r w:rsidRPr="00FA5AA0">
        <w:rPr>
          <w:rFonts w:asciiTheme="majorHAnsi" w:hAnsiTheme="majorHAnsi"/>
          <w:sz w:val="22"/>
          <w:szCs w:val="22"/>
          <w:lang w:eastAsia="zh-CN"/>
        </w:rPr>
        <w:t>) (2009).</w:t>
      </w:r>
      <w:proofErr w:type="gramEnd"/>
      <w:r w:rsidRPr="00FA5AA0">
        <w:rPr>
          <w:rFonts w:asciiTheme="majorHAnsi" w:hAnsiTheme="majorHAnsi"/>
          <w:sz w:val="22"/>
          <w:szCs w:val="22"/>
          <w:lang w:eastAsia="zh-CN"/>
        </w:rPr>
        <w:t xml:space="preserve"> </w:t>
      </w:r>
      <w:r w:rsidRPr="00FA5AA0">
        <w:rPr>
          <w:rFonts w:asciiTheme="majorHAnsi" w:hAnsiTheme="majorHAnsi"/>
          <w:sz w:val="22"/>
          <w:szCs w:val="22"/>
          <w:lang w:eastAsia="zh-CN"/>
        </w:rPr>
        <w:t>族群认同感建构的社会学分析</w:t>
      </w:r>
      <w:r w:rsidRPr="00FA5AA0">
        <w:rPr>
          <w:rFonts w:asciiTheme="majorHAnsi" w:hAnsiTheme="majorHAnsi"/>
          <w:sz w:val="22"/>
          <w:szCs w:val="22"/>
          <w:lang w:eastAsia="zh-CN"/>
        </w:rPr>
        <w:t>:</w:t>
      </w:r>
      <w:r w:rsidRPr="00FA5AA0">
        <w:rPr>
          <w:rFonts w:asciiTheme="majorHAnsi" w:hAnsiTheme="majorHAnsi"/>
          <w:sz w:val="22"/>
          <w:szCs w:val="22"/>
          <w:lang w:eastAsia="zh-CN"/>
        </w:rPr>
        <w:t>以新疆</w:t>
      </w:r>
      <w:r w:rsidRPr="00FA5AA0">
        <w:rPr>
          <w:rFonts w:asciiTheme="majorHAnsi" w:hAnsiTheme="majorHAnsi"/>
          <w:sz w:val="22"/>
          <w:szCs w:val="22"/>
          <w:lang w:eastAsia="zh-CN"/>
        </w:rPr>
        <w:t>“</w:t>
      </w:r>
      <w:r w:rsidRPr="00FA5AA0">
        <w:rPr>
          <w:rFonts w:asciiTheme="majorHAnsi" w:hAnsiTheme="majorHAnsi"/>
          <w:sz w:val="22"/>
          <w:szCs w:val="22"/>
          <w:lang w:eastAsia="zh-CN"/>
        </w:rPr>
        <w:t>民考汉</w:t>
      </w:r>
      <w:r w:rsidRPr="00FA5AA0">
        <w:rPr>
          <w:rFonts w:asciiTheme="majorHAnsi" w:hAnsiTheme="majorHAnsi"/>
          <w:sz w:val="22"/>
          <w:szCs w:val="22"/>
          <w:lang w:eastAsia="zh-CN"/>
        </w:rPr>
        <w:t>”</w:t>
      </w:r>
      <w:r w:rsidRPr="00FA5AA0">
        <w:rPr>
          <w:rFonts w:asciiTheme="majorHAnsi" w:hAnsiTheme="majorHAnsi"/>
          <w:sz w:val="22"/>
          <w:szCs w:val="22"/>
          <w:lang w:eastAsia="zh-CN"/>
        </w:rPr>
        <w:tab/>
      </w:r>
      <w:r w:rsidRPr="00FA5AA0">
        <w:rPr>
          <w:rFonts w:asciiTheme="majorHAnsi" w:hAnsiTheme="majorHAnsi"/>
          <w:sz w:val="22"/>
          <w:szCs w:val="22"/>
          <w:lang w:eastAsia="zh-CN"/>
        </w:rPr>
        <w:t>为例</w:t>
      </w:r>
      <w:r w:rsidRPr="00FA5AA0">
        <w:rPr>
          <w:rFonts w:asciiTheme="majorHAnsi" w:hAnsiTheme="majorHAnsi"/>
          <w:sz w:val="22"/>
          <w:szCs w:val="22"/>
          <w:lang w:eastAsia="zh-CN"/>
        </w:rPr>
        <w:t xml:space="preserve">. </w:t>
      </w:r>
      <w:r w:rsidRPr="00FA5AA0">
        <w:rPr>
          <w:rFonts w:asciiTheme="majorHAnsi" w:hAnsiTheme="majorHAnsi"/>
          <w:sz w:val="22"/>
          <w:szCs w:val="22"/>
          <w:lang w:eastAsia="zh-CN"/>
        </w:rPr>
        <w:t>西北民族研究</w:t>
      </w:r>
      <w:r w:rsidRPr="00FA5AA0">
        <w:rPr>
          <w:rFonts w:asciiTheme="majorHAnsi" w:hAnsiTheme="majorHAnsi"/>
          <w:sz w:val="22"/>
          <w:szCs w:val="22"/>
          <w:lang w:eastAsia="zh-CN"/>
        </w:rPr>
        <w:t>, 63(3), 65-75.</w:t>
      </w:r>
    </w:p>
    <w:p w:rsidR="00FA5AA0" w:rsidRPr="00FA5AA0" w:rsidRDefault="00FA5AA0" w:rsidP="00627031">
      <w:pPr>
        <w:pStyle w:val="Heading1"/>
        <w:contextualSpacing/>
        <w:rPr>
          <w:rFonts w:asciiTheme="majorHAnsi" w:hAnsiTheme="majorHAnsi"/>
          <w:sz w:val="22"/>
          <w:szCs w:val="22"/>
        </w:rPr>
      </w:pPr>
      <w:r w:rsidRPr="00FA5AA0">
        <w:rPr>
          <w:rFonts w:asciiTheme="majorHAnsi" w:hAnsiTheme="majorHAnsi"/>
          <w:sz w:val="22"/>
          <w:szCs w:val="22"/>
        </w:rPr>
        <w:t>English References Cited</w:t>
      </w:r>
    </w:p>
    <w:p w:rsidR="00FA5AA0" w:rsidRPr="00FA5AA0" w:rsidRDefault="00FA5AA0" w:rsidP="00627031">
      <w:pPr>
        <w:pStyle w:val="Bibliography"/>
        <w:spacing w:line="240" w:lineRule="auto"/>
        <w:contextualSpacing/>
      </w:pPr>
      <w:r w:rsidRPr="00FA5AA0">
        <w:rPr>
          <w:lang w:eastAsia="zh-CN"/>
        </w:rPr>
        <w:fldChar w:fldCharType="begin"/>
      </w:r>
      <w:r w:rsidRPr="00FA5AA0">
        <w:rPr>
          <w:lang w:eastAsia="zh-CN"/>
        </w:rPr>
        <w:instrText xml:space="preserve"> ADDIN ZOTERO_BIBL {"custom":[]} CSL_BIBLIOGRAPHY </w:instrText>
      </w:r>
      <w:r w:rsidRPr="00FA5AA0">
        <w:rPr>
          <w:lang w:eastAsia="zh-CN"/>
        </w:rPr>
        <w:fldChar w:fldCharType="separate"/>
      </w:r>
      <w:r w:rsidRPr="00FA5AA0">
        <w:t xml:space="preserve">Adamson, B., &amp; Feng, A. (2009). A Comparison of Trilingual Education Policies for Ethnic Minorities in China. </w:t>
      </w:r>
      <w:r w:rsidRPr="00FA5AA0">
        <w:rPr>
          <w:i/>
          <w:iCs/>
        </w:rPr>
        <w:t>Compare: A Journal of Comparative and International Education</w:t>
      </w:r>
      <w:r w:rsidRPr="00FA5AA0">
        <w:t xml:space="preserve">, </w:t>
      </w:r>
      <w:r w:rsidRPr="00FA5AA0">
        <w:rPr>
          <w:i/>
          <w:iCs/>
        </w:rPr>
        <w:t>39</w:t>
      </w:r>
      <w:r w:rsidRPr="00FA5AA0">
        <w:t>(3), 321–333.</w:t>
      </w:r>
    </w:p>
    <w:p w:rsidR="00FA5AA0" w:rsidRPr="00FA5AA0" w:rsidRDefault="00FA5AA0" w:rsidP="00627031">
      <w:pPr>
        <w:pStyle w:val="Bibliography"/>
        <w:spacing w:line="240" w:lineRule="auto"/>
        <w:contextualSpacing/>
      </w:pPr>
      <w:r w:rsidRPr="00FA5AA0">
        <w:t xml:space="preserve">Bass, C. (1998). </w:t>
      </w:r>
      <w:r w:rsidRPr="00FA5AA0">
        <w:rPr>
          <w:i/>
          <w:iCs/>
        </w:rPr>
        <w:t>Education in Tibet</w:t>
      </w:r>
      <w:r w:rsidRPr="00FA5AA0">
        <w:t>. New York: St. Martin’s Press.</w:t>
      </w:r>
    </w:p>
    <w:p w:rsidR="00FA5AA0" w:rsidRPr="00FA5AA0" w:rsidRDefault="00FA5AA0" w:rsidP="00627031">
      <w:pPr>
        <w:pStyle w:val="Bibliography"/>
        <w:spacing w:line="240" w:lineRule="auto"/>
        <w:contextualSpacing/>
      </w:pPr>
      <w:r w:rsidRPr="00FA5AA0">
        <w:t xml:space="preserve">Chen, Y. (2008). </w:t>
      </w:r>
      <w:r w:rsidRPr="00FA5AA0">
        <w:rPr>
          <w:i/>
          <w:iCs/>
        </w:rPr>
        <w:t>Muslim Uyghur students in a Chinese boarding school: Social recapitalization as a response to ethnic integration</w:t>
      </w:r>
      <w:r w:rsidRPr="00FA5AA0">
        <w:t>. Maryland: Lexington Books. Retrieved from http://books.google.com/books?id=roiuY7bnb80C</w:t>
      </w:r>
    </w:p>
    <w:p w:rsidR="00FA5AA0" w:rsidRPr="00FA5AA0" w:rsidRDefault="00FA5AA0" w:rsidP="00627031">
      <w:pPr>
        <w:pStyle w:val="Bibliography"/>
        <w:spacing w:line="240" w:lineRule="auto"/>
        <w:contextualSpacing/>
      </w:pPr>
      <w:r w:rsidRPr="00FA5AA0">
        <w:t xml:space="preserve">Chen, Y. (2010). Crossing the Frontier to Inland China. </w:t>
      </w:r>
      <w:r w:rsidRPr="00FA5AA0">
        <w:rPr>
          <w:i/>
          <w:iCs/>
        </w:rPr>
        <w:t>Chinese Education &amp; Society</w:t>
      </w:r>
      <w:r w:rsidRPr="00FA5AA0">
        <w:t xml:space="preserve">, </w:t>
      </w:r>
      <w:r w:rsidRPr="00FA5AA0">
        <w:rPr>
          <w:i/>
          <w:iCs/>
        </w:rPr>
        <w:t>43</w:t>
      </w:r>
      <w:r w:rsidRPr="00FA5AA0">
        <w:t>(1), 46–57. doi:Article</w:t>
      </w:r>
    </w:p>
    <w:p w:rsidR="00FA5AA0" w:rsidRPr="00FA5AA0" w:rsidRDefault="00FA5AA0" w:rsidP="00627031">
      <w:pPr>
        <w:pStyle w:val="Bibliography"/>
        <w:spacing w:line="240" w:lineRule="auto"/>
        <w:contextualSpacing/>
      </w:pPr>
      <w:r w:rsidRPr="00FA5AA0">
        <w:t xml:space="preserve">China, I. O. of the S. C. of the P. R. of. (2000). </w:t>
      </w:r>
      <w:r w:rsidRPr="00FA5AA0">
        <w:rPr>
          <w:i/>
          <w:iCs/>
        </w:rPr>
        <w:t>National Minorities Policy and Its Practice in China</w:t>
      </w:r>
      <w:r w:rsidRPr="00FA5AA0">
        <w:t xml:space="preserve"> (Vol. 2009). Retrieved from http://www.china.org.cn/e-white/4/4.3.htm</w:t>
      </w:r>
    </w:p>
    <w:p w:rsidR="00FA5AA0" w:rsidRPr="00FA5AA0" w:rsidRDefault="00FA5AA0" w:rsidP="00627031">
      <w:pPr>
        <w:pStyle w:val="Bibliography"/>
        <w:spacing w:line="240" w:lineRule="auto"/>
        <w:contextualSpacing/>
      </w:pPr>
      <w:r w:rsidRPr="00FA5AA0">
        <w:t xml:space="preserve">Choi, S. (2010). Globalization, China’s drive for world-class universities (211 Project) and the challenges of ethnic minority higher education: The case of Yanbian University. </w:t>
      </w:r>
      <w:r w:rsidRPr="00FA5AA0">
        <w:rPr>
          <w:i/>
          <w:iCs/>
        </w:rPr>
        <w:t>Asia Pacific Education Review</w:t>
      </w:r>
      <w:r w:rsidRPr="00FA5AA0">
        <w:t xml:space="preserve">, </w:t>
      </w:r>
      <w:r w:rsidRPr="00FA5AA0">
        <w:rPr>
          <w:i/>
          <w:iCs/>
        </w:rPr>
        <w:t>11</w:t>
      </w:r>
      <w:r w:rsidRPr="00FA5AA0">
        <w:t>(2), 169–178.</w:t>
      </w:r>
    </w:p>
    <w:p w:rsidR="00FA5AA0" w:rsidRPr="00FA5AA0" w:rsidRDefault="00FA5AA0" w:rsidP="00627031">
      <w:pPr>
        <w:pStyle w:val="Bibliography"/>
        <w:spacing w:line="240" w:lineRule="auto"/>
        <w:contextualSpacing/>
      </w:pPr>
      <w:r w:rsidRPr="00FA5AA0">
        <w:t xml:space="preserve">Clothey, R. (2005). China’s Policies for Minority Nationalities in Higher Education: Negotiating National Values and Ethnic Identities. </w:t>
      </w:r>
      <w:r w:rsidRPr="00FA5AA0">
        <w:rPr>
          <w:i/>
          <w:iCs/>
        </w:rPr>
        <w:t>Comparative Education Review</w:t>
      </w:r>
      <w:r w:rsidRPr="00FA5AA0">
        <w:t xml:space="preserve">, </w:t>
      </w:r>
      <w:r w:rsidRPr="00FA5AA0">
        <w:rPr>
          <w:i/>
          <w:iCs/>
        </w:rPr>
        <w:t>49</w:t>
      </w:r>
      <w:r w:rsidRPr="00FA5AA0">
        <w:t>(3), 389–409.</w:t>
      </w:r>
    </w:p>
    <w:p w:rsidR="00FA5AA0" w:rsidRPr="00FA5AA0" w:rsidRDefault="00FA5AA0" w:rsidP="00627031">
      <w:pPr>
        <w:pStyle w:val="Bibliography"/>
        <w:spacing w:line="240" w:lineRule="auto"/>
        <w:contextualSpacing/>
      </w:pPr>
      <w:r w:rsidRPr="00FA5AA0">
        <w:t xml:space="preserve">Clothey, R. A. (2005). </w:t>
      </w:r>
      <w:r w:rsidRPr="00FA5AA0">
        <w:rPr>
          <w:i/>
          <w:iCs/>
        </w:rPr>
        <w:t>Strangers in a Strange Place: The Experience of Ethnic Minority Students at the Central University for Nationalities in Beijing</w:t>
      </w:r>
      <w:r w:rsidRPr="00FA5AA0">
        <w:t>. University of Pittsburgh. Retrieved from http://search.proquest.com/docview/60510099?accountid=14707</w:t>
      </w:r>
    </w:p>
    <w:p w:rsidR="00FA5AA0" w:rsidRPr="00FA5AA0" w:rsidRDefault="00FA5AA0" w:rsidP="00627031">
      <w:pPr>
        <w:pStyle w:val="Bibliography"/>
        <w:spacing w:line="240" w:lineRule="auto"/>
        <w:contextualSpacing/>
      </w:pPr>
      <w:r w:rsidRPr="00FA5AA0">
        <w:t xml:space="preserve">Dai, Q., &amp; Dong, Y. (2001). The Historical Evolution of Bilingual Education for China’s Ethnic Minorities. </w:t>
      </w:r>
      <w:r w:rsidRPr="00FA5AA0">
        <w:rPr>
          <w:i/>
          <w:iCs/>
        </w:rPr>
        <w:t>Chinese Education &amp; Society</w:t>
      </w:r>
      <w:r w:rsidRPr="00FA5AA0">
        <w:t xml:space="preserve">, </w:t>
      </w:r>
      <w:r w:rsidRPr="00FA5AA0">
        <w:rPr>
          <w:i/>
          <w:iCs/>
        </w:rPr>
        <w:t>34</w:t>
      </w:r>
      <w:r w:rsidRPr="00FA5AA0">
        <w:t>(2), 7. doi:Article</w:t>
      </w:r>
    </w:p>
    <w:p w:rsidR="00FA5AA0" w:rsidRPr="00FA5AA0" w:rsidRDefault="00FA5AA0" w:rsidP="00627031">
      <w:pPr>
        <w:pStyle w:val="Bibliography"/>
        <w:spacing w:line="240" w:lineRule="auto"/>
        <w:contextualSpacing/>
      </w:pPr>
      <w:r w:rsidRPr="00FA5AA0">
        <w:t xml:space="preserve">Education, M. of. (1986). </w:t>
      </w:r>
      <w:r w:rsidRPr="00FA5AA0">
        <w:rPr>
          <w:i/>
          <w:iCs/>
        </w:rPr>
        <w:t>People’s Republic of China Law on Compulsory Education</w:t>
      </w:r>
      <w:r w:rsidRPr="00FA5AA0">
        <w:t xml:space="preserve"> (Vol. 2009).</w:t>
      </w:r>
    </w:p>
    <w:p w:rsidR="00FA5AA0" w:rsidRPr="00FA5AA0" w:rsidRDefault="00FA5AA0" w:rsidP="00627031">
      <w:pPr>
        <w:pStyle w:val="Bibliography"/>
        <w:spacing w:line="240" w:lineRule="auto"/>
        <w:contextualSpacing/>
      </w:pPr>
      <w:r w:rsidRPr="00FA5AA0">
        <w:t xml:space="preserve">Education, M. of. (1995). </w:t>
      </w:r>
      <w:r w:rsidRPr="00FA5AA0">
        <w:rPr>
          <w:i/>
          <w:iCs/>
        </w:rPr>
        <w:t>People’s Republic of China Education Law</w:t>
      </w:r>
      <w:r w:rsidRPr="00FA5AA0">
        <w:t xml:space="preserve"> (Vol. 2011).</w:t>
      </w:r>
    </w:p>
    <w:p w:rsidR="00FA5AA0" w:rsidRPr="00FA5AA0" w:rsidRDefault="00FA5AA0" w:rsidP="00627031">
      <w:pPr>
        <w:pStyle w:val="Bibliography"/>
        <w:spacing w:line="240" w:lineRule="auto"/>
        <w:contextualSpacing/>
      </w:pPr>
      <w:r w:rsidRPr="00FA5AA0">
        <w:t xml:space="preserve">Fei, X. (1981). </w:t>
      </w:r>
      <w:r w:rsidRPr="00FA5AA0">
        <w:rPr>
          <w:i/>
          <w:iCs/>
        </w:rPr>
        <w:t>Toward a People’s Anthropology</w:t>
      </w:r>
      <w:r w:rsidRPr="00FA5AA0">
        <w:t>. Beijing: New World Press.</w:t>
      </w:r>
    </w:p>
    <w:p w:rsidR="00FA5AA0" w:rsidRPr="00FA5AA0" w:rsidRDefault="00FA5AA0" w:rsidP="00627031">
      <w:pPr>
        <w:pStyle w:val="Bibliography"/>
        <w:spacing w:line="240" w:lineRule="auto"/>
        <w:contextualSpacing/>
      </w:pPr>
      <w:r w:rsidRPr="00FA5AA0">
        <w:t xml:space="preserve">Feng, A. (2005). Bilingualism for the minor or the major? An evaluative analysis of parallel conceptions in China. </w:t>
      </w:r>
      <w:r w:rsidRPr="00FA5AA0">
        <w:rPr>
          <w:i/>
          <w:iCs/>
        </w:rPr>
        <w:t>International Journal of Bilingual Education and Bilingualism</w:t>
      </w:r>
      <w:r w:rsidRPr="00FA5AA0">
        <w:t xml:space="preserve">, </w:t>
      </w:r>
      <w:r w:rsidRPr="00FA5AA0">
        <w:rPr>
          <w:i/>
          <w:iCs/>
        </w:rPr>
        <w:t>8</w:t>
      </w:r>
      <w:r w:rsidRPr="00FA5AA0">
        <w:t>(6), 529–551.</w:t>
      </w:r>
    </w:p>
    <w:p w:rsidR="00FA5AA0" w:rsidRPr="00FA5AA0" w:rsidRDefault="00FA5AA0" w:rsidP="00627031">
      <w:pPr>
        <w:pStyle w:val="Bibliography"/>
        <w:spacing w:line="240" w:lineRule="auto"/>
        <w:contextualSpacing/>
      </w:pPr>
      <w:r w:rsidRPr="00FA5AA0">
        <w:t xml:space="preserve">Feng, A., &amp; Sunuodula, M. (2009). Analysing Language Education Policy for China’s Minority Groups in Its Entirety. </w:t>
      </w:r>
      <w:r w:rsidRPr="00FA5AA0">
        <w:rPr>
          <w:i/>
          <w:iCs/>
        </w:rPr>
        <w:t>International Journal of Bilingual Education and Bilingualism</w:t>
      </w:r>
      <w:r w:rsidRPr="00FA5AA0">
        <w:t xml:space="preserve">, </w:t>
      </w:r>
      <w:r w:rsidRPr="00FA5AA0">
        <w:rPr>
          <w:i/>
          <w:iCs/>
        </w:rPr>
        <w:t>12</w:t>
      </w:r>
      <w:r w:rsidRPr="00FA5AA0">
        <w:t>(6), 685–704.</w:t>
      </w:r>
    </w:p>
    <w:p w:rsidR="00FA5AA0" w:rsidRPr="00FA5AA0" w:rsidRDefault="00FA5AA0" w:rsidP="00627031">
      <w:pPr>
        <w:pStyle w:val="Bibliography"/>
        <w:spacing w:line="240" w:lineRule="auto"/>
        <w:contextualSpacing/>
      </w:pPr>
      <w:r w:rsidRPr="00FA5AA0">
        <w:t xml:space="preserve">Gao, F. (2010). Bilingual Education Among Ethnic Koreans in China. </w:t>
      </w:r>
      <w:r w:rsidRPr="00FA5AA0">
        <w:rPr>
          <w:i/>
          <w:iCs/>
        </w:rPr>
        <w:t>Chinese Education &amp; Society</w:t>
      </w:r>
      <w:r w:rsidRPr="00FA5AA0">
        <w:t xml:space="preserve">, </w:t>
      </w:r>
      <w:r w:rsidRPr="00FA5AA0">
        <w:rPr>
          <w:i/>
          <w:iCs/>
        </w:rPr>
        <w:t>43</w:t>
      </w:r>
      <w:r w:rsidRPr="00FA5AA0">
        <w:t>(1), 82–92. doi:Article</w:t>
      </w:r>
    </w:p>
    <w:p w:rsidR="00FA5AA0" w:rsidRPr="00FA5AA0" w:rsidRDefault="00FA5AA0" w:rsidP="00627031">
      <w:pPr>
        <w:pStyle w:val="Bibliography"/>
        <w:spacing w:line="240" w:lineRule="auto"/>
        <w:contextualSpacing/>
      </w:pPr>
      <w:r w:rsidRPr="00FA5AA0">
        <w:t xml:space="preserve">Gladney, D. C. (2004). </w:t>
      </w:r>
      <w:r w:rsidRPr="00FA5AA0">
        <w:rPr>
          <w:i/>
          <w:iCs/>
        </w:rPr>
        <w:t>Dislocating China: Muslims, Minorities, and Other Subaltern Subjects</w:t>
      </w:r>
      <w:r w:rsidRPr="00FA5AA0">
        <w:t>. Chicago: University of Chicago Press.</w:t>
      </w:r>
    </w:p>
    <w:p w:rsidR="00FA5AA0" w:rsidRPr="00FA5AA0" w:rsidRDefault="00FA5AA0" w:rsidP="00627031">
      <w:pPr>
        <w:pStyle w:val="Bibliography"/>
        <w:spacing w:line="240" w:lineRule="auto"/>
        <w:contextualSpacing/>
      </w:pPr>
      <w:r w:rsidRPr="00FA5AA0">
        <w:t xml:space="preserve">Gustafsson, B., &amp; Shi, L. (2003). The Ethnic Minority-Majority Income Gap in Rural China during Transition. </w:t>
      </w:r>
      <w:r w:rsidRPr="00FA5AA0">
        <w:rPr>
          <w:i/>
          <w:iCs/>
        </w:rPr>
        <w:t>Economic Development and Cultural Change</w:t>
      </w:r>
      <w:r w:rsidRPr="00FA5AA0">
        <w:t xml:space="preserve">, </w:t>
      </w:r>
      <w:r w:rsidRPr="00FA5AA0">
        <w:rPr>
          <w:i/>
          <w:iCs/>
        </w:rPr>
        <w:t>51</w:t>
      </w:r>
      <w:r w:rsidRPr="00FA5AA0">
        <w:t>(4), 805–822.</w:t>
      </w:r>
    </w:p>
    <w:p w:rsidR="00FA5AA0" w:rsidRPr="00FA5AA0" w:rsidRDefault="00FA5AA0" w:rsidP="00627031">
      <w:pPr>
        <w:pStyle w:val="Bibliography"/>
        <w:spacing w:line="240" w:lineRule="auto"/>
        <w:contextualSpacing/>
      </w:pPr>
      <w:r w:rsidRPr="00FA5AA0">
        <w:t xml:space="preserve">Gustafsson, Bjorn, &amp; Ding, S. (2006). </w:t>
      </w:r>
      <w:r w:rsidRPr="00FA5AA0">
        <w:rPr>
          <w:i/>
          <w:iCs/>
        </w:rPr>
        <w:t>Villages where China’s Ethnic Minorities Live</w:t>
      </w:r>
      <w:r w:rsidRPr="00FA5AA0">
        <w:t xml:space="preserve"> (No. 2418) (pp. 1–41). Retrieved from ftp://repec.iza.org/RePEc/Discussionpaper/dp2418.pdf</w:t>
      </w:r>
    </w:p>
    <w:p w:rsidR="00FA5AA0" w:rsidRPr="00FA5AA0" w:rsidRDefault="00FA5AA0" w:rsidP="00627031">
      <w:pPr>
        <w:pStyle w:val="Bibliography"/>
        <w:spacing w:line="240" w:lineRule="auto"/>
        <w:contextualSpacing/>
      </w:pPr>
      <w:r w:rsidRPr="00FA5AA0">
        <w:t xml:space="preserve">Gustafsson, Björn, &amp; Ding, S. (2009). Temporary and Persistent Poverty Among Ethnic Minorities and the Majority in Rural China. </w:t>
      </w:r>
      <w:r w:rsidRPr="00FA5AA0">
        <w:rPr>
          <w:i/>
          <w:iCs/>
        </w:rPr>
        <w:t>Review of Income and Wealth</w:t>
      </w:r>
      <w:r w:rsidRPr="00FA5AA0">
        <w:t xml:space="preserve">, </w:t>
      </w:r>
      <w:r w:rsidRPr="00FA5AA0">
        <w:rPr>
          <w:i/>
          <w:iCs/>
        </w:rPr>
        <w:t>55</w:t>
      </w:r>
      <w:r w:rsidRPr="00FA5AA0">
        <w:t>, 588–606. doi:10.1111/j.1475-4991.2009.00332.x</w:t>
      </w:r>
    </w:p>
    <w:p w:rsidR="00FA5AA0" w:rsidRPr="00FA5AA0" w:rsidRDefault="00FA5AA0" w:rsidP="00627031">
      <w:pPr>
        <w:pStyle w:val="Bibliography"/>
        <w:spacing w:line="240" w:lineRule="auto"/>
        <w:contextualSpacing/>
      </w:pPr>
      <w:r w:rsidRPr="00FA5AA0">
        <w:t xml:space="preserve">Hannum, E. (2002). Educational Stratification by Ethnicity in China: Enrollment and Attainment in the Early Reform Years. </w:t>
      </w:r>
      <w:r w:rsidRPr="00FA5AA0">
        <w:rPr>
          <w:i/>
          <w:iCs/>
        </w:rPr>
        <w:t>Demography</w:t>
      </w:r>
      <w:r w:rsidRPr="00FA5AA0">
        <w:t xml:space="preserve">, </w:t>
      </w:r>
      <w:r w:rsidRPr="00FA5AA0">
        <w:rPr>
          <w:i/>
          <w:iCs/>
        </w:rPr>
        <w:t>39</w:t>
      </w:r>
      <w:r w:rsidRPr="00FA5AA0">
        <w:t>(1), 95–117.</w:t>
      </w:r>
    </w:p>
    <w:p w:rsidR="00FA5AA0" w:rsidRPr="00FA5AA0" w:rsidRDefault="00FA5AA0" w:rsidP="00627031">
      <w:pPr>
        <w:pStyle w:val="Bibliography"/>
        <w:spacing w:line="240" w:lineRule="auto"/>
        <w:contextualSpacing/>
      </w:pPr>
      <w:r w:rsidRPr="00FA5AA0">
        <w:t xml:space="preserve">Hannum, E., An, X., &amp; Cherng, H.-Y. S. (2011). Examinations and educational opportunity in China: mobility and bottlenecks for the rural poor. </w:t>
      </w:r>
      <w:r w:rsidRPr="00FA5AA0">
        <w:rPr>
          <w:i/>
          <w:iCs/>
        </w:rPr>
        <w:t>Oxford Review of Education</w:t>
      </w:r>
      <w:r w:rsidRPr="00FA5AA0">
        <w:t xml:space="preserve">, </w:t>
      </w:r>
      <w:r w:rsidRPr="00FA5AA0">
        <w:rPr>
          <w:i/>
          <w:iCs/>
        </w:rPr>
        <w:t>37</w:t>
      </w:r>
      <w:r w:rsidRPr="00FA5AA0">
        <w:t>(2), 267–305.</w:t>
      </w:r>
    </w:p>
    <w:p w:rsidR="00FA5AA0" w:rsidRPr="00FA5AA0" w:rsidRDefault="00FA5AA0" w:rsidP="00627031">
      <w:pPr>
        <w:pStyle w:val="Bibliography"/>
        <w:spacing w:line="240" w:lineRule="auto"/>
        <w:contextualSpacing/>
      </w:pPr>
      <w:r w:rsidRPr="00FA5AA0">
        <w:t>Hannum, E., Behrman, J., Wang, M., &amp; Liu, J. (Forthcoming). Education in the Reform Era. In L. Brandt &amp; T. Rawski (Eds.), .</w:t>
      </w:r>
    </w:p>
    <w:p w:rsidR="00FA5AA0" w:rsidRPr="00FA5AA0" w:rsidRDefault="00FA5AA0" w:rsidP="00627031">
      <w:pPr>
        <w:pStyle w:val="Bibliography"/>
        <w:spacing w:line="240" w:lineRule="auto"/>
        <w:contextualSpacing/>
      </w:pPr>
      <w:r w:rsidRPr="00FA5AA0">
        <w:t>Hannum, E., &amp; Wang, M. (2012). China: A Case Study in Rapid Poverty Reduction. In G. Hall &amp; H. A. Patrinos (Eds.), . Cambridge, UK: Cambridge University Press.</w:t>
      </w:r>
    </w:p>
    <w:p w:rsidR="00FA5AA0" w:rsidRPr="00FA5AA0" w:rsidRDefault="00FA5AA0" w:rsidP="00627031">
      <w:pPr>
        <w:pStyle w:val="Bibliography"/>
        <w:spacing w:line="240" w:lineRule="auto"/>
        <w:contextualSpacing/>
      </w:pPr>
      <w:r w:rsidRPr="00FA5AA0">
        <w:t xml:space="preserve">Hannum, E., &amp; Xie, Y. (1998). Ethnic stratification in Northwest China: Occupational differences between Han Chinese and national minorities in Xinjiang, 1982-1990. </w:t>
      </w:r>
      <w:r w:rsidRPr="00FA5AA0">
        <w:rPr>
          <w:i/>
          <w:iCs/>
        </w:rPr>
        <w:t>Demography</w:t>
      </w:r>
      <w:r w:rsidRPr="00FA5AA0">
        <w:t xml:space="preserve">, </w:t>
      </w:r>
      <w:r w:rsidRPr="00FA5AA0">
        <w:rPr>
          <w:i/>
          <w:iCs/>
        </w:rPr>
        <w:t>35</w:t>
      </w:r>
      <w:r w:rsidRPr="00FA5AA0">
        <w:t>(3), 323–333.</w:t>
      </w:r>
    </w:p>
    <w:p w:rsidR="00FA5AA0" w:rsidRPr="00FA5AA0" w:rsidRDefault="00FA5AA0" w:rsidP="00627031">
      <w:pPr>
        <w:pStyle w:val="Bibliography"/>
        <w:spacing w:line="240" w:lineRule="auto"/>
        <w:contextualSpacing/>
      </w:pPr>
      <w:r w:rsidRPr="00FA5AA0">
        <w:t xml:space="preserve">Hansen, M. H. (1999). </w:t>
      </w:r>
      <w:r w:rsidRPr="00FA5AA0">
        <w:rPr>
          <w:i/>
          <w:iCs/>
        </w:rPr>
        <w:t>Lessons in Being Chinese: Minority Education and Ethnic Identity in Southwest China</w:t>
      </w:r>
      <w:r w:rsidRPr="00FA5AA0">
        <w:t>. University of Washington Press.</w:t>
      </w:r>
    </w:p>
    <w:p w:rsidR="00FA5AA0" w:rsidRPr="00FA5AA0" w:rsidRDefault="00FA5AA0" w:rsidP="00627031">
      <w:pPr>
        <w:pStyle w:val="Bibliography"/>
        <w:spacing w:line="240" w:lineRule="auto"/>
        <w:contextualSpacing/>
      </w:pPr>
      <w:r w:rsidRPr="00FA5AA0">
        <w:t xml:space="preserve">Harrell, S. (Ed.). (1995). </w:t>
      </w:r>
      <w:r w:rsidRPr="00FA5AA0">
        <w:rPr>
          <w:i/>
          <w:iCs/>
        </w:rPr>
        <w:t>Cultural encounters on China’s ethnic frontiers</w:t>
      </w:r>
      <w:r w:rsidRPr="00FA5AA0">
        <w:t>. Seattle: University of Washington Press. Retrieved from http://www.questia.com/PM.qst?a=o&amp;d=98083170</w:t>
      </w:r>
    </w:p>
    <w:p w:rsidR="00FA5AA0" w:rsidRPr="00FA5AA0" w:rsidRDefault="00FA5AA0" w:rsidP="00627031">
      <w:pPr>
        <w:pStyle w:val="Bibliography"/>
        <w:spacing w:line="240" w:lineRule="auto"/>
        <w:contextualSpacing/>
      </w:pPr>
      <w:r w:rsidRPr="00AF174D">
        <w:rPr>
          <w:lang w:val="fr-FR"/>
        </w:rPr>
        <w:t xml:space="preserve">Harrell, S., &amp; Mgebbu (Ma), L. (Erzi). </w:t>
      </w:r>
      <w:r w:rsidRPr="00FA5AA0">
        <w:t xml:space="preserve">(1999). “Folk Theories of Success Where Han Aren”t Always Best,’’. In G. A. Postiglione (Ed.), </w:t>
      </w:r>
      <w:r w:rsidRPr="00FA5AA0">
        <w:rPr>
          <w:i/>
          <w:iCs/>
        </w:rPr>
        <w:t>China’s National Minority Education: Culture, Schooling, and Development</w:t>
      </w:r>
      <w:r w:rsidRPr="00FA5AA0">
        <w:t xml:space="preserve"> (pp. 213–242). New York: Falmer Press.</w:t>
      </w:r>
    </w:p>
    <w:p w:rsidR="00FA5AA0" w:rsidRPr="00FA5AA0" w:rsidRDefault="00FA5AA0" w:rsidP="00627031">
      <w:pPr>
        <w:pStyle w:val="Bibliography"/>
        <w:spacing w:line="240" w:lineRule="auto"/>
        <w:contextualSpacing/>
      </w:pPr>
      <w:r w:rsidRPr="00FA5AA0">
        <w:t xml:space="preserve">Hong, Y. (2010). Home Language and Educational Attainments of Ethnic Minorities in Western China. </w:t>
      </w:r>
      <w:r w:rsidRPr="00FA5AA0">
        <w:rPr>
          <w:i/>
          <w:iCs/>
        </w:rPr>
        <w:t>Chinese Education and Society</w:t>
      </w:r>
      <w:r w:rsidRPr="00FA5AA0">
        <w:t xml:space="preserve">, </w:t>
      </w:r>
      <w:r w:rsidRPr="00FA5AA0">
        <w:rPr>
          <w:i/>
          <w:iCs/>
        </w:rPr>
        <w:t>43</w:t>
      </w:r>
      <w:r w:rsidRPr="00FA5AA0">
        <w:t>(1), 24–35.</w:t>
      </w:r>
    </w:p>
    <w:p w:rsidR="00FA5AA0" w:rsidRPr="00FA5AA0" w:rsidRDefault="00FA5AA0" w:rsidP="00627031">
      <w:pPr>
        <w:pStyle w:val="Bibliography"/>
        <w:spacing w:line="240" w:lineRule="auto"/>
        <w:contextualSpacing/>
      </w:pPr>
      <w:r w:rsidRPr="00FA5AA0">
        <w:t xml:space="preserve">Iredale, R. R., Bilik, N., &amp; Su, W. (2001). </w:t>
      </w:r>
      <w:r w:rsidRPr="00FA5AA0">
        <w:rPr>
          <w:i/>
          <w:iCs/>
        </w:rPr>
        <w:t>Contemporary Minority Migration, Education, and Ethnicity in China</w:t>
      </w:r>
      <w:r w:rsidRPr="00FA5AA0">
        <w:t>. Edward Elgar Northampton, MA.</w:t>
      </w:r>
    </w:p>
    <w:p w:rsidR="00FA5AA0" w:rsidRPr="00FA5AA0" w:rsidRDefault="00FA5AA0" w:rsidP="00627031">
      <w:pPr>
        <w:pStyle w:val="Bibliography"/>
        <w:spacing w:line="240" w:lineRule="auto"/>
        <w:contextualSpacing/>
      </w:pPr>
      <w:r w:rsidRPr="00FA5AA0">
        <w:t xml:space="preserve">Lang, W. (2010). Entrance Exam Admission Policies on Ethnic Minorities and Equal Educational Rights for Minorities in China. </w:t>
      </w:r>
      <w:r w:rsidRPr="00FA5AA0">
        <w:rPr>
          <w:i/>
          <w:iCs/>
        </w:rPr>
        <w:t>Chinese Education &amp; Society</w:t>
      </w:r>
      <w:r w:rsidRPr="00FA5AA0">
        <w:t xml:space="preserve">, </w:t>
      </w:r>
      <w:r w:rsidRPr="00FA5AA0">
        <w:rPr>
          <w:i/>
          <w:iCs/>
        </w:rPr>
        <w:t>43</w:t>
      </w:r>
      <w:r w:rsidRPr="00FA5AA0">
        <w:t>(4), 41–48. doi:Article</w:t>
      </w:r>
    </w:p>
    <w:p w:rsidR="00FA5AA0" w:rsidRPr="00FA5AA0" w:rsidRDefault="00FA5AA0" w:rsidP="00627031">
      <w:pPr>
        <w:pStyle w:val="Bibliography"/>
        <w:spacing w:line="240" w:lineRule="auto"/>
        <w:contextualSpacing/>
      </w:pPr>
      <w:r w:rsidRPr="00FA5AA0">
        <w:t xml:space="preserve">Lin, J. (1997). Policies and Practices of Bilingual Education for the Minorities in China. </w:t>
      </w:r>
      <w:r w:rsidRPr="00FA5AA0">
        <w:rPr>
          <w:i/>
          <w:iCs/>
        </w:rPr>
        <w:t>Journal of Multilingual and Multicultural Development</w:t>
      </w:r>
      <w:r w:rsidRPr="00FA5AA0">
        <w:t xml:space="preserve">, </w:t>
      </w:r>
      <w:r w:rsidRPr="00FA5AA0">
        <w:rPr>
          <w:i/>
          <w:iCs/>
        </w:rPr>
        <w:t>18</w:t>
      </w:r>
      <w:r w:rsidRPr="00FA5AA0">
        <w:t>(3), 193–205.</w:t>
      </w:r>
    </w:p>
    <w:p w:rsidR="00FA5AA0" w:rsidRPr="00FA5AA0" w:rsidRDefault="00FA5AA0" w:rsidP="00627031">
      <w:pPr>
        <w:pStyle w:val="Bibliography"/>
        <w:spacing w:line="240" w:lineRule="auto"/>
        <w:contextualSpacing/>
      </w:pPr>
      <w:r w:rsidRPr="00FA5AA0">
        <w:t xml:space="preserve">Ma, R. (2007). Bilingual Education for China’s Ethnic Minorities. </w:t>
      </w:r>
      <w:r w:rsidRPr="00FA5AA0">
        <w:rPr>
          <w:i/>
          <w:iCs/>
        </w:rPr>
        <w:t>Chinese Education and Society</w:t>
      </w:r>
      <w:r w:rsidRPr="00FA5AA0">
        <w:t xml:space="preserve">, </w:t>
      </w:r>
      <w:r w:rsidRPr="00FA5AA0">
        <w:rPr>
          <w:i/>
          <w:iCs/>
        </w:rPr>
        <w:t>40</w:t>
      </w:r>
      <w:r w:rsidRPr="00FA5AA0">
        <w:t>(2), 9–25.</w:t>
      </w:r>
    </w:p>
    <w:p w:rsidR="00FA5AA0" w:rsidRPr="00FA5AA0" w:rsidRDefault="00FA5AA0" w:rsidP="00627031">
      <w:pPr>
        <w:pStyle w:val="Bibliography"/>
        <w:spacing w:line="240" w:lineRule="auto"/>
        <w:contextualSpacing/>
      </w:pPr>
      <w:r w:rsidRPr="00FA5AA0">
        <w:t>Maurer-Fazio, M. (2011). Ethnicity and Hiring in China: Evidence from a Field Experiment. Presented at the Workshop on Ethnicity and Economic and Social Development in China and in the World, Beijing: Institute of Ethnology and Anthropology, Chinese Academy of Social Sciences.</w:t>
      </w:r>
    </w:p>
    <w:p w:rsidR="00FA5AA0" w:rsidRPr="00FA5AA0" w:rsidRDefault="00FA5AA0" w:rsidP="00627031">
      <w:pPr>
        <w:pStyle w:val="Bibliography"/>
        <w:spacing w:line="240" w:lineRule="auto"/>
        <w:contextualSpacing/>
      </w:pPr>
      <w:r w:rsidRPr="00FA5AA0">
        <w:t xml:space="preserve">Ojijed, W. (2010). Language Competition in an Ethnic Autonomous Region. </w:t>
      </w:r>
      <w:r w:rsidRPr="00FA5AA0">
        <w:rPr>
          <w:i/>
          <w:iCs/>
        </w:rPr>
        <w:t>Chinese Education &amp; Society</w:t>
      </w:r>
      <w:r w:rsidRPr="00FA5AA0">
        <w:t xml:space="preserve">, </w:t>
      </w:r>
      <w:r w:rsidRPr="00FA5AA0">
        <w:rPr>
          <w:i/>
          <w:iCs/>
        </w:rPr>
        <w:t>43</w:t>
      </w:r>
      <w:r w:rsidRPr="00FA5AA0">
        <w:t>(1), 58–69. doi:Article</w:t>
      </w:r>
    </w:p>
    <w:p w:rsidR="00FA5AA0" w:rsidRPr="00FA5AA0" w:rsidRDefault="00FA5AA0" w:rsidP="00627031">
      <w:pPr>
        <w:pStyle w:val="Bibliography"/>
        <w:spacing w:line="240" w:lineRule="auto"/>
        <w:contextualSpacing/>
      </w:pPr>
      <w:r w:rsidRPr="00FA5AA0">
        <w:t>Postiglione, G. (2007). School Access and Equity in Rural Tibet. In E. Hannum &amp; A. Park (Eds.),  (pp. 93–116). London and New York: Routledge.</w:t>
      </w:r>
    </w:p>
    <w:p w:rsidR="00FA5AA0" w:rsidRPr="00FA5AA0" w:rsidRDefault="00FA5AA0" w:rsidP="00627031">
      <w:pPr>
        <w:pStyle w:val="Bibliography"/>
        <w:spacing w:line="240" w:lineRule="auto"/>
        <w:contextualSpacing/>
      </w:pPr>
      <w:r w:rsidRPr="00FA5AA0">
        <w:t xml:space="preserve">Postiglione, G. A., Jiao, B., &amp; Gyatso, S. (2005). Education in Rural Tibet: Development, Problems and Adaptations. </w:t>
      </w:r>
      <w:r w:rsidRPr="00FA5AA0">
        <w:rPr>
          <w:i/>
          <w:iCs/>
        </w:rPr>
        <w:t>China: An International Journal</w:t>
      </w:r>
      <w:r w:rsidRPr="00FA5AA0">
        <w:t xml:space="preserve">, </w:t>
      </w:r>
      <w:r w:rsidRPr="00FA5AA0">
        <w:rPr>
          <w:i/>
          <w:iCs/>
        </w:rPr>
        <w:t>3</w:t>
      </w:r>
      <w:r w:rsidRPr="00FA5AA0">
        <w:t>(1), 1–23.</w:t>
      </w:r>
    </w:p>
    <w:p w:rsidR="00FA5AA0" w:rsidRPr="00FA5AA0" w:rsidRDefault="00FA5AA0" w:rsidP="00627031">
      <w:pPr>
        <w:pStyle w:val="Bibliography"/>
        <w:spacing w:line="240" w:lineRule="auto"/>
        <w:contextualSpacing/>
      </w:pPr>
      <w:r w:rsidRPr="00FA5AA0">
        <w:t xml:space="preserve">Postiglione, G., Zhiyong, Z., &amp; Jiao, B. (2004). From Ethnic segregation to impact integration: state schooling and identity construction for rural Tibetans. </w:t>
      </w:r>
      <w:r w:rsidRPr="00FA5AA0">
        <w:rPr>
          <w:i/>
          <w:iCs/>
        </w:rPr>
        <w:t>Asian Ethnicity</w:t>
      </w:r>
      <w:r w:rsidRPr="00FA5AA0">
        <w:t xml:space="preserve">, </w:t>
      </w:r>
      <w:r w:rsidRPr="00FA5AA0">
        <w:rPr>
          <w:i/>
          <w:iCs/>
        </w:rPr>
        <w:t>5</w:t>
      </w:r>
      <w:r w:rsidRPr="00FA5AA0">
        <w:t>(2), 195–217.</w:t>
      </w:r>
    </w:p>
    <w:p w:rsidR="00FA5AA0" w:rsidRPr="00FA5AA0" w:rsidRDefault="00FA5AA0" w:rsidP="00627031">
      <w:pPr>
        <w:pStyle w:val="Bibliography"/>
        <w:spacing w:line="240" w:lineRule="auto"/>
        <w:contextualSpacing/>
      </w:pPr>
      <w:r w:rsidRPr="00FA5AA0">
        <w:t xml:space="preserve">Postiglione, Gerard. (2009). Education of Ethnic Groups in China. In J. Banks (Ed.), </w:t>
      </w:r>
      <w:r w:rsidRPr="00FA5AA0">
        <w:rPr>
          <w:i/>
          <w:iCs/>
        </w:rPr>
        <w:t>The Routledge International Companion to Multicultural Education</w:t>
      </w:r>
      <w:r w:rsidRPr="00FA5AA0">
        <w:t xml:space="preserve"> (pp. 501–511). New York and London: Routledge. Retrieved from http://www0.hku.hk/chinaed/papers/Prof.%20G.A.%20Postiglione/The_Education_of_Ethnic_Minority_Groups_in_China.doc</w:t>
      </w:r>
    </w:p>
    <w:p w:rsidR="00FA5AA0" w:rsidRPr="00FA5AA0" w:rsidRDefault="00FA5AA0" w:rsidP="00627031">
      <w:pPr>
        <w:pStyle w:val="Bibliography"/>
        <w:spacing w:line="240" w:lineRule="auto"/>
        <w:contextualSpacing/>
      </w:pPr>
      <w:r w:rsidRPr="00FA5AA0">
        <w:t xml:space="preserve">Ross, H. (2006). Where and Who are the World’s Illiterates: China. </w:t>
      </w:r>
      <w:r w:rsidRPr="00FA5AA0">
        <w:rPr>
          <w:i/>
          <w:iCs/>
        </w:rPr>
        <w:t>UNESCO Global Monitoring Report China Country Study</w:t>
      </w:r>
      <w:r w:rsidRPr="00FA5AA0">
        <w:t>, 65.</w:t>
      </w:r>
    </w:p>
    <w:p w:rsidR="00FA5AA0" w:rsidRPr="00FA5AA0" w:rsidRDefault="00FA5AA0" w:rsidP="00627031">
      <w:pPr>
        <w:pStyle w:val="Bibliography"/>
        <w:spacing w:line="240" w:lineRule="auto"/>
        <w:contextualSpacing/>
      </w:pPr>
      <w:r w:rsidRPr="00FA5AA0">
        <w:t xml:space="preserve">Shen, H., &amp; Qian, M. (2010). The Other in Education. </w:t>
      </w:r>
      <w:r w:rsidRPr="00FA5AA0">
        <w:rPr>
          <w:i/>
          <w:iCs/>
        </w:rPr>
        <w:t>Chinese Education &amp; Society</w:t>
      </w:r>
      <w:r w:rsidRPr="00FA5AA0">
        <w:t xml:space="preserve">, </w:t>
      </w:r>
      <w:r w:rsidRPr="00FA5AA0">
        <w:rPr>
          <w:i/>
          <w:iCs/>
        </w:rPr>
        <w:t>43</w:t>
      </w:r>
      <w:r w:rsidRPr="00FA5AA0">
        <w:t>(5), 47–61. doi:Article</w:t>
      </w:r>
    </w:p>
    <w:p w:rsidR="00FA5AA0" w:rsidRPr="00FA5AA0" w:rsidRDefault="00FA5AA0" w:rsidP="00627031">
      <w:pPr>
        <w:pStyle w:val="Bibliography"/>
        <w:spacing w:line="240" w:lineRule="auto"/>
        <w:contextualSpacing/>
      </w:pPr>
      <w:r w:rsidRPr="00FA5AA0">
        <w:t xml:space="preserve">Sun, B., &amp; Qi, J. (2007). Development of Ethnic Education and Educational Equality in China: A Statistical Analysis Based on the Two Recent Population Censuses. </w:t>
      </w:r>
      <w:r w:rsidRPr="00FA5AA0">
        <w:rPr>
          <w:i/>
          <w:iCs/>
        </w:rPr>
        <w:t>Frontiers of Education in China</w:t>
      </w:r>
      <w:r w:rsidRPr="00FA5AA0">
        <w:t xml:space="preserve">, </w:t>
      </w:r>
      <w:r w:rsidRPr="00FA5AA0">
        <w:rPr>
          <w:i/>
          <w:iCs/>
        </w:rPr>
        <w:t>2</w:t>
      </w:r>
      <w:r w:rsidRPr="00FA5AA0">
        <w:t>(4), 528–535.</w:t>
      </w:r>
    </w:p>
    <w:p w:rsidR="00FA5AA0" w:rsidRPr="00FA5AA0" w:rsidRDefault="00FA5AA0" w:rsidP="00627031">
      <w:pPr>
        <w:pStyle w:val="Bibliography"/>
        <w:spacing w:line="240" w:lineRule="auto"/>
        <w:contextualSpacing/>
      </w:pPr>
      <w:r w:rsidRPr="00FA5AA0">
        <w:t xml:space="preserve">Sun, B., &amp; Xu, J. (2010). Why Ethnic Minority Children Are More Likely to Drop out of School: A Cultural Capital Perspective–Evidence from Ethnic Minority Rural Communities in the Northwest. </w:t>
      </w:r>
      <w:r w:rsidRPr="00FA5AA0">
        <w:rPr>
          <w:i/>
          <w:iCs/>
        </w:rPr>
        <w:t>Chinese Education and Society</w:t>
      </w:r>
      <w:r w:rsidRPr="00FA5AA0">
        <w:t xml:space="preserve">, </w:t>
      </w:r>
      <w:r w:rsidRPr="00FA5AA0">
        <w:rPr>
          <w:i/>
          <w:iCs/>
        </w:rPr>
        <w:t>43</w:t>
      </w:r>
      <w:r w:rsidRPr="00FA5AA0">
        <w:t>(5), 31–46.</w:t>
      </w:r>
    </w:p>
    <w:p w:rsidR="00FA5AA0" w:rsidRPr="00FA5AA0" w:rsidRDefault="00FA5AA0" w:rsidP="00627031">
      <w:pPr>
        <w:pStyle w:val="Bibliography"/>
        <w:spacing w:line="240" w:lineRule="auto"/>
        <w:contextualSpacing/>
      </w:pPr>
      <w:r w:rsidRPr="00FA5AA0">
        <w:t xml:space="preserve">Teng, X. (2002). Bilingual Society and Bilingual Education of the Yi Ethnic Minority of the Liangshan Yi Ethnic Minority Autonomous Prefecture in China Amid Cultural Changes–History, Present Situation, Problems, and Analysis. </w:t>
      </w:r>
      <w:r w:rsidRPr="00FA5AA0">
        <w:rPr>
          <w:i/>
          <w:iCs/>
        </w:rPr>
        <w:t>Chinese Education &amp; Society</w:t>
      </w:r>
      <w:r w:rsidRPr="00FA5AA0">
        <w:t xml:space="preserve">, </w:t>
      </w:r>
      <w:r w:rsidRPr="00FA5AA0">
        <w:rPr>
          <w:i/>
          <w:iCs/>
        </w:rPr>
        <w:t>35</w:t>
      </w:r>
      <w:r w:rsidRPr="00FA5AA0">
        <w:t>(3), 65.</w:t>
      </w:r>
    </w:p>
    <w:p w:rsidR="00FA5AA0" w:rsidRPr="00FA5AA0" w:rsidRDefault="00FA5AA0" w:rsidP="00627031">
      <w:pPr>
        <w:pStyle w:val="Bibliography"/>
        <w:spacing w:line="240" w:lineRule="auto"/>
        <w:contextualSpacing/>
      </w:pPr>
      <w:r w:rsidRPr="00FA5AA0">
        <w:t xml:space="preserve">Tsung, L. (2009). </w:t>
      </w:r>
      <w:r w:rsidRPr="00FA5AA0">
        <w:rPr>
          <w:i/>
          <w:iCs/>
        </w:rPr>
        <w:t>Minority Languages, Education and Communities in China</w:t>
      </w:r>
      <w:r w:rsidRPr="00FA5AA0">
        <w:t>. London: Palgrave Macmillan. Retrieved from http://www.palgrave.com/products/title.aspx?PID=280404</w:t>
      </w:r>
    </w:p>
    <w:p w:rsidR="00FA5AA0" w:rsidRPr="00FA5AA0" w:rsidRDefault="00FA5AA0" w:rsidP="00627031">
      <w:pPr>
        <w:pStyle w:val="Bibliography"/>
        <w:spacing w:line="240" w:lineRule="auto"/>
        <w:contextualSpacing/>
      </w:pPr>
      <w:r w:rsidRPr="00FA5AA0">
        <w:t xml:space="preserve">Tsung, L. T. H., &amp; Cruickshank, K. (2009). Mother Tongue and Bilingual Minority Education in China. </w:t>
      </w:r>
      <w:r w:rsidRPr="00FA5AA0">
        <w:rPr>
          <w:i/>
          <w:iCs/>
        </w:rPr>
        <w:t>International Journal of Bilingual Education and Bilingualism</w:t>
      </w:r>
      <w:r w:rsidRPr="00FA5AA0">
        <w:t xml:space="preserve">, </w:t>
      </w:r>
      <w:r w:rsidRPr="00FA5AA0">
        <w:rPr>
          <w:i/>
          <w:iCs/>
        </w:rPr>
        <w:t>12</w:t>
      </w:r>
      <w:r w:rsidRPr="00FA5AA0">
        <w:t>(5), 549–563.</w:t>
      </w:r>
    </w:p>
    <w:p w:rsidR="00FA5AA0" w:rsidRPr="00FA5AA0" w:rsidRDefault="00FA5AA0" w:rsidP="00627031">
      <w:pPr>
        <w:pStyle w:val="Bibliography"/>
        <w:spacing w:line="240" w:lineRule="auto"/>
        <w:contextualSpacing/>
      </w:pPr>
      <w:r w:rsidRPr="00FA5AA0">
        <w:t xml:space="preserve">Wang, C., &amp; Zhou, Q. (2003). Minority Education in China: from State’s preferential policies to dislocated Tibetan schools. </w:t>
      </w:r>
      <w:r w:rsidRPr="00FA5AA0">
        <w:rPr>
          <w:i/>
          <w:iCs/>
        </w:rPr>
        <w:t>Educational Studies (03055698)</w:t>
      </w:r>
      <w:r w:rsidRPr="00FA5AA0">
        <w:t xml:space="preserve">, </w:t>
      </w:r>
      <w:r w:rsidRPr="00FA5AA0">
        <w:rPr>
          <w:i/>
          <w:iCs/>
        </w:rPr>
        <w:t>29</w:t>
      </w:r>
      <w:r w:rsidRPr="00FA5AA0">
        <w:t>(1), 85.</w:t>
      </w:r>
    </w:p>
    <w:p w:rsidR="00FA5AA0" w:rsidRPr="00FA5AA0" w:rsidRDefault="00FA5AA0" w:rsidP="00627031">
      <w:pPr>
        <w:pStyle w:val="Bibliography"/>
        <w:spacing w:line="240" w:lineRule="auto"/>
        <w:contextualSpacing/>
      </w:pPr>
      <w:r w:rsidRPr="00FA5AA0">
        <w:t xml:space="preserve">West, L. A. (2004). Demographic and Socioeconomic Status of China’s Minority Ethnic Population: Any Closing of the Gap? In </w:t>
      </w:r>
      <w:r w:rsidRPr="00FA5AA0">
        <w:rPr>
          <w:i/>
          <w:iCs/>
        </w:rPr>
        <w:t>Session 110: Racial and Ethnic Differences in Schooling: International Contexts</w:t>
      </w:r>
      <w:r w:rsidRPr="00FA5AA0">
        <w:t xml:space="preserve"> (pp. 1–30). Presented at the Population Association of America, Boston, MA. Retrieved from http://proxy.library.upenn.edu:9523/download.asp?submissionId=41095</w:t>
      </w:r>
    </w:p>
    <w:p w:rsidR="00FA5AA0" w:rsidRPr="00FA5AA0" w:rsidRDefault="00FA5AA0" w:rsidP="00627031">
      <w:pPr>
        <w:pStyle w:val="Bibliography"/>
        <w:spacing w:line="240" w:lineRule="auto"/>
        <w:contextualSpacing/>
      </w:pPr>
      <w:r w:rsidRPr="00FA5AA0">
        <w:t xml:space="preserve">Wong, D. W. S. (2000). Ethnic Integration and Spatial Segregation of the Chinese Population. </w:t>
      </w:r>
      <w:r w:rsidRPr="00FA5AA0">
        <w:rPr>
          <w:i/>
          <w:iCs/>
        </w:rPr>
        <w:t>Asian Ethnicity</w:t>
      </w:r>
      <w:r w:rsidRPr="00FA5AA0">
        <w:t xml:space="preserve">, </w:t>
      </w:r>
      <w:r w:rsidRPr="00FA5AA0">
        <w:rPr>
          <w:i/>
          <w:iCs/>
        </w:rPr>
        <w:t>1</w:t>
      </w:r>
      <w:r w:rsidRPr="00FA5AA0">
        <w:t>(1), 53–72.</w:t>
      </w:r>
    </w:p>
    <w:p w:rsidR="00FA5AA0" w:rsidRPr="00FA5AA0" w:rsidRDefault="00FA5AA0" w:rsidP="00627031">
      <w:pPr>
        <w:pStyle w:val="Bibliography"/>
        <w:spacing w:line="240" w:lineRule="auto"/>
        <w:contextualSpacing/>
      </w:pPr>
      <w:r w:rsidRPr="00FA5AA0">
        <w:t xml:space="preserve">Xiao, H. (1998). Minority Languages in Dehong, China: Policy and Reality. </w:t>
      </w:r>
      <w:r w:rsidRPr="00FA5AA0">
        <w:rPr>
          <w:i/>
          <w:iCs/>
        </w:rPr>
        <w:t>Journal of Multilingual and Multicultural Development</w:t>
      </w:r>
      <w:r w:rsidRPr="00FA5AA0">
        <w:t xml:space="preserve">, </w:t>
      </w:r>
      <w:r w:rsidRPr="00FA5AA0">
        <w:rPr>
          <w:i/>
          <w:iCs/>
        </w:rPr>
        <w:t>19</w:t>
      </w:r>
      <w:r w:rsidRPr="00FA5AA0">
        <w:t>(3), 221–235.</w:t>
      </w:r>
    </w:p>
    <w:p w:rsidR="00FA5AA0" w:rsidRPr="00FA5AA0" w:rsidRDefault="00FA5AA0" w:rsidP="00627031">
      <w:pPr>
        <w:pStyle w:val="Bibliography"/>
        <w:spacing w:line="240" w:lineRule="auto"/>
        <w:contextualSpacing/>
      </w:pPr>
      <w:r w:rsidRPr="00FA5AA0">
        <w:t xml:space="preserve">Yi, L. (2006). Choosing between Ethnic and Chinese Citizenship: the Educational Trajectories of Tibetan Minority Children in Northwestern China. In V. L. Fong &amp; R. Murphy (Eds.), </w:t>
      </w:r>
      <w:r w:rsidRPr="00FA5AA0">
        <w:rPr>
          <w:i/>
          <w:iCs/>
        </w:rPr>
        <w:t>Chinese Citizenship: The View from the Margins</w:t>
      </w:r>
      <w:r w:rsidRPr="00FA5AA0">
        <w:t xml:space="preserve"> (pp. 41–67). Oxford: Routledge.</w:t>
      </w:r>
    </w:p>
    <w:p w:rsidR="00FA5AA0" w:rsidRPr="00FA5AA0" w:rsidRDefault="00FA5AA0" w:rsidP="00627031">
      <w:pPr>
        <w:pStyle w:val="Bibliography"/>
        <w:spacing w:line="240" w:lineRule="auto"/>
        <w:contextualSpacing/>
      </w:pPr>
      <w:r w:rsidRPr="00FA5AA0">
        <w:t xml:space="preserve">Yu, H. (2010). Cultural Integration and Education of the Naxi. </w:t>
      </w:r>
      <w:r w:rsidRPr="00FA5AA0">
        <w:rPr>
          <w:i/>
          <w:iCs/>
        </w:rPr>
        <w:t>Chinese Education &amp; Society</w:t>
      </w:r>
      <w:r w:rsidRPr="00FA5AA0">
        <w:t xml:space="preserve">, </w:t>
      </w:r>
      <w:r w:rsidRPr="00FA5AA0">
        <w:rPr>
          <w:i/>
          <w:iCs/>
        </w:rPr>
        <w:t>43</w:t>
      </w:r>
      <w:r w:rsidRPr="00FA5AA0">
        <w:t>(1), 36–45. doi:Article</w:t>
      </w:r>
    </w:p>
    <w:p w:rsidR="00FA5AA0" w:rsidRPr="00FA5AA0" w:rsidRDefault="00FA5AA0" w:rsidP="00627031">
      <w:pPr>
        <w:pStyle w:val="Bibliography"/>
        <w:spacing w:line="240" w:lineRule="auto"/>
        <w:contextualSpacing/>
      </w:pPr>
      <w:r w:rsidRPr="00FA5AA0">
        <w:t xml:space="preserve">Zang, X. (2008). Market Reforms and Han-Muslim Variation in Employment in the Chinese State Sector in a Chinese City. </w:t>
      </w:r>
      <w:r w:rsidRPr="00FA5AA0">
        <w:rPr>
          <w:i/>
          <w:iCs/>
        </w:rPr>
        <w:t>World Development</w:t>
      </w:r>
      <w:r w:rsidRPr="00FA5AA0">
        <w:t xml:space="preserve">, </w:t>
      </w:r>
      <w:r w:rsidRPr="00FA5AA0">
        <w:rPr>
          <w:i/>
          <w:iCs/>
        </w:rPr>
        <w:t>36</w:t>
      </w:r>
      <w:r w:rsidRPr="00FA5AA0">
        <w:t>(11), 2341–2341–2352.</w:t>
      </w:r>
    </w:p>
    <w:p w:rsidR="00FA5AA0" w:rsidRPr="00FA5AA0" w:rsidRDefault="00FA5AA0" w:rsidP="00627031">
      <w:pPr>
        <w:pStyle w:val="Bibliography"/>
        <w:spacing w:line="240" w:lineRule="auto"/>
        <w:contextualSpacing/>
      </w:pPr>
      <w:r w:rsidRPr="00FA5AA0">
        <w:t xml:space="preserve">Zhang, J., &amp; Verhoeven, J. C. (2010). Access to Higher Education of 25 Ethnic Minorities in Yunnan Province, South Western China. </w:t>
      </w:r>
      <w:r w:rsidRPr="00FA5AA0">
        <w:rPr>
          <w:i/>
          <w:iCs/>
        </w:rPr>
        <w:t>Frontiers of Education in China</w:t>
      </w:r>
      <w:r w:rsidRPr="00FA5AA0">
        <w:t xml:space="preserve">, </w:t>
      </w:r>
      <w:r w:rsidRPr="00FA5AA0">
        <w:rPr>
          <w:i/>
          <w:iCs/>
        </w:rPr>
        <w:t>5</w:t>
      </w:r>
      <w:r w:rsidRPr="00FA5AA0">
        <w:t>(2), 290–308.</w:t>
      </w:r>
    </w:p>
    <w:p w:rsidR="00FA5AA0" w:rsidRPr="00FA5AA0" w:rsidRDefault="00FA5AA0" w:rsidP="00627031">
      <w:pPr>
        <w:pStyle w:val="Bibliography"/>
        <w:spacing w:line="240" w:lineRule="auto"/>
        <w:contextualSpacing/>
      </w:pPr>
      <w:r w:rsidRPr="00FA5AA0">
        <w:t xml:space="preserve">Zhang, L., &amp; Wang, F. (2010). Current State of Economic Returns from Education in China’s Ethnic Regions and Explorations into Ways of Improvement. </w:t>
      </w:r>
      <w:r w:rsidRPr="00FA5AA0">
        <w:rPr>
          <w:i/>
          <w:iCs/>
        </w:rPr>
        <w:t>Chinese Education and Society</w:t>
      </w:r>
      <w:r w:rsidRPr="00FA5AA0">
        <w:t xml:space="preserve">, </w:t>
      </w:r>
      <w:r w:rsidRPr="00FA5AA0">
        <w:rPr>
          <w:i/>
          <w:iCs/>
        </w:rPr>
        <w:t>43</w:t>
      </w:r>
      <w:r w:rsidRPr="00FA5AA0">
        <w:t>(5), 10–30.</w:t>
      </w:r>
    </w:p>
    <w:p w:rsidR="00FA5AA0" w:rsidRPr="00FA5AA0" w:rsidRDefault="00FA5AA0" w:rsidP="00627031">
      <w:pPr>
        <w:pStyle w:val="Bibliography"/>
        <w:spacing w:line="240" w:lineRule="auto"/>
        <w:contextualSpacing/>
      </w:pPr>
      <w:r w:rsidRPr="00FA5AA0">
        <w:t xml:space="preserve">Zhou, M. (2005). Legislating Literacy for Linguistic and Ethnic Minorities in Contemporary China. </w:t>
      </w:r>
      <w:r w:rsidRPr="00FA5AA0">
        <w:rPr>
          <w:i/>
          <w:iCs/>
        </w:rPr>
        <w:t>Current Issues in Language Planning</w:t>
      </w:r>
      <w:r w:rsidRPr="00FA5AA0">
        <w:t xml:space="preserve">, </w:t>
      </w:r>
      <w:r w:rsidRPr="00FA5AA0">
        <w:rPr>
          <w:i/>
          <w:iCs/>
        </w:rPr>
        <w:t>6</w:t>
      </w:r>
      <w:r w:rsidRPr="00FA5AA0">
        <w:t>(2), 102–121.</w:t>
      </w:r>
    </w:p>
    <w:p w:rsidR="00FA5AA0" w:rsidRPr="00FA5AA0" w:rsidRDefault="00FA5AA0" w:rsidP="00627031">
      <w:pPr>
        <w:pStyle w:val="Bibliography"/>
        <w:spacing w:line="240" w:lineRule="auto"/>
        <w:contextualSpacing/>
      </w:pPr>
      <w:r w:rsidRPr="00FA5AA0">
        <w:t xml:space="preserve">Zhou, M., &amp; Hill, A. M. (2010). </w:t>
      </w:r>
      <w:r w:rsidRPr="00FA5AA0">
        <w:rPr>
          <w:i/>
          <w:iCs/>
        </w:rPr>
        <w:t>Affirmative Action in China and the U.S.: A Dialogue on Inequality and Minority Education</w:t>
      </w:r>
      <w:r w:rsidRPr="00FA5AA0">
        <w:t>. Palgrave Macmillan. 175 Fifth Avenue, New York, NY 10010. Tel: 888-830-8477; Fax: 800-672-2054; Web site: http://www.palgrave-usa.com. Retrieved from http://search.proquest.com/docview/822507612?accountid=14707</w:t>
      </w:r>
    </w:p>
    <w:p w:rsidR="00FA5AA0" w:rsidRPr="00FA5AA0" w:rsidRDefault="00FA5AA0" w:rsidP="00627031">
      <w:pPr>
        <w:pStyle w:val="Bibliography"/>
        <w:spacing w:line="240" w:lineRule="auto"/>
        <w:contextualSpacing/>
      </w:pPr>
      <w:r w:rsidRPr="00FA5AA0">
        <w:t xml:space="preserve">Zhou, W. (1989). </w:t>
      </w:r>
      <w:r w:rsidRPr="00FA5AA0">
        <w:t>谈四川民族地区的教育体系问题</w:t>
      </w:r>
      <w:r w:rsidRPr="00FA5AA0">
        <w:t xml:space="preserve"> [A discussion of problems in the education system in minority areas of Sichuan]. In H. Chen &amp; Z. Meng (Eds.), </w:t>
      </w:r>
      <w:r w:rsidRPr="00FA5AA0">
        <w:rPr>
          <w:i/>
          <w:iCs/>
        </w:rPr>
        <w:t>中国民族教育论丛</w:t>
      </w:r>
      <w:r w:rsidRPr="00FA5AA0">
        <w:rPr>
          <w:i/>
          <w:iCs/>
        </w:rPr>
        <w:t xml:space="preserve"> (Collected Essays on Ethnic Education), Vol. 4</w:t>
      </w:r>
      <w:r w:rsidRPr="00FA5AA0">
        <w:t xml:space="preserve"> (Vol. 4, pp. 18–38). Beijing: Central University for Nationalities (Minzu Daxue) Press.</w:t>
      </w:r>
    </w:p>
    <w:p w:rsidR="00FA5AA0" w:rsidRPr="00FA5AA0" w:rsidRDefault="00FA5AA0" w:rsidP="00627031">
      <w:pPr>
        <w:pStyle w:val="Bibliography"/>
        <w:spacing w:line="240" w:lineRule="auto"/>
        <w:contextualSpacing/>
      </w:pPr>
      <w:r w:rsidRPr="00FA5AA0">
        <w:t xml:space="preserve">Zhu, Z. (2007). </w:t>
      </w:r>
      <w:r w:rsidRPr="00FA5AA0">
        <w:rPr>
          <w:i/>
          <w:iCs/>
        </w:rPr>
        <w:t>State Schooling and Ethnic Identity: The Politics of a Tibetan Neidi Secondary School in China</w:t>
      </w:r>
      <w:r w:rsidRPr="00FA5AA0">
        <w:t>. Maryland: Lexington Books. Retrieved from http://books.google.com/books?id=6QKvL-2Qud8C&amp;pg=PA362&amp;lpg=PA362&amp;dq=Zhu,+Zhiyong+(2007).+State+Schooling+and+Ethnic+Identity:+The+Politics+of+A+Tibetan+Neidi+Secondary+School+in+China.+Maryland:+Lexington+Books.&amp;source=bl&amp;ots=sSyaXJ14Cw&amp;sig=GDZyQ8TiB1vvSRr75tb6sKdw1F8&amp;hl=en&amp;sa=X&amp;ei=HtqaT-jCA-eN6QHyxfHgDg&amp;ved=0CCEQ6AEwAA#v=onepage&amp;q=Zhu%2C%20Zhiyong%20(2007).%20State%20Schooling%20and%20Ethnic%20Identity%3A%20The%20Politics%20of%20A%20Tibetan%20Neidi%20Secondary%20School%20in%20China.%20Maryland%3A%20Lexington%20Books.&amp;f=false</w:t>
      </w:r>
    </w:p>
    <w:p w:rsidR="00FA5AA0" w:rsidRPr="00FA5AA0" w:rsidRDefault="00FA5AA0" w:rsidP="00627031">
      <w:pPr>
        <w:widowControl w:val="0"/>
        <w:autoSpaceDE w:val="0"/>
        <w:autoSpaceDN w:val="0"/>
        <w:adjustRightInd w:val="0"/>
        <w:spacing w:after="0" w:line="240" w:lineRule="auto"/>
        <w:contextualSpacing/>
        <w:rPr>
          <w:rFonts w:asciiTheme="majorHAnsi" w:hAnsiTheme="majorHAnsi"/>
        </w:rPr>
      </w:pPr>
      <w:r w:rsidRPr="00FA5AA0">
        <w:rPr>
          <w:rFonts w:asciiTheme="majorHAnsi" w:hAnsiTheme="majorHAnsi"/>
        </w:rPr>
        <w:fldChar w:fldCharType="end"/>
      </w:r>
      <w:r w:rsidRPr="00FA5AA0">
        <w:rPr>
          <w:rFonts w:asciiTheme="majorHAnsi" w:hAnsiTheme="majorHAnsi"/>
        </w:rPr>
        <w:fldChar w:fldCharType="begin"/>
      </w:r>
      <w:r w:rsidRPr="00FA5AA0">
        <w:rPr>
          <w:rFonts w:asciiTheme="majorHAnsi" w:hAnsiTheme="majorHAnsi"/>
        </w:rPr>
        <w:instrText xml:space="preserve"> ADDIN ZOTERO_BIBL {"custom":[]} CSL_BIBLIOGRAPHY </w:instrText>
      </w:r>
      <w:r w:rsidRPr="00FA5AA0">
        <w:rPr>
          <w:rFonts w:asciiTheme="majorHAnsi" w:hAnsiTheme="majorHAnsi"/>
        </w:rPr>
        <w:fldChar w:fldCharType="end"/>
      </w:r>
    </w:p>
    <w:p w:rsidR="00FA5AA0" w:rsidRPr="00FA5AA0" w:rsidRDefault="00FA5AA0" w:rsidP="00627031">
      <w:pPr>
        <w:spacing w:line="240" w:lineRule="auto"/>
        <w:contextualSpacing/>
        <w:rPr>
          <w:rFonts w:asciiTheme="majorHAnsi" w:hAnsiTheme="majorHAnsi" w:cs="Times New Roman"/>
          <w:b/>
        </w:rPr>
      </w:pPr>
      <w:r w:rsidRPr="00FA5AA0">
        <w:rPr>
          <w:rFonts w:asciiTheme="majorHAnsi" w:hAnsiTheme="majorHAnsi"/>
          <w:b/>
        </w:rPr>
        <w:br w:type="page"/>
      </w:r>
    </w:p>
    <w:p w:rsidR="00FA5AA0" w:rsidRPr="00FA5AA0" w:rsidRDefault="00FA5AA0" w:rsidP="00627031">
      <w:pPr>
        <w:pStyle w:val="NormalIndent"/>
        <w:spacing w:line="240" w:lineRule="auto"/>
        <w:ind w:firstLine="0"/>
        <w:contextualSpacing/>
        <w:rPr>
          <w:rFonts w:asciiTheme="majorHAnsi" w:hAnsiTheme="majorHAnsi"/>
          <w:b/>
          <w:sz w:val="22"/>
          <w:szCs w:val="22"/>
          <w:lang w:eastAsia="zh-CN"/>
        </w:rPr>
      </w:pPr>
      <w:r w:rsidRPr="00FA5AA0">
        <w:rPr>
          <w:rFonts w:asciiTheme="majorHAnsi" w:hAnsiTheme="majorHAnsi"/>
          <w:b/>
          <w:sz w:val="22"/>
          <w:szCs w:val="22"/>
          <w:lang w:eastAsia="zh-CN"/>
        </w:rPr>
        <w:t>Tables and Figures</w:t>
      </w:r>
    </w:p>
    <w:tbl>
      <w:tblPr>
        <w:tblStyle w:val="TableGrid"/>
        <w:tblW w:w="5400" w:type="pct"/>
        <w:tblLook w:val="04A0" w:firstRow="1" w:lastRow="0" w:firstColumn="1" w:lastColumn="0" w:noHBand="0" w:noVBand="1"/>
      </w:tblPr>
      <w:tblGrid>
        <w:gridCol w:w="827"/>
        <w:gridCol w:w="1320"/>
        <w:gridCol w:w="2081"/>
        <w:gridCol w:w="1934"/>
        <w:gridCol w:w="1541"/>
        <w:gridCol w:w="244"/>
        <w:gridCol w:w="1584"/>
        <w:gridCol w:w="811"/>
      </w:tblGrid>
      <w:tr w:rsidR="00FA5AA0" w:rsidRPr="00FA5AA0" w:rsidTr="00B36148">
        <w:trPr>
          <w:trHeight w:hRule="exact" w:val="288"/>
        </w:trPr>
        <w:tc>
          <w:tcPr>
            <w:tcW w:w="5000" w:type="pct"/>
            <w:gridSpan w:val="8"/>
            <w:tcBorders>
              <w:top w:val="nil"/>
              <w:left w:val="nil"/>
              <w:bottom w:val="nil"/>
              <w:right w:val="nil"/>
            </w:tcBorders>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Figure 1. China's Education System</w:t>
            </w:r>
          </w:p>
        </w:tc>
      </w:tr>
      <w:tr w:rsidR="00FA5AA0" w:rsidRPr="00FA5AA0" w:rsidTr="00B36148">
        <w:trPr>
          <w:gridAfter w:val="1"/>
          <w:wAfter w:w="392" w:type="pct"/>
          <w:trHeight w:hRule="exact" w:val="568"/>
        </w:trPr>
        <w:tc>
          <w:tcPr>
            <w:tcW w:w="400" w:type="pct"/>
            <w:tcBorders>
              <w:top w:val="single" w:sz="4" w:space="0" w:color="auto"/>
              <w:left w:val="single" w:sz="4" w:space="0" w:color="auto"/>
              <w:bottom w:val="single" w:sz="4" w:space="0" w:color="auto"/>
              <w:right w:val="single" w:sz="4" w:space="0" w:color="auto"/>
            </w:tcBorders>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Age</w:t>
            </w:r>
          </w:p>
        </w:tc>
        <w:tc>
          <w:tcPr>
            <w:tcW w:w="638" w:type="pct"/>
            <w:tcBorders>
              <w:top w:val="single" w:sz="4" w:space="0" w:color="auto"/>
              <w:left w:val="single" w:sz="4" w:space="0" w:color="auto"/>
              <w:bottom w:val="single" w:sz="4" w:space="0" w:color="auto"/>
              <w:right w:val="single" w:sz="4" w:space="0" w:color="auto"/>
            </w:tcBorders>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Number of years school</w:t>
            </w:r>
          </w:p>
        </w:tc>
        <w:tc>
          <w:tcPr>
            <w:tcW w:w="1006" w:type="pct"/>
            <w:tcBorders>
              <w:top w:val="nil"/>
              <w:left w:val="single" w:sz="4" w:space="0" w:color="auto"/>
              <w:bottom w:val="nil"/>
              <w:right w:val="nil"/>
            </w:tcBorders>
          </w:tcPr>
          <w:p w:rsidR="00FA5AA0" w:rsidRPr="00FA5AA0" w:rsidRDefault="00FA5AA0" w:rsidP="00627031">
            <w:pPr>
              <w:contextualSpacing/>
              <w:rPr>
                <w:rFonts w:cs="Times New Roman"/>
              </w:rPr>
            </w:pPr>
          </w:p>
        </w:tc>
        <w:tc>
          <w:tcPr>
            <w:tcW w:w="935" w:type="pct"/>
            <w:tcBorders>
              <w:top w:val="nil"/>
              <w:left w:val="nil"/>
              <w:bottom w:val="nil"/>
              <w:right w:val="nil"/>
            </w:tcBorders>
          </w:tcPr>
          <w:p w:rsidR="00FA5AA0" w:rsidRPr="00FA5AA0" w:rsidRDefault="00FA5AA0" w:rsidP="00627031">
            <w:pPr>
              <w:contextualSpacing/>
              <w:rPr>
                <w:rFonts w:cs="Times New Roman"/>
              </w:rPr>
            </w:pPr>
          </w:p>
        </w:tc>
        <w:tc>
          <w:tcPr>
            <w:tcW w:w="745" w:type="pct"/>
            <w:tcBorders>
              <w:top w:val="nil"/>
              <w:left w:val="nil"/>
              <w:bottom w:val="nil"/>
              <w:right w:val="nil"/>
            </w:tcBorders>
          </w:tcPr>
          <w:p w:rsidR="00FA5AA0" w:rsidRPr="00FA5AA0" w:rsidRDefault="00FA5AA0" w:rsidP="00627031">
            <w:pPr>
              <w:contextualSpacing/>
              <w:rPr>
                <w:rFonts w:cs="Times New Roman"/>
              </w:rPr>
            </w:pPr>
          </w:p>
        </w:tc>
        <w:tc>
          <w:tcPr>
            <w:tcW w:w="118" w:type="pct"/>
            <w:tcBorders>
              <w:top w:val="nil"/>
              <w:left w:val="nil"/>
              <w:bottom w:val="nil"/>
              <w:right w:val="nil"/>
            </w:tcBorders>
          </w:tcPr>
          <w:p w:rsidR="00FA5AA0" w:rsidRPr="00FA5AA0" w:rsidRDefault="00FA5AA0" w:rsidP="00627031">
            <w:pPr>
              <w:contextualSpacing/>
              <w:rPr>
                <w:rFonts w:cs="Times New Roman"/>
              </w:rPr>
            </w:pPr>
          </w:p>
        </w:tc>
        <w:tc>
          <w:tcPr>
            <w:tcW w:w="766" w:type="pct"/>
            <w:tcBorders>
              <w:top w:val="nil"/>
              <w:left w:val="nil"/>
              <w:bottom w:val="single" w:sz="4" w:space="0" w:color="auto"/>
              <w:right w:val="nil"/>
            </w:tcBorders>
          </w:tcPr>
          <w:p w:rsidR="00FA5AA0" w:rsidRPr="00FA5AA0" w:rsidRDefault="00FA5AA0" w:rsidP="00627031">
            <w:pPr>
              <w:contextualSpacing/>
              <w:rPr>
                <w:rFonts w:cs="Times New Roman"/>
              </w:rPr>
            </w:pPr>
          </w:p>
        </w:tc>
      </w:tr>
      <w:tr w:rsidR="00FA5AA0" w:rsidRPr="00FA5AA0" w:rsidTr="00B36148">
        <w:trPr>
          <w:gridAfter w:val="1"/>
          <w:wAfter w:w="392" w:type="pct"/>
          <w:trHeight w:hRule="exact" w:val="288"/>
        </w:trPr>
        <w:tc>
          <w:tcPr>
            <w:tcW w:w="400" w:type="pct"/>
            <w:tcBorders>
              <w:top w:val="single" w:sz="4" w:space="0" w:color="auto"/>
              <w:left w:val="single" w:sz="4" w:space="0" w:color="auto"/>
              <w:bottom w:val="single" w:sz="4" w:space="0" w:color="auto"/>
              <w:right w:val="single" w:sz="4" w:space="0" w:color="auto"/>
            </w:tcBorders>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25-27</w:t>
            </w:r>
          </w:p>
        </w:tc>
        <w:tc>
          <w:tcPr>
            <w:tcW w:w="638" w:type="pct"/>
            <w:tcBorders>
              <w:top w:val="single" w:sz="4" w:space="0" w:color="auto"/>
              <w:left w:val="single" w:sz="4" w:space="0" w:color="auto"/>
              <w:bottom w:val="single" w:sz="4" w:space="0" w:color="auto"/>
              <w:right w:val="single" w:sz="4" w:space="0" w:color="auto"/>
            </w:tcBorders>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3</w:t>
            </w:r>
          </w:p>
        </w:tc>
        <w:tc>
          <w:tcPr>
            <w:tcW w:w="1006" w:type="pct"/>
            <w:tcBorders>
              <w:top w:val="single" w:sz="4" w:space="0" w:color="auto"/>
              <w:left w:val="single" w:sz="4" w:space="0" w:color="auto"/>
              <w:bottom w:val="nil"/>
              <w:right w:val="single" w:sz="4" w:space="0" w:color="auto"/>
            </w:tcBorders>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Doctorate</w:t>
            </w:r>
          </w:p>
        </w:tc>
        <w:tc>
          <w:tcPr>
            <w:tcW w:w="935" w:type="pct"/>
            <w:tcBorders>
              <w:top w:val="nil"/>
              <w:left w:val="single" w:sz="4" w:space="0" w:color="auto"/>
              <w:bottom w:val="nil"/>
              <w:right w:val="nil"/>
            </w:tcBorders>
          </w:tcPr>
          <w:p w:rsidR="00FA5AA0" w:rsidRPr="00FA5AA0" w:rsidRDefault="00FA5AA0" w:rsidP="00627031">
            <w:pPr>
              <w:contextualSpacing/>
              <w:rPr>
                <w:rFonts w:cs="Times New Roman"/>
              </w:rPr>
            </w:pPr>
          </w:p>
        </w:tc>
        <w:tc>
          <w:tcPr>
            <w:tcW w:w="745" w:type="pct"/>
            <w:tcBorders>
              <w:top w:val="nil"/>
              <w:left w:val="nil"/>
              <w:bottom w:val="nil"/>
              <w:right w:val="nil"/>
            </w:tcBorders>
          </w:tcPr>
          <w:p w:rsidR="00FA5AA0" w:rsidRPr="00FA5AA0" w:rsidRDefault="00FA5AA0" w:rsidP="00627031">
            <w:pPr>
              <w:pStyle w:val="NormalIndent"/>
              <w:contextualSpacing/>
              <w:rPr>
                <w:rFonts w:asciiTheme="majorHAnsi" w:hAnsiTheme="majorHAnsi"/>
                <w:sz w:val="22"/>
                <w:szCs w:val="22"/>
              </w:rPr>
            </w:pPr>
          </w:p>
        </w:tc>
        <w:tc>
          <w:tcPr>
            <w:tcW w:w="118" w:type="pct"/>
            <w:tcBorders>
              <w:top w:val="nil"/>
              <w:left w:val="nil"/>
              <w:bottom w:val="nil"/>
              <w:right w:val="single" w:sz="4" w:space="0" w:color="auto"/>
            </w:tcBorders>
          </w:tcPr>
          <w:p w:rsidR="00FA5AA0" w:rsidRPr="00FA5AA0" w:rsidRDefault="00FA5AA0" w:rsidP="00627031">
            <w:pPr>
              <w:pStyle w:val="NormalIndent"/>
              <w:ind w:firstLine="0"/>
              <w:contextualSpacing/>
              <w:rPr>
                <w:rFonts w:asciiTheme="majorHAnsi" w:hAnsiTheme="majorHAnsi"/>
                <w:sz w:val="22"/>
                <w:szCs w:val="22"/>
              </w:rPr>
            </w:pPr>
          </w:p>
        </w:tc>
        <w:tc>
          <w:tcPr>
            <w:tcW w:w="766" w:type="pct"/>
            <w:vMerge w:val="restart"/>
            <w:tcBorders>
              <w:top w:val="single" w:sz="4" w:space="0" w:color="auto"/>
              <w:left w:val="single" w:sz="4" w:space="0" w:color="auto"/>
              <w:bottom w:val="single" w:sz="4" w:space="0" w:color="auto"/>
              <w:right w:val="single" w:sz="4" w:space="0" w:color="auto"/>
            </w:tcBorders>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Post-graduation / work</w:t>
            </w:r>
          </w:p>
        </w:tc>
      </w:tr>
      <w:tr w:rsidR="00FA5AA0" w:rsidRPr="00FA5AA0" w:rsidTr="00B36148">
        <w:trPr>
          <w:gridAfter w:val="1"/>
          <w:wAfter w:w="392" w:type="pct"/>
          <w:trHeight w:hRule="exact" w:val="622"/>
        </w:trPr>
        <w:tc>
          <w:tcPr>
            <w:tcW w:w="400" w:type="pct"/>
            <w:tcBorders>
              <w:top w:val="single" w:sz="4" w:space="0" w:color="auto"/>
              <w:left w:val="single" w:sz="4" w:space="0" w:color="auto"/>
              <w:bottom w:val="single" w:sz="4" w:space="0" w:color="auto"/>
              <w:right w:val="single" w:sz="4" w:space="0" w:color="auto"/>
            </w:tcBorders>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22-24</w:t>
            </w:r>
          </w:p>
        </w:tc>
        <w:tc>
          <w:tcPr>
            <w:tcW w:w="638" w:type="pct"/>
            <w:tcBorders>
              <w:top w:val="single" w:sz="4" w:space="0" w:color="auto"/>
              <w:left w:val="single" w:sz="4" w:space="0" w:color="auto"/>
              <w:bottom w:val="single" w:sz="4" w:space="0" w:color="auto"/>
              <w:right w:val="single" w:sz="4" w:space="0" w:color="auto"/>
            </w:tcBorders>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3</w:t>
            </w:r>
          </w:p>
        </w:tc>
        <w:tc>
          <w:tcPr>
            <w:tcW w:w="1006" w:type="pct"/>
            <w:tcBorders>
              <w:top w:val="single" w:sz="4" w:space="0" w:color="auto"/>
              <w:left w:val="single" w:sz="4" w:space="0" w:color="auto"/>
              <w:bottom w:val="single" w:sz="4" w:space="0" w:color="auto"/>
              <w:right w:val="single" w:sz="4" w:space="0" w:color="auto"/>
            </w:tcBorders>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Masters</w:t>
            </w:r>
          </w:p>
        </w:tc>
        <w:tc>
          <w:tcPr>
            <w:tcW w:w="935" w:type="pct"/>
            <w:tcBorders>
              <w:top w:val="nil"/>
              <w:left w:val="single" w:sz="4" w:space="0" w:color="auto"/>
              <w:bottom w:val="nil"/>
              <w:right w:val="nil"/>
            </w:tcBorders>
          </w:tcPr>
          <w:p w:rsidR="00FA5AA0" w:rsidRPr="00FA5AA0" w:rsidRDefault="00FA5AA0" w:rsidP="00627031">
            <w:pPr>
              <w:contextualSpacing/>
              <w:rPr>
                <w:rFonts w:cs="Times New Roman"/>
              </w:rPr>
            </w:pPr>
          </w:p>
        </w:tc>
        <w:tc>
          <w:tcPr>
            <w:tcW w:w="745" w:type="pct"/>
            <w:tcBorders>
              <w:top w:val="nil"/>
              <w:left w:val="nil"/>
              <w:bottom w:val="single" w:sz="4" w:space="0" w:color="auto"/>
              <w:right w:val="nil"/>
            </w:tcBorders>
          </w:tcPr>
          <w:p w:rsidR="00FA5AA0" w:rsidRPr="00FA5AA0" w:rsidRDefault="00FA5AA0" w:rsidP="00627031">
            <w:pPr>
              <w:contextualSpacing/>
              <w:rPr>
                <w:rFonts w:cs="Times New Roman"/>
              </w:rPr>
            </w:pPr>
          </w:p>
        </w:tc>
        <w:tc>
          <w:tcPr>
            <w:tcW w:w="118" w:type="pct"/>
            <w:tcBorders>
              <w:top w:val="nil"/>
              <w:left w:val="nil"/>
              <w:bottom w:val="nil"/>
              <w:right w:val="single" w:sz="4" w:space="0" w:color="auto"/>
            </w:tcBorders>
          </w:tcPr>
          <w:p w:rsidR="00FA5AA0" w:rsidRPr="00FA5AA0" w:rsidRDefault="00FA5AA0" w:rsidP="00627031">
            <w:pPr>
              <w:contextualSpacing/>
              <w:rPr>
                <w:rFonts w:cs="Times New Roman"/>
              </w:rPr>
            </w:pPr>
          </w:p>
        </w:tc>
        <w:tc>
          <w:tcPr>
            <w:tcW w:w="766" w:type="pct"/>
            <w:vMerge/>
            <w:tcBorders>
              <w:top w:val="single" w:sz="4" w:space="0" w:color="auto"/>
              <w:left w:val="single" w:sz="4" w:space="0" w:color="auto"/>
              <w:bottom w:val="single" w:sz="4" w:space="0" w:color="auto"/>
              <w:right w:val="single" w:sz="4" w:space="0" w:color="auto"/>
            </w:tcBorders>
          </w:tcPr>
          <w:p w:rsidR="00FA5AA0" w:rsidRPr="00FA5AA0" w:rsidRDefault="00FA5AA0" w:rsidP="00627031">
            <w:pPr>
              <w:contextualSpacing/>
              <w:rPr>
                <w:rFonts w:cs="Times New Roman"/>
              </w:rPr>
            </w:pPr>
          </w:p>
        </w:tc>
      </w:tr>
      <w:tr w:rsidR="00FA5AA0" w:rsidRPr="00FA5AA0" w:rsidTr="00B36148">
        <w:trPr>
          <w:gridAfter w:val="1"/>
          <w:wAfter w:w="392" w:type="pct"/>
          <w:trHeight w:hRule="exact" w:val="1207"/>
        </w:trPr>
        <w:tc>
          <w:tcPr>
            <w:tcW w:w="400" w:type="pct"/>
            <w:tcBorders>
              <w:top w:val="single" w:sz="4" w:space="0" w:color="auto"/>
              <w:left w:val="single" w:sz="4" w:space="0" w:color="auto"/>
              <w:bottom w:val="single" w:sz="4" w:space="0" w:color="auto"/>
              <w:right w:val="single" w:sz="4" w:space="0" w:color="auto"/>
            </w:tcBorders>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18-21</w:t>
            </w:r>
          </w:p>
        </w:tc>
        <w:tc>
          <w:tcPr>
            <w:tcW w:w="638" w:type="pct"/>
            <w:tcBorders>
              <w:top w:val="single" w:sz="4" w:space="0" w:color="auto"/>
              <w:left w:val="single" w:sz="4" w:space="0" w:color="auto"/>
              <w:bottom w:val="single" w:sz="4" w:space="0" w:color="auto"/>
              <w:right w:val="single" w:sz="4" w:space="0" w:color="auto"/>
            </w:tcBorders>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4</w:t>
            </w:r>
          </w:p>
        </w:tc>
        <w:tc>
          <w:tcPr>
            <w:tcW w:w="1006" w:type="pct"/>
            <w:tcBorders>
              <w:top w:val="single" w:sz="4" w:space="0" w:color="auto"/>
              <w:left w:val="single" w:sz="4" w:space="0" w:color="auto"/>
              <w:bottom w:val="single" w:sz="4" w:space="0" w:color="auto"/>
              <w:right w:val="single" w:sz="4" w:space="0" w:color="auto"/>
            </w:tcBorders>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Undergraduate</w:t>
            </w:r>
          </w:p>
        </w:tc>
        <w:tc>
          <w:tcPr>
            <w:tcW w:w="935" w:type="pct"/>
            <w:tcBorders>
              <w:top w:val="single" w:sz="4" w:space="0" w:color="auto"/>
              <w:left w:val="single" w:sz="4" w:space="0" w:color="auto"/>
              <w:bottom w:val="single" w:sz="4" w:space="0" w:color="auto"/>
              <w:right w:val="single" w:sz="4" w:space="0" w:color="auto"/>
            </w:tcBorders>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Vocational education (tertiary education)</w:t>
            </w:r>
          </w:p>
        </w:tc>
        <w:tc>
          <w:tcPr>
            <w:tcW w:w="745" w:type="pct"/>
            <w:tcBorders>
              <w:top w:val="single" w:sz="4" w:space="0" w:color="auto"/>
              <w:left w:val="single" w:sz="4" w:space="0" w:color="auto"/>
              <w:bottom w:val="single" w:sz="4" w:space="0" w:color="auto"/>
              <w:right w:val="single" w:sz="4" w:space="0" w:color="auto"/>
            </w:tcBorders>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Tertiary level technical schools</w:t>
            </w:r>
          </w:p>
        </w:tc>
        <w:tc>
          <w:tcPr>
            <w:tcW w:w="118" w:type="pct"/>
            <w:tcBorders>
              <w:top w:val="nil"/>
              <w:left w:val="single" w:sz="4" w:space="0" w:color="auto"/>
              <w:bottom w:val="nil"/>
              <w:right w:val="single" w:sz="4" w:space="0" w:color="auto"/>
            </w:tcBorders>
          </w:tcPr>
          <w:p w:rsidR="00FA5AA0" w:rsidRPr="00FA5AA0" w:rsidRDefault="00FA5AA0" w:rsidP="00627031">
            <w:pPr>
              <w:pStyle w:val="NormalIndent"/>
              <w:ind w:firstLine="0"/>
              <w:contextualSpacing/>
              <w:rPr>
                <w:rFonts w:asciiTheme="majorHAnsi" w:hAnsiTheme="majorHAnsi"/>
                <w:sz w:val="22"/>
                <w:szCs w:val="22"/>
              </w:rPr>
            </w:pPr>
          </w:p>
        </w:tc>
        <w:tc>
          <w:tcPr>
            <w:tcW w:w="766" w:type="pct"/>
            <w:tcBorders>
              <w:top w:val="single" w:sz="4" w:space="0" w:color="auto"/>
              <w:left w:val="single" w:sz="4" w:space="0" w:color="auto"/>
              <w:bottom w:val="single" w:sz="4" w:space="0" w:color="auto"/>
              <w:right w:val="single" w:sz="4" w:space="0" w:color="auto"/>
            </w:tcBorders>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Self-study</w:t>
            </w:r>
          </w:p>
        </w:tc>
      </w:tr>
      <w:tr w:rsidR="00FA5AA0" w:rsidRPr="00FA5AA0" w:rsidTr="00B36148">
        <w:trPr>
          <w:gridAfter w:val="1"/>
          <w:wAfter w:w="392" w:type="pct"/>
          <w:trHeight w:hRule="exact" w:val="910"/>
        </w:trPr>
        <w:tc>
          <w:tcPr>
            <w:tcW w:w="400" w:type="pct"/>
            <w:tcBorders>
              <w:top w:val="single" w:sz="4" w:space="0" w:color="auto"/>
              <w:left w:val="single" w:sz="4" w:space="0" w:color="auto"/>
              <w:bottom w:val="single" w:sz="4" w:space="0" w:color="auto"/>
              <w:right w:val="single" w:sz="4" w:space="0" w:color="auto"/>
            </w:tcBorders>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15-17</w:t>
            </w:r>
          </w:p>
        </w:tc>
        <w:tc>
          <w:tcPr>
            <w:tcW w:w="638" w:type="pct"/>
            <w:tcBorders>
              <w:top w:val="single" w:sz="4" w:space="0" w:color="auto"/>
              <w:left w:val="single" w:sz="4" w:space="0" w:color="auto"/>
              <w:bottom w:val="single" w:sz="4" w:space="0" w:color="auto"/>
              <w:right w:val="single" w:sz="4" w:space="0" w:color="auto"/>
            </w:tcBorders>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3</w:t>
            </w:r>
          </w:p>
        </w:tc>
        <w:tc>
          <w:tcPr>
            <w:tcW w:w="1006" w:type="pct"/>
            <w:tcBorders>
              <w:top w:val="single" w:sz="4" w:space="0" w:color="auto"/>
              <w:left w:val="single" w:sz="4" w:space="0" w:color="auto"/>
              <w:bottom w:val="single" w:sz="4" w:space="0" w:color="auto"/>
              <w:right w:val="single" w:sz="4" w:space="0" w:color="auto"/>
            </w:tcBorders>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Academic high school</w:t>
            </w:r>
          </w:p>
        </w:tc>
        <w:tc>
          <w:tcPr>
            <w:tcW w:w="935" w:type="pct"/>
            <w:tcBorders>
              <w:top w:val="single" w:sz="4" w:space="0" w:color="auto"/>
              <w:left w:val="single" w:sz="4" w:space="0" w:color="auto"/>
              <w:bottom w:val="single" w:sz="4" w:space="0" w:color="auto"/>
              <w:right w:val="single" w:sz="4" w:space="0" w:color="auto"/>
            </w:tcBorders>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Secondary vocational education</w:t>
            </w:r>
          </w:p>
        </w:tc>
        <w:tc>
          <w:tcPr>
            <w:tcW w:w="745" w:type="pct"/>
            <w:tcBorders>
              <w:top w:val="single" w:sz="4" w:space="0" w:color="auto"/>
              <w:left w:val="single" w:sz="4" w:space="0" w:color="auto"/>
              <w:bottom w:val="nil"/>
              <w:right w:val="nil"/>
            </w:tcBorders>
          </w:tcPr>
          <w:p w:rsidR="00FA5AA0" w:rsidRPr="00FA5AA0" w:rsidRDefault="00FA5AA0" w:rsidP="00627031">
            <w:pPr>
              <w:pStyle w:val="NormalIndent"/>
              <w:contextualSpacing/>
              <w:rPr>
                <w:rFonts w:asciiTheme="majorHAnsi" w:hAnsiTheme="majorHAnsi"/>
                <w:sz w:val="22"/>
                <w:szCs w:val="22"/>
              </w:rPr>
            </w:pPr>
          </w:p>
        </w:tc>
        <w:tc>
          <w:tcPr>
            <w:tcW w:w="118" w:type="pct"/>
            <w:tcBorders>
              <w:top w:val="nil"/>
              <w:left w:val="nil"/>
              <w:bottom w:val="nil"/>
              <w:right w:val="single" w:sz="4" w:space="0" w:color="auto"/>
            </w:tcBorders>
          </w:tcPr>
          <w:p w:rsidR="00FA5AA0" w:rsidRPr="00FA5AA0" w:rsidRDefault="00FA5AA0" w:rsidP="00627031">
            <w:pPr>
              <w:pStyle w:val="NormalIndent"/>
              <w:ind w:firstLine="0"/>
              <w:contextualSpacing/>
              <w:rPr>
                <w:rFonts w:asciiTheme="majorHAnsi" w:hAnsiTheme="majorHAnsi"/>
                <w:sz w:val="22"/>
                <w:szCs w:val="22"/>
              </w:rPr>
            </w:pPr>
          </w:p>
        </w:tc>
        <w:tc>
          <w:tcPr>
            <w:tcW w:w="766" w:type="pct"/>
            <w:tcBorders>
              <w:top w:val="single" w:sz="4" w:space="0" w:color="auto"/>
              <w:left w:val="single" w:sz="4" w:space="0" w:color="auto"/>
              <w:bottom w:val="single" w:sz="4" w:space="0" w:color="auto"/>
              <w:right w:val="single" w:sz="4" w:space="0" w:color="auto"/>
            </w:tcBorders>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Adult secondary education</w:t>
            </w:r>
          </w:p>
        </w:tc>
      </w:tr>
      <w:tr w:rsidR="00FA5AA0" w:rsidRPr="00FA5AA0" w:rsidTr="00B36148">
        <w:trPr>
          <w:gridAfter w:val="1"/>
          <w:wAfter w:w="392" w:type="pct"/>
          <w:trHeight w:hRule="exact" w:val="613"/>
        </w:trPr>
        <w:tc>
          <w:tcPr>
            <w:tcW w:w="400" w:type="pct"/>
            <w:tcBorders>
              <w:top w:val="single" w:sz="4" w:space="0" w:color="auto"/>
              <w:left w:val="single" w:sz="4" w:space="0" w:color="auto"/>
              <w:bottom w:val="single" w:sz="4" w:space="0" w:color="auto"/>
              <w:right w:val="single" w:sz="4" w:space="0" w:color="auto"/>
            </w:tcBorders>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12-14</w:t>
            </w:r>
          </w:p>
        </w:tc>
        <w:tc>
          <w:tcPr>
            <w:tcW w:w="638" w:type="pct"/>
            <w:tcBorders>
              <w:top w:val="single" w:sz="4" w:space="0" w:color="auto"/>
              <w:left w:val="single" w:sz="4" w:space="0" w:color="auto"/>
              <w:bottom w:val="single" w:sz="4" w:space="0" w:color="auto"/>
              <w:right w:val="single" w:sz="4" w:space="0" w:color="auto"/>
            </w:tcBorders>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3</w:t>
            </w:r>
          </w:p>
        </w:tc>
        <w:tc>
          <w:tcPr>
            <w:tcW w:w="1006" w:type="pct"/>
            <w:tcBorders>
              <w:top w:val="single" w:sz="4" w:space="0" w:color="auto"/>
              <w:left w:val="single" w:sz="4" w:space="0" w:color="auto"/>
              <w:bottom w:val="single" w:sz="4" w:space="0" w:color="auto"/>
              <w:right w:val="single" w:sz="4" w:space="0" w:color="auto"/>
            </w:tcBorders>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Academic junior high school</w:t>
            </w:r>
          </w:p>
        </w:tc>
        <w:tc>
          <w:tcPr>
            <w:tcW w:w="935" w:type="pct"/>
            <w:tcBorders>
              <w:top w:val="single" w:sz="4" w:space="0" w:color="auto"/>
              <w:left w:val="single" w:sz="4" w:space="0" w:color="auto"/>
              <w:bottom w:val="single" w:sz="4" w:space="0" w:color="auto"/>
              <w:right w:val="single" w:sz="4" w:space="0" w:color="auto"/>
            </w:tcBorders>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Junior vocational school</w:t>
            </w:r>
          </w:p>
        </w:tc>
        <w:tc>
          <w:tcPr>
            <w:tcW w:w="745" w:type="pct"/>
            <w:tcBorders>
              <w:top w:val="nil"/>
              <w:left w:val="single" w:sz="4" w:space="0" w:color="auto"/>
              <w:bottom w:val="nil"/>
              <w:right w:val="nil"/>
            </w:tcBorders>
          </w:tcPr>
          <w:p w:rsidR="00FA5AA0" w:rsidRPr="00FA5AA0" w:rsidRDefault="00FA5AA0" w:rsidP="00627031">
            <w:pPr>
              <w:pStyle w:val="NormalIndent"/>
              <w:contextualSpacing/>
              <w:rPr>
                <w:rFonts w:asciiTheme="majorHAnsi" w:hAnsiTheme="majorHAnsi"/>
                <w:sz w:val="22"/>
                <w:szCs w:val="22"/>
              </w:rPr>
            </w:pPr>
          </w:p>
        </w:tc>
        <w:tc>
          <w:tcPr>
            <w:tcW w:w="118" w:type="pct"/>
            <w:tcBorders>
              <w:top w:val="nil"/>
              <w:left w:val="nil"/>
              <w:bottom w:val="nil"/>
              <w:right w:val="single" w:sz="4" w:space="0" w:color="auto"/>
            </w:tcBorders>
          </w:tcPr>
          <w:p w:rsidR="00FA5AA0" w:rsidRPr="00FA5AA0" w:rsidRDefault="00FA5AA0" w:rsidP="00627031">
            <w:pPr>
              <w:pStyle w:val="NormalIndent"/>
              <w:ind w:firstLine="0"/>
              <w:contextualSpacing/>
              <w:rPr>
                <w:rFonts w:asciiTheme="majorHAnsi" w:hAnsiTheme="majorHAnsi"/>
                <w:sz w:val="22"/>
                <w:szCs w:val="22"/>
              </w:rPr>
            </w:pPr>
          </w:p>
        </w:tc>
        <w:tc>
          <w:tcPr>
            <w:tcW w:w="766" w:type="pct"/>
            <w:tcBorders>
              <w:top w:val="single" w:sz="4" w:space="0" w:color="auto"/>
              <w:left w:val="single" w:sz="4" w:space="0" w:color="auto"/>
              <w:bottom w:val="single" w:sz="4" w:space="0" w:color="auto"/>
              <w:right w:val="single" w:sz="4" w:space="0" w:color="auto"/>
            </w:tcBorders>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Adult literacy programs</w:t>
            </w:r>
          </w:p>
        </w:tc>
      </w:tr>
      <w:tr w:rsidR="00FA5AA0" w:rsidRPr="00FA5AA0" w:rsidTr="00B36148">
        <w:trPr>
          <w:gridAfter w:val="1"/>
          <w:wAfter w:w="392" w:type="pct"/>
          <w:trHeight w:hRule="exact" w:val="288"/>
        </w:trPr>
        <w:tc>
          <w:tcPr>
            <w:tcW w:w="400" w:type="pct"/>
            <w:tcBorders>
              <w:top w:val="single" w:sz="4" w:space="0" w:color="auto"/>
              <w:left w:val="single" w:sz="4" w:space="0" w:color="auto"/>
              <w:bottom w:val="single" w:sz="4" w:space="0" w:color="auto"/>
              <w:right w:val="single" w:sz="4" w:space="0" w:color="auto"/>
            </w:tcBorders>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6-11</w:t>
            </w:r>
          </w:p>
        </w:tc>
        <w:tc>
          <w:tcPr>
            <w:tcW w:w="638" w:type="pct"/>
            <w:tcBorders>
              <w:top w:val="single" w:sz="4" w:space="0" w:color="auto"/>
              <w:left w:val="single" w:sz="4" w:space="0" w:color="auto"/>
              <w:bottom w:val="single" w:sz="4" w:space="0" w:color="auto"/>
              <w:right w:val="single" w:sz="4" w:space="0" w:color="auto"/>
            </w:tcBorders>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6</w:t>
            </w:r>
          </w:p>
        </w:tc>
        <w:tc>
          <w:tcPr>
            <w:tcW w:w="1006" w:type="pct"/>
            <w:tcBorders>
              <w:top w:val="single" w:sz="4" w:space="0" w:color="auto"/>
              <w:left w:val="single" w:sz="4" w:space="0" w:color="auto"/>
              <w:bottom w:val="single" w:sz="4" w:space="0" w:color="auto"/>
              <w:right w:val="single" w:sz="4" w:space="0" w:color="auto"/>
            </w:tcBorders>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Elementary school</w:t>
            </w:r>
          </w:p>
        </w:tc>
        <w:tc>
          <w:tcPr>
            <w:tcW w:w="935" w:type="pct"/>
            <w:tcBorders>
              <w:top w:val="single" w:sz="4" w:space="0" w:color="auto"/>
              <w:left w:val="single" w:sz="4" w:space="0" w:color="auto"/>
              <w:bottom w:val="nil"/>
              <w:right w:val="nil"/>
            </w:tcBorders>
          </w:tcPr>
          <w:p w:rsidR="00FA5AA0" w:rsidRPr="00FA5AA0" w:rsidRDefault="00FA5AA0" w:rsidP="00627031">
            <w:pPr>
              <w:contextualSpacing/>
              <w:rPr>
                <w:rFonts w:cs="Times New Roman"/>
              </w:rPr>
            </w:pPr>
          </w:p>
        </w:tc>
        <w:tc>
          <w:tcPr>
            <w:tcW w:w="745" w:type="pct"/>
            <w:tcBorders>
              <w:top w:val="nil"/>
              <w:left w:val="nil"/>
              <w:bottom w:val="nil"/>
              <w:right w:val="nil"/>
            </w:tcBorders>
          </w:tcPr>
          <w:p w:rsidR="00FA5AA0" w:rsidRPr="00FA5AA0" w:rsidRDefault="00FA5AA0" w:rsidP="00627031">
            <w:pPr>
              <w:contextualSpacing/>
              <w:rPr>
                <w:rFonts w:cs="Times New Roman"/>
              </w:rPr>
            </w:pPr>
          </w:p>
        </w:tc>
        <w:tc>
          <w:tcPr>
            <w:tcW w:w="118" w:type="pct"/>
            <w:tcBorders>
              <w:top w:val="nil"/>
              <w:left w:val="nil"/>
              <w:bottom w:val="nil"/>
              <w:right w:val="nil"/>
            </w:tcBorders>
          </w:tcPr>
          <w:p w:rsidR="00FA5AA0" w:rsidRPr="00FA5AA0" w:rsidRDefault="00FA5AA0" w:rsidP="00627031">
            <w:pPr>
              <w:contextualSpacing/>
              <w:rPr>
                <w:rFonts w:cs="Times New Roman"/>
              </w:rPr>
            </w:pPr>
          </w:p>
        </w:tc>
        <w:tc>
          <w:tcPr>
            <w:tcW w:w="766" w:type="pct"/>
            <w:tcBorders>
              <w:top w:val="single" w:sz="4" w:space="0" w:color="auto"/>
              <w:left w:val="nil"/>
              <w:bottom w:val="nil"/>
              <w:right w:val="nil"/>
            </w:tcBorders>
          </w:tcPr>
          <w:p w:rsidR="00FA5AA0" w:rsidRPr="00FA5AA0" w:rsidRDefault="00FA5AA0" w:rsidP="00627031">
            <w:pPr>
              <w:contextualSpacing/>
              <w:rPr>
                <w:rFonts w:cs="Times New Roman"/>
              </w:rPr>
            </w:pPr>
          </w:p>
        </w:tc>
      </w:tr>
      <w:tr w:rsidR="00FA5AA0" w:rsidRPr="00FA5AA0" w:rsidTr="00B36148">
        <w:trPr>
          <w:gridAfter w:val="1"/>
          <w:wAfter w:w="392" w:type="pct"/>
          <w:trHeight w:hRule="exact" w:val="640"/>
        </w:trPr>
        <w:tc>
          <w:tcPr>
            <w:tcW w:w="400" w:type="pct"/>
            <w:tcBorders>
              <w:top w:val="single" w:sz="4" w:space="0" w:color="auto"/>
              <w:left w:val="single" w:sz="4" w:space="0" w:color="auto"/>
              <w:bottom w:val="single" w:sz="4" w:space="0" w:color="auto"/>
              <w:right w:val="single" w:sz="4" w:space="0" w:color="auto"/>
            </w:tcBorders>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3-5</w:t>
            </w:r>
          </w:p>
        </w:tc>
        <w:tc>
          <w:tcPr>
            <w:tcW w:w="638" w:type="pct"/>
            <w:tcBorders>
              <w:top w:val="single" w:sz="4" w:space="0" w:color="auto"/>
              <w:left w:val="single" w:sz="4" w:space="0" w:color="auto"/>
              <w:bottom w:val="single" w:sz="4" w:space="0" w:color="auto"/>
              <w:right w:val="single" w:sz="4" w:space="0" w:color="auto"/>
            </w:tcBorders>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3</w:t>
            </w:r>
          </w:p>
        </w:tc>
        <w:tc>
          <w:tcPr>
            <w:tcW w:w="1006" w:type="pct"/>
            <w:tcBorders>
              <w:top w:val="single" w:sz="4" w:space="0" w:color="auto"/>
              <w:left w:val="single" w:sz="4" w:space="0" w:color="auto"/>
              <w:bottom w:val="single" w:sz="4" w:space="0" w:color="auto"/>
              <w:right w:val="single" w:sz="4" w:space="0" w:color="auto"/>
            </w:tcBorders>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Pre-school / kindergarten education</w:t>
            </w:r>
          </w:p>
        </w:tc>
        <w:tc>
          <w:tcPr>
            <w:tcW w:w="935" w:type="pct"/>
            <w:tcBorders>
              <w:top w:val="nil"/>
              <w:left w:val="single" w:sz="4" w:space="0" w:color="auto"/>
              <w:bottom w:val="nil"/>
              <w:right w:val="nil"/>
            </w:tcBorders>
          </w:tcPr>
          <w:p w:rsidR="00FA5AA0" w:rsidRPr="00FA5AA0" w:rsidRDefault="00FA5AA0" w:rsidP="00627031">
            <w:pPr>
              <w:contextualSpacing/>
              <w:rPr>
                <w:rFonts w:cs="Times New Roman"/>
              </w:rPr>
            </w:pPr>
          </w:p>
        </w:tc>
        <w:tc>
          <w:tcPr>
            <w:tcW w:w="745" w:type="pct"/>
            <w:tcBorders>
              <w:top w:val="nil"/>
              <w:left w:val="nil"/>
              <w:bottom w:val="nil"/>
              <w:right w:val="nil"/>
            </w:tcBorders>
          </w:tcPr>
          <w:p w:rsidR="00FA5AA0" w:rsidRPr="00FA5AA0" w:rsidRDefault="00FA5AA0" w:rsidP="00627031">
            <w:pPr>
              <w:pStyle w:val="NormalIndent"/>
              <w:contextualSpacing/>
              <w:rPr>
                <w:rFonts w:asciiTheme="majorHAnsi" w:hAnsiTheme="majorHAnsi"/>
                <w:sz w:val="22"/>
                <w:szCs w:val="22"/>
              </w:rPr>
            </w:pPr>
          </w:p>
        </w:tc>
        <w:tc>
          <w:tcPr>
            <w:tcW w:w="118" w:type="pct"/>
            <w:tcBorders>
              <w:top w:val="nil"/>
              <w:left w:val="nil"/>
              <w:bottom w:val="nil"/>
              <w:right w:val="nil"/>
            </w:tcBorders>
          </w:tcPr>
          <w:p w:rsidR="00FA5AA0" w:rsidRPr="00FA5AA0" w:rsidRDefault="00FA5AA0" w:rsidP="00627031">
            <w:pPr>
              <w:pStyle w:val="NormalIndent"/>
              <w:ind w:firstLine="0"/>
              <w:contextualSpacing/>
              <w:rPr>
                <w:rFonts w:asciiTheme="majorHAnsi" w:hAnsiTheme="majorHAnsi"/>
                <w:sz w:val="22"/>
                <w:szCs w:val="22"/>
              </w:rPr>
            </w:pPr>
          </w:p>
        </w:tc>
        <w:tc>
          <w:tcPr>
            <w:tcW w:w="766" w:type="pct"/>
            <w:tcBorders>
              <w:top w:val="nil"/>
              <w:left w:val="nil"/>
              <w:bottom w:val="nil"/>
              <w:right w:val="nil"/>
            </w:tcBorders>
          </w:tcPr>
          <w:p w:rsidR="00FA5AA0" w:rsidRPr="00FA5AA0" w:rsidRDefault="00FA5AA0" w:rsidP="00627031">
            <w:pPr>
              <w:pStyle w:val="NormalIndent"/>
              <w:ind w:firstLine="0"/>
              <w:contextualSpacing/>
              <w:rPr>
                <w:rFonts w:asciiTheme="majorHAnsi" w:hAnsiTheme="majorHAnsi"/>
                <w:sz w:val="22"/>
                <w:szCs w:val="22"/>
              </w:rPr>
            </w:pPr>
          </w:p>
        </w:tc>
      </w:tr>
    </w:tbl>
    <w:p w:rsidR="00FA5AA0" w:rsidRPr="00FA5AA0" w:rsidRDefault="00FA5AA0" w:rsidP="00627031">
      <w:pPr>
        <w:pStyle w:val="NormalIndent"/>
        <w:spacing w:line="240" w:lineRule="auto"/>
        <w:contextualSpacing/>
        <w:rPr>
          <w:rFonts w:asciiTheme="majorHAnsi" w:hAnsiTheme="majorHAnsi"/>
          <w:sz w:val="22"/>
          <w:szCs w:val="22"/>
        </w:rPr>
      </w:pPr>
      <w:r w:rsidRPr="00FA5AA0">
        <w:rPr>
          <w:rFonts w:asciiTheme="majorHAnsi" w:hAnsiTheme="majorHAnsi"/>
          <w:sz w:val="22"/>
          <w:szCs w:val="22"/>
        </w:rPr>
        <w:t>Source: Ministry of Education, 2010</w:t>
      </w:r>
    </w:p>
    <w:p w:rsidR="00FA5AA0" w:rsidRPr="00FA5AA0" w:rsidRDefault="00FA5AA0" w:rsidP="00627031">
      <w:pPr>
        <w:pStyle w:val="NormalIndent"/>
        <w:spacing w:line="240" w:lineRule="auto"/>
        <w:contextualSpacing/>
        <w:rPr>
          <w:rFonts w:asciiTheme="majorHAnsi" w:hAnsiTheme="majorHAnsi"/>
          <w:sz w:val="22"/>
          <w:szCs w:val="22"/>
        </w:rPr>
      </w:pP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77"/>
        <w:gridCol w:w="3390"/>
        <w:gridCol w:w="3409"/>
      </w:tblGrid>
      <w:tr w:rsidR="00FA5AA0" w:rsidRPr="00FA5AA0" w:rsidTr="00B36148">
        <w:trPr>
          <w:trHeight w:hRule="exact" w:val="288"/>
        </w:trPr>
        <w:tc>
          <w:tcPr>
            <w:tcW w:w="5000" w:type="pct"/>
            <w:gridSpan w:val="3"/>
            <w:tcBorders>
              <w:bottom w:val="single" w:sz="4" w:space="0" w:color="auto"/>
            </w:tcBorders>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Table 1. Ethnic Minority Students in 2009</w:t>
            </w:r>
          </w:p>
          <w:p w:rsidR="00FA5AA0" w:rsidRPr="00FA5AA0" w:rsidRDefault="00FA5AA0" w:rsidP="00627031">
            <w:pPr>
              <w:pStyle w:val="NormalIndent"/>
              <w:ind w:firstLine="0"/>
              <w:contextualSpacing/>
              <w:rPr>
                <w:rFonts w:asciiTheme="majorHAnsi" w:hAnsiTheme="majorHAnsi"/>
                <w:sz w:val="22"/>
                <w:szCs w:val="22"/>
              </w:rPr>
            </w:pPr>
          </w:p>
        </w:tc>
      </w:tr>
      <w:tr w:rsidR="00FA5AA0" w:rsidRPr="00FA5AA0" w:rsidTr="00B36148">
        <w:trPr>
          <w:trHeight w:hRule="exact" w:val="622"/>
        </w:trPr>
        <w:tc>
          <w:tcPr>
            <w:tcW w:w="1450" w:type="pct"/>
            <w:tcBorders>
              <w:top w:val="single" w:sz="4" w:space="0" w:color="auto"/>
              <w:bottom w:val="single" w:sz="4" w:space="0" w:color="auto"/>
            </w:tcBorders>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 xml:space="preserve">Level of School </w:t>
            </w:r>
          </w:p>
        </w:tc>
        <w:tc>
          <w:tcPr>
            <w:tcW w:w="1770" w:type="pct"/>
            <w:tcBorders>
              <w:top w:val="single" w:sz="4" w:space="0" w:color="auto"/>
              <w:bottom w:val="single" w:sz="4" w:space="0" w:color="auto"/>
            </w:tcBorders>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Number of Ethnic Minority Students</w:t>
            </w:r>
          </w:p>
        </w:tc>
        <w:tc>
          <w:tcPr>
            <w:tcW w:w="1780" w:type="pct"/>
            <w:tcBorders>
              <w:top w:val="single" w:sz="4" w:space="0" w:color="auto"/>
              <w:bottom w:val="single" w:sz="4" w:space="0" w:color="auto"/>
            </w:tcBorders>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Percent of total student population</w:t>
            </w:r>
          </w:p>
        </w:tc>
      </w:tr>
      <w:tr w:rsidR="00FA5AA0" w:rsidRPr="00FA5AA0" w:rsidTr="00B36148">
        <w:trPr>
          <w:trHeight w:hRule="exact" w:val="288"/>
        </w:trPr>
        <w:tc>
          <w:tcPr>
            <w:tcW w:w="1450" w:type="pct"/>
            <w:tcBorders>
              <w:top w:val="single" w:sz="4" w:space="0" w:color="auto"/>
            </w:tcBorders>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Academic high school</w:t>
            </w:r>
          </w:p>
        </w:tc>
        <w:tc>
          <w:tcPr>
            <w:tcW w:w="1770" w:type="pct"/>
            <w:tcBorders>
              <w:top w:val="single" w:sz="4" w:space="0" w:color="auto"/>
            </w:tcBorders>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1,787,100</w:t>
            </w:r>
          </w:p>
        </w:tc>
        <w:tc>
          <w:tcPr>
            <w:tcW w:w="1780" w:type="pct"/>
            <w:tcBorders>
              <w:top w:val="single" w:sz="4" w:space="0" w:color="auto"/>
            </w:tcBorders>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7.34</w:t>
            </w:r>
          </w:p>
        </w:tc>
      </w:tr>
      <w:tr w:rsidR="00FA5AA0" w:rsidRPr="00FA5AA0" w:rsidTr="00B36148">
        <w:trPr>
          <w:trHeight w:hRule="exact" w:val="288"/>
        </w:trPr>
        <w:tc>
          <w:tcPr>
            <w:tcW w:w="1450" w:type="pct"/>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Secondary vocation school</w:t>
            </w:r>
          </w:p>
        </w:tc>
        <w:tc>
          <w:tcPr>
            <w:tcW w:w="1770" w:type="pct"/>
            <w:vAlign w:val="bottom"/>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1,072,000</w:t>
            </w:r>
          </w:p>
        </w:tc>
        <w:tc>
          <w:tcPr>
            <w:tcW w:w="1780" w:type="pct"/>
            <w:vAlign w:val="bottom"/>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17.23</w:t>
            </w:r>
          </w:p>
        </w:tc>
      </w:tr>
      <w:tr w:rsidR="00FA5AA0" w:rsidRPr="00FA5AA0" w:rsidTr="00B36148">
        <w:trPr>
          <w:trHeight w:hRule="exact" w:val="288"/>
        </w:trPr>
        <w:tc>
          <w:tcPr>
            <w:tcW w:w="1450" w:type="pct"/>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Junior high school</w:t>
            </w:r>
          </w:p>
        </w:tc>
        <w:tc>
          <w:tcPr>
            <w:tcW w:w="1770" w:type="pct"/>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5,012,200</w:t>
            </w:r>
          </w:p>
        </w:tc>
        <w:tc>
          <w:tcPr>
            <w:tcW w:w="1780" w:type="pct"/>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9.22</w:t>
            </w:r>
          </w:p>
        </w:tc>
      </w:tr>
      <w:tr w:rsidR="00FA5AA0" w:rsidRPr="00FA5AA0" w:rsidTr="00B36148">
        <w:trPr>
          <w:trHeight w:hRule="exact" w:val="288"/>
        </w:trPr>
        <w:tc>
          <w:tcPr>
            <w:tcW w:w="1450" w:type="pct"/>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Primary school</w:t>
            </w:r>
          </w:p>
        </w:tc>
        <w:tc>
          <w:tcPr>
            <w:tcW w:w="1770" w:type="pct"/>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10,591,200</w:t>
            </w:r>
          </w:p>
        </w:tc>
        <w:tc>
          <w:tcPr>
            <w:tcW w:w="1780" w:type="pct"/>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10.52</w:t>
            </w:r>
          </w:p>
        </w:tc>
      </w:tr>
      <w:tr w:rsidR="00FA5AA0" w:rsidRPr="00FA5AA0" w:rsidTr="00B36148">
        <w:trPr>
          <w:trHeight w:hRule="exact" w:val="288"/>
        </w:trPr>
        <w:tc>
          <w:tcPr>
            <w:tcW w:w="1450" w:type="pct"/>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Special education</w:t>
            </w:r>
          </w:p>
        </w:tc>
        <w:tc>
          <w:tcPr>
            <w:tcW w:w="1770" w:type="pct"/>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32,800</w:t>
            </w:r>
          </w:p>
        </w:tc>
        <w:tc>
          <w:tcPr>
            <w:tcW w:w="1780" w:type="pct"/>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7.66</w:t>
            </w:r>
          </w:p>
        </w:tc>
      </w:tr>
      <w:tr w:rsidR="00FA5AA0" w:rsidRPr="00FA5AA0" w:rsidTr="00B36148">
        <w:trPr>
          <w:trHeight w:hRule="exact" w:val="288"/>
        </w:trPr>
        <w:tc>
          <w:tcPr>
            <w:tcW w:w="1450" w:type="pct"/>
            <w:tcBorders>
              <w:bottom w:val="single" w:sz="4" w:space="0" w:color="auto"/>
            </w:tcBorders>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Preschool education</w:t>
            </w:r>
          </w:p>
        </w:tc>
        <w:tc>
          <w:tcPr>
            <w:tcW w:w="1770" w:type="pct"/>
            <w:tcBorders>
              <w:bottom w:val="single" w:sz="4" w:space="0" w:color="auto"/>
            </w:tcBorders>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1,894,200</w:t>
            </w:r>
          </w:p>
        </w:tc>
        <w:tc>
          <w:tcPr>
            <w:tcW w:w="1780" w:type="pct"/>
            <w:tcBorders>
              <w:bottom w:val="single" w:sz="4" w:space="0" w:color="auto"/>
            </w:tcBorders>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7.13</w:t>
            </w:r>
          </w:p>
        </w:tc>
      </w:tr>
      <w:tr w:rsidR="00FA5AA0" w:rsidRPr="00FA5AA0" w:rsidTr="00B36148">
        <w:trPr>
          <w:trHeight w:hRule="exact" w:val="631"/>
        </w:trPr>
        <w:tc>
          <w:tcPr>
            <w:tcW w:w="5000" w:type="pct"/>
            <w:gridSpan w:val="3"/>
            <w:tcBorders>
              <w:top w:val="single" w:sz="4" w:space="0" w:color="auto"/>
            </w:tcBorders>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 xml:space="preserve">Source: Ministry of Education, 2010.  </w:t>
            </w:r>
          </w:p>
        </w:tc>
      </w:tr>
    </w:tbl>
    <w:p w:rsidR="00FA5AA0" w:rsidRPr="00FA5AA0" w:rsidRDefault="00FA5AA0" w:rsidP="00627031">
      <w:pPr>
        <w:pStyle w:val="NormalIndent"/>
        <w:spacing w:line="240" w:lineRule="auto"/>
        <w:contextualSpacing/>
        <w:rPr>
          <w:rFonts w:asciiTheme="majorHAnsi" w:hAnsiTheme="majorHAnsi"/>
          <w:sz w:val="22"/>
          <w:szCs w:val="22"/>
        </w:rPr>
      </w:pPr>
    </w:p>
    <w:p w:rsidR="00FA5AA0" w:rsidRPr="00FA5AA0" w:rsidRDefault="00FA5AA0" w:rsidP="00627031">
      <w:pPr>
        <w:pStyle w:val="NormalIndent"/>
        <w:spacing w:line="240" w:lineRule="auto"/>
        <w:contextualSpacing/>
        <w:rPr>
          <w:rFonts w:asciiTheme="majorHAnsi" w:hAnsiTheme="majorHAnsi"/>
          <w:sz w:val="22"/>
          <w:szCs w:val="22"/>
        </w:rPr>
      </w:pPr>
    </w:p>
    <w:p w:rsidR="00FA5AA0" w:rsidRPr="00FA5AA0" w:rsidRDefault="00FA5AA0" w:rsidP="00627031">
      <w:pPr>
        <w:pStyle w:val="NormalIndent"/>
        <w:spacing w:line="240" w:lineRule="auto"/>
        <w:contextualSpacing/>
        <w:rPr>
          <w:rFonts w:asciiTheme="majorHAnsi" w:hAnsiTheme="majorHAnsi"/>
          <w:sz w:val="22"/>
          <w:szCs w:val="22"/>
        </w:rPr>
      </w:pPr>
    </w:p>
    <w:p w:rsidR="00FA5AA0" w:rsidRPr="00FA5AA0" w:rsidRDefault="00FA5AA0" w:rsidP="00627031">
      <w:pPr>
        <w:pStyle w:val="NormalIndent"/>
        <w:spacing w:line="240" w:lineRule="auto"/>
        <w:contextualSpacing/>
        <w:rPr>
          <w:rFonts w:asciiTheme="majorHAnsi" w:hAnsiTheme="majorHAnsi"/>
          <w:sz w:val="22"/>
          <w:szCs w:val="22"/>
        </w:rPr>
      </w:pPr>
    </w:p>
    <w:p w:rsidR="00FA5AA0" w:rsidRPr="00FA5AA0" w:rsidRDefault="00FA5AA0" w:rsidP="00627031">
      <w:pPr>
        <w:pStyle w:val="NormalIndent"/>
        <w:spacing w:line="240" w:lineRule="auto"/>
        <w:contextualSpacing/>
        <w:rPr>
          <w:rFonts w:asciiTheme="majorHAnsi" w:hAnsiTheme="majorHAnsi"/>
          <w:sz w:val="22"/>
          <w:szCs w:val="22"/>
        </w:rPr>
      </w:pPr>
    </w:p>
    <w:p w:rsidR="00FA5AA0" w:rsidRPr="00FA5AA0" w:rsidRDefault="00FA5AA0" w:rsidP="00627031">
      <w:pPr>
        <w:pStyle w:val="NormalIndent"/>
        <w:spacing w:line="240" w:lineRule="auto"/>
        <w:contextualSpacing/>
        <w:rPr>
          <w:rFonts w:asciiTheme="majorHAnsi" w:hAnsiTheme="majorHAnsi"/>
          <w:sz w:val="22"/>
          <w:szCs w:val="22"/>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02"/>
        <w:gridCol w:w="1310"/>
        <w:gridCol w:w="1900"/>
        <w:gridCol w:w="1753"/>
        <w:gridCol w:w="1757"/>
        <w:gridCol w:w="1454"/>
      </w:tblGrid>
      <w:tr w:rsidR="00FA5AA0" w:rsidRPr="00FA5AA0" w:rsidTr="00B36148">
        <w:trPr>
          <w:trHeight w:hRule="exact" w:val="370"/>
        </w:trPr>
        <w:tc>
          <w:tcPr>
            <w:tcW w:w="9576" w:type="dxa"/>
            <w:gridSpan w:val="6"/>
            <w:tcBorders>
              <w:bottom w:val="single" w:sz="4" w:space="0" w:color="auto"/>
            </w:tcBorders>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br w:type="page"/>
              <w:t>Table 2. Averages of Educational Indicators in Different Regions of China in 2000</w:t>
            </w:r>
          </w:p>
          <w:p w:rsidR="00FA5AA0" w:rsidRPr="00FA5AA0" w:rsidRDefault="00FA5AA0" w:rsidP="00627031">
            <w:pPr>
              <w:pStyle w:val="NormalIndent"/>
              <w:ind w:firstLine="0"/>
              <w:contextualSpacing/>
              <w:rPr>
                <w:rFonts w:asciiTheme="majorHAnsi" w:hAnsiTheme="majorHAnsi"/>
                <w:sz w:val="22"/>
                <w:szCs w:val="22"/>
              </w:rPr>
            </w:pPr>
          </w:p>
        </w:tc>
      </w:tr>
      <w:tr w:rsidR="00FA5AA0" w:rsidRPr="00FA5AA0" w:rsidTr="00B36148">
        <w:trPr>
          <w:trHeight w:hRule="exact" w:val="1288"/>
        </w:trPr>
        <w:tc>
          <w:tcPr>
            <w:tcW w:w="0" w:type="auto"/>
            <w:tcBorders>
              <w:top w:val="single" w:sz="4" w:space="0" w:color="auto"/>
              <w:bottom w:val="single" w:sz="4" w:space="0" w:color="auto"/>
            </w:tcBorders>
          </w:tcPr>
          <w:p w:rsidR="00FA5AA0" w:rsidRPr="00FA5AA0" w:rsidRDefault="00FA5AA0" w:rsidP="00627031">
            <w:pPr>
              <w:pStyle w:val="NormalIndent"/>
              <w:contextualSpacing/>
              <w:rPr>
                <w:rFonts w:asciiTheme="majorHAnsi" w:hAnsiTheme="majorHAnsi"/>
                <w:sz w:val="22"/>
                <w:szCs w:val="22"/>
              </w:rPr>
            </w:pPr>
          </w:p>
        </w:tc>
        <w:tc>
          <w:tcPr>
            <w:tcW w:w="1310" w:type="dxa"/>
            <w:tcBorders>
              <w:top w:val="single" w:sz="4" w:space="0" w:color="auto"/>
              <w:bottom w:val="single" w:sz="4" w:space="0" w:color="auto"/>
            </w:tcBorders>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Enrollment rate of Primary school aged children</w:t>
            </w:r>
          </w:p>
        </w:tc>
        <w:tc>
          <w:tcPr>
            <w:tcW w:w="0" w:type="auto"/>
            <w:tcBorders>
              <w:top w:val="single" w:sz="4" w:space="0" w:color="auto"/>
              <w:bottom w:val="single" w:sz="4" w:space="0" w:color="auto"/>
            </w:tcBorders>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Dropout rate of Primary school aged children</w:t>
            </w:r>
          </w:p>
        </w:tc>
        <w:tc>
          <w:tcPr>
            <w:tcW w:w="0" w:type="auto"/>
            <w:tcBorders>
              <w:top w:val="single" w:sz="4" w:space="0" w:color="auto"/>
              <w:bottom w:val="single" w:sz="4" w:space="0" w:color="auto"/>
            </w:tcBorders>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Primary school enrollment rate</w:t>
            </w:r>
          </w:p>
        </w:tc>
        <w:tc>
          <w:tcPr>
            <w:tcW w:w="0" w:type="auto"/>
            <w:tcBorders>
              <w:top w:val="single" w:sz="4" w:space="0" w:color="auto"/>
              <w:bottom w:val="single" w:sz="4" w:space="0" w:color="auto"/>
            </w:tcBorders>
          </w:tcPr>
          <w:p w:rsidR="00FA5AA0" w:rsidRPr="00FA5AA0" w:rsidRDefault="00FA5AA0" w:rsidP="00627031">
            <w:pPr>
              <w:pStyle w:val="NormalIndent"/>
              <w:ind w:firstLine="6"/>
              <w:contextualSpacing/>
              <w:rPr>
                <w:rFonts w:asciiTheme="majorHAnsi" w:hAnsiTheme="majorHAnsi"/>
                <w:sz w:val="22"/>
                <w:szCs w:val="22"/>
              </w:rPr>
            </w:pPr>
            <w:r w:rsidRPr="00FA5AA0">
              <w:rPr>
                <w:rFonts w:asciiTheme="majorHAnsi" w:hAnsiTheme="majorHAnsi"/>
                <w:sz w:val="22"/>
                <w:szCs w:val="22"/>
              </w:rPr>
              <w:t>Primary school 5-year retention rate</w:t>
            </w:r>
          </w:p>
        </w:tc>
        <w:tc>
          <w:tcPr>
            <w:tcW w:w="0" w:type="auto"/>
            <w:tcBorders>
              <w:top w:val="single" w:sz="4" w:space="0" w:color="auto"/>
              <w:bottom w:val="single" w:sz="4" w:space="0" w:color="auto"/>
            </w:tcBorders>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High school entrance rate</w:t>
            </w:r>
          </w:p>
        </w:tc>
      </w:tr>
      <w:tr w:rsidR="00FA5AA0" w:rsidRPr="00FA5AA0" w:rsidTr="00B36148">
        <w:trPr>
          <w:trHeight w:hRule="exact" w:val="288"/>
        </w:trPr>
        <w:tc>
          <w:tcPr>
            <w:tcW w:w="0" w:type="auto"/>
            <w:tcBorders>
              <w:top w:val="single" w:sz="4" w:space="0" w:color="auto"/>
            </w:tcBorders>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National</w:t>
            </w:r>
          </w:p>
        </w:tc>
        <w:tc>
          <w:tcPr>
            <w:tcW w:w="1310" w:type="dxa"/>
            <w:tcBorders>
              <w:top w:val="single" w:sz="4" w:space="0" w:color="auto"/>
            </w:tcBorders>
            <w:vAlign w:val="center"/>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99.09</w:t>
            </w:r>
          </w:p>
        </w:tc>
        <w:tc>
          <w:tcPr>
            <w:tcW w:w="0" w:type="auto"/>
            <w:tcBorders>
              <w:top w:val="single" w:sz="4" w:space="0" w:color="auto"/>
            </w:tcBorders>
            <w:vAlign w:val="center"/>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0.90</w:t>
            </w:r>
          </w:p>
        </w:tc>
        <w:tc>
          <w:tcPr>
            <w:tcW w:w="0" w:type="auto"/>
            <w:tcBorders>
              <w:top w:val="single" w:sz="4" w:space="0" w:color="auto"/>
            </w:tcBorders>
            <w:vAlign w:val="center"/>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94.37</w:t>
            </w:r>
          </w:p>
        </w:tc>
        <w:tc>
          <w:tcPr>
            <w:tcW w:w="0" w:type="auto"/>
            <w:tcBorders>
              <w:top w:val="single" w:sz="4" w:space="0" w:color="auto"/>
            </w:tcBorders>
            <w:vAlign w:val="center"/>
          </w:tcPr>
          <w:p w:rsidR="00FA5AA0" w:rsidRPr="00FA5AA0" w:rsidRDefault="00FA5AA0" w:rsidP="00627031">
            <w:pPr>
              <w:pStyle w:val="NormalIndent"/>
              <w:ind w:firstLine="6"/>
              <w:contextualSpacing/>
              <w:rPr>
                <w:rFonts w:asciiTheme="majorHAnsi" w:hAnsiTheme="majorHAnsi"/>
                <w:sz w:val="22"/>
                <w:szCs w:val="22"/>
              </w:rPr>
            </w:pPr>
            <w:r w:rsidRPr="00FA5AA0">
              <w:rPr>
                <w:rFonts w:asciiTheme="majorHAnsi" w:hAnsiTheme="majorHAnsi"/>
                <w:sz w:val="22"/>
                <w:szCs w:val="22"/>
              </w:rPr>
              <w:t>92.48</w:t>
            </w:r>
          </w:p>
        </w:tc>
        <w:tc>
          <w:tcPr>
            <w:tcW w:w="0" w:type="auto"/>
            <w:tcBorders>
              <w:top w:val="single" w:sz="4" w:space="0" w:color="auto"/>
            </w:tcBorders>
            <w:vAlign w:val="center"/>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49.52</w:t>
            </w:r>
          </w:p>
        </w:tc>
      </w:tr>
      <w:tr w:rsidR="00FA5AA0" w:rsidRPr="00FA5AA0" w:rsidTr="00B36148">
        <w:trPr>
          <w:trHeight w:hRule="exact" w:val="288"/>
        </w:trPr>
        <w:tc>
          <w:tcPr>
            <w:tcW w:w="0" w:type="auto"/>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East</w:t>
            </w:r>
          </w:p>
        </w:tc>
        <w:tc>
          <w:tcPr>
            <w:tcW w:w="1310" w:type="dxa"/>
            <w:vAlign w:val="center"/>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99.72</w:t>
            </w:r>
          </w:p>
        </w:tc>
        <w:tc>
          <w:tcPr>
            <w:tcW w:w="0" w:type="auto"/>
            <w:vAlign w:val="center"/>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0.25</w:t>
            </w:r>
          </w:p>
        </w:tc>
        <w:tc>
          <w:tcPr>
            <w:tcW w:w="0" w:type="auto"/>
            <w:vAlign w:val="center"/>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97.24</w:t>
            </w:r>
          </w:p>
        </w:tc>
        <w:tc>
          <w:tcPr>
            <w:tcW w:w="0" w:type="auto"/>
            <w:vAlign w:val="center"/>
          </w:tcPr>
          <w:p w:rsidR="00FA5AA0" w:rsidRPr="00FA5AA0" w:rsidRDefault="00FA5AA0" w:rsidP="00627031">
            <w:pPr>
              <w:pStyle w:val="NormalIndent"/>
              <w:ind w:firstLine="6"/>
              <w:contextualSpacing/>
              <w:rPr>
                <w:rFonts w:asciiTheme="majorHAnsi" w:hAnsiTheme="majorHAnsi"/>
                <w:sz w:val="22"/>
                <w:szCs w:val="22"/>
              </w:rPr>
            </w:pPr>
            <w:r w:rsidRPr="00FA5AA0">
              <w:rPr>
                <w:rFonts w:asciiTheme="majorHAnsi" w:hAnsiTheme="majorHAnsi"/>
                <w:sz w:val="22"/>
                <w:szCs w:val="22"/>
              </w:rPr>
              <w:t>98.10</w:t>
            </w:r>
          </w:p>
        </w:tc>
        <w:tc>
          <w:tcPr>
            <w:tcW w:w="0" w:type="auto"/>
            <w:vAlign w:val="center"/>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52.56</w:t>
            </w:r>
          </w:p>
        </w:tc>
      </w:tr>
      <w:tr w:rsidR="00FA5AA0" w:rsidRPr="00FA5AA0" w:rsidTr="00B36148">
        <w:trPr>
          <w:trHeight w:hRule="exact" w:val="288"/>
        </w:trPr>
        <w:tc>
          <w:tcPr>
            <w:tcW w:w="0" w:type="auto"/>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West</w:t>
            </w:r>
          </w:p>
        </w:tc>
        <w:tc>
          <w:tcPr>
            <w:tcW w:w="1310" w:type="dxa"/>
            <w:vAlign w:val="center"/>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97.86</w:t>
            </w:r>
          </w:p>
        </w:tc>
        <w:tc>
          <w:tcPr>
            <w:tcW w:w="0" w:type="auto"/>
            <w:vAlign w:val="center"/>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1.13</w:t>
            </w:r>
          </w:p>
        </w:tc>
        <w:tc>
          <w:tcPr>
            <w:tcW w:w="0" w:type="auto"/>
            <w:vAlign w:val="center"/>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89.96</w:t>
            </w:r>
          </w:p>
        </w:tc>
        <w:tc>
          <w:tcPr>
            <w:tcW w:w="0" w:type="auto"/>
            <w:vAlign w:val="center"/>
          </w:tcPr>
          <w:p w:rsidR="00FA5AA0" w:rsidRPr="00FA5AA0" w:rsidRDefault="00FA5AA0" w:rsidP="00627031">
            <w:pPr>
              <w:pStyle w:val="NormalIndent"/>
              <w:ind w:firstLine="6"/>
              <w:contextualSpacing/>
              <w:rPr>
                <w:rFonts w:asciiTheme="majorHAnsi" w:hAnsiTheme="majorHAnsi"/>
                <w:sz w:val="22"/>
                <w:szCs w:val="22"/>
              </w:rPr>
            </w:pPr>
            <w:r w:rsidRPr="00FA5AA0">
              <w:rPr>
                <w:rFonts w:asciiTheme="majorHAnsi" w:hAnsiTheme="majorHAnsi"/>
                <w:sz w:val="22"/>
                <w:szCs w:val="22"/>
              </w:rPr>
              <w:t>84.02</w:t>
            </w:r>
          </w:p>
        </w:tc>
        <w:tc>
          <w:tcPr>
            <w:tcW w:w="0" w:type="auto"/>
            <w:vAlign w:val="center"/>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45.70</w:t>
            </w:r>
          </w:p>
        </w:tc>
      </w:tr>
      <w:tr w:rsidR="00FA5AA0" w:rsidRPr="00FA5AA0" w:rsidTr="00B36148">
        <w:trPr>
          <w:trHeight w:hRule="exact" w:val="981"/>
        </w:trPr>
        <w:tc>
          <w:tcPr>
            <w:tcW w:w="0" w:type="auto"/>
            <w:tcBorders>
              <w:bottom w:val="single" w:sz="4" w:space="0" w:color="auto"/>
            </w:tcBorders>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Western minority areas</w:t>
            </w:r>
          </w:p>
        </w:tc>
        <w:tc>
          <w:tcPr>
            <w:tcW w:w="1310" w:type="dxa"/>
            <w:tcBorders>
              <w:bottom w:val="single" w:sz="4" w:space="0" w:color="auto"/>
            </w:tcBorders>
            <w:vAlign w:val="center"/>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95.78</w:t>
            </w:r>
          </w:p>
        </w:tc>
        <w:tc>
          <w:tcPr>
            <w:tcW w:w="0" w:type="auto"/>
            <w:tcBorders>
              <w:bottom w:val="single" w:sz="4" w:space="0" w:color="auto"/>
            </w:tcBorders>
            <w:vAlign w:val="center"/>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1.50</w:t>
            </w:r>
          </w:p>
        </w:tc>
        <w:tc>
          <w:tcPr>
            <w:tcW w:w="0" w:type="auto"/>
            <w:tcBorders>
              <w:bottom w:val="single" w:sz="4" w:space="0" w:color="auto"/>
            </w:tcBorders>
            <w:vAlign w:val="center"/>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84.37</w:t>
            </w:r>
          </w:p>
        </w:tc>
        <w:tc>
          <w:tcPr>
            <w:tcW w:w="0" w:type="auto"/>
            <w:tcBorders>
              <w:bottom w:val="single" w:sz="4" w:space="0" w:color="auto"/>
            </w:tcBorders>
            <w:vAlign w:val="center"/>
          </w:tcPr>
          <w:p w:rsidR="00FA5AA0" w:rsidRPr="00FA5AA0" w:rsidRDefault="00FA5AA0" w:rsidP="00627031">
            <w:pPr>
              <w:pStyle w:val="NormalIndent"/>
              <w:ind w:firstLine="6"/>
              <w:contextualSpacing/>
              <w:rPr>
                <w:rFonts w:asciiTheme="majorHAnsi" w:hAnsiTheme="majorHAnsi"/>
                <w:sz w:val="22"/>
                <w:szCs w:val="22"/>
              </w:rPr>
            </w:pPr>
            <w:r w:rsidRPr="00FA5AA0">
              <w:rPr>
                <w:rFonts w:asciiTheme="majorHAnsi" w:hAnsiTheme="majorHAnsi"/>
                <w:sz w:val="22"/>
                <w:szCs w:val="22"/>
              </w:rPr>
              <w:t>74.84</w:t>
            </w:r>
          </w:p>
        </w:tc>
        <w:tc>
          <w:tcPr>
            <w:tcW w:w="0" w:type="auto"/>
            <w:tcBorders>
              <w:bottom w:val="single" w:sz="4" w:space="0" w:color="auto"/>
            </w:tcBorders>
            <w:vAlign w:val="center"/>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47.43</w:t>
            </w:r>
          </w:p>
        </w:tc>
      </w:tr>
      <w:tr w:rsidR="00FA5AA0" w:rsidRPr="00FA5AA0" w:rsidTr="00B36148">
        <w:trPr>
          <w:trHeight w:hRule="exact" w:val="288"/>
        </w:trPr>
        <w:tc>
          <w:tcPr>
            <w:tcW w:w="9576" w:type="dxa"/>
            <w:gridSpan w:val="6"/>
            <w:tcBorders>
              <w:top w:val="single" w:sz="4" w:space="0" w:color="auto"/>
            </w:tcBorders>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 xml:space="preserve">Source: Development Planning Division of the Ministry of Education (2000) </w:t>
            </w:r>
          </w:p>
        </w:tc>
      </w:tr>
    </w:tbl>
    <w:p w:rsidR="00FA5AA0" w:rsidRPr="00FA5AA0" w:rsidRDefault="00FA5AA0" w:rsidP="00627031">
      <w:pPr>
        <w:pStyle w:val="NormalIndent"/>
        <w:spacing w:line="240" w:lineRule="auto"/>
        <w:contextualSpacing/>
        <w:rPr>
          <w:rFonts w:asciiTheme="majorHAnsi" w:hAnsiTheme="majorHAnsi"/>
          <w:sz w:val="22"/>
          <w:szCs w:val="22"/>
        </w:rPr>
      </w:pPr>
    </w:p>
    <w:p w:rsidR="00FA5AA0" w:rsidRPr="00FA5AA0" w:rsidRDefault="00FA5AA0" w:rsidP="00627031">
      <w:pPr>
        <w:pStyle w:val="NormalIndent"/>
        <w:spacing w:line="240" w:lineRule="auto"/>
        <w:contextualSpacing/>
        <w:rPr>
          <w:rFonts w:asciiTheme="majorHAnsi" w:hAnsiTheme="majorHAnsi"/>
          <w:sz w:val="22"/>
          <w:szCs w:val="22"/>
        </w:rPr>
      </w:pPr>
    </w:p>
    <w:p w:rsidR="00FA5AA0" w:rsidRPr="00FA5AA0" w:rsidRDefault="00FA5AA0" w:rsidP="00627031">
      <w:pPr>
        <w:pStyle w:val="NormalIndent"/>
        <w:spacing w:line="240" w:lineRule="auto"/>
        <w:contextualSpacing/>
        <w:rPr>
          <w:rFonts w:asciiTheme="majorHAnsi" w:hAnsiTheme="majorHAnsi"/>
          <w:sz w:val="22"/>
          <w:szCs w:val="22"/>
        </w:rPr>
      </w:pPr>
    </w:p>
    <w:tbl>
      <w:tblPr>
        <w:tblStyle w:val="TableGrid"/>
        <w:tblW w:w="0" w:type="auto"/>
        <w:tblLook w:val="04A0" w:firstRow="1" w:lastRow="0" w:firstColumn="1" w:lastColumn="0" w:noHBand="0" w:noVBand="1"/>
      </w:tblPr>
      <w:tblGrid>
        <w:gridCol w:w="6258"/>
        <w:gridCol w:w="811"/>
        <w:gridCol w:w="809"/>
        <w:gridCol w:w="809"/>
      </w:tblGrid>
      <w:tr w:rsidR="00FA5AA0" w:rsidRPr="00FA5AA0" w:rsidTr="00B36148">
        <w:trPr>
          <w:trHeight w:hRule="exact" w:val="586"/>
        </w:trPr>
        <w:tc>
          <w:tcPr>
            <w:tcW w:w="8686" w:type="dxa"/>
            <w:gridSpan w:val="4"/>
            <w:tcBorders>
              <w:top w:val="nil"/>
              <w:left w:val="nil"/>
              <w:bottom w:val="single" w:sz="4" w:space="0" w:color="auto"/>
              <w:right w:val="nil"/>
            </w:tcBorders>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Table 3. Enrollment Rates for Primary School-aged Children (7-11 years) in Tibet Autonomous Region</w:t>
            </w:r>
          </w:p>
        </w:tc>
      </w:tr>
      <w:tr w:rsidR="00FA5AA0" w:rsidRPr="00FA5AA0" w:rsidTr="00B36148">
        <w:trPr>
          <w:trHeight w:hRule="exact" w:val="288"/>
        </w:trPr>
        <w:tc>
          <w:tcPr>
            <w:tcW w:w="5449" w:type="dxa"/>
            <w:tcBorders>
              <w:top w:val="single" w:sz="4" w:space="0" w:color="auto"/>
              <w:left w:val="nil"/>
              <w:bottom w:val="nil"/>
              <w:right w:val="nil"/>
            </w:tcBorders>
          </w:tcPr>
          <w:p w:rsidR="00FA5AA0" w:rsidRPr="00FA5AA0" w:rsidRDefault="00FA5AA0" w:rsidP="00627031">
            <w:pPr>
              <w:pStyle w:val="NormalIndent"/>
              <w:contextualSpacing/>
              <w:rPr>
                <w:rFonts w:asciiTheme="majorHAnsi" w:hAnsiTheme="majorHAnsi"/>
                <w:sz w:val="22"/>
                <w:szCs w:val="22"/>
              </w:rPr>
            </w:pPr>
          </w:p>
        </w:tc>
        <w:tc>
          <w:tcPr>
            <w:tcW w:w="0" w:type="auto"/>
            <w:tcBorders>
              <w:top w:val="single" w:sz="4" w:space="0" w:color="auto"/>
              <w:left w:val="nil"/>
              <w:bottom w:val="nil"/>
              <w:right w:val="nil"/>
            </w:tcBorders>
            <w:vAlign w:val="center"/>
          </w:tcPr>
          <w:p w:rsidR="00FA5AA0" w:rsidRPr="00FA5AA0" w:rsidRDefault="00FA5AA0" w:rsidP="00627031">
            <w:pPr>
              <w:pStyle w:val="NormalIndent"/>
              <w:ind w:left="2" w:firstLine="0"/>
              <w:contextualSpacing/>
              <w:rPr>
                <w:rFonts w:asciiTheme="majorHAnsi" w:hAnsiTheme="majorHAnsi"/>
                <w:sz w:val="22"/>
                <w:szCs w:val="22"/>
              </w:rPr>
            </w:pPr>
            <w:r w:rsidRPr="00FA5AA0">
              <w:rPr>
                <w:rFonts w:asciiTheme="majorHAnsi" w:hAnsiTheme="majorHAnsi"/>
                <w:sz w:val="22"/>
                <w:szCs w:val="22"/>
              </w:rPr>
              <w:t>1988</w:t>
            </w:r>
          </w:p>
        </w:tc>
        <w:tc>
          <w:tcPr>
            <w:tcW w:w="0" w:type="auto"/>
            <w:tcBorders>
              <w:top w:val="single" w:sz="4" w:space="0" w:color="auto"/>
              <w:left w:val="nil"/>
              <w:bottom w:val="nil"/>
              <w:right w:val="nil"/>
            </w:tcBorders>
            <w:vAlign w:val="center"/>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1989</w:t>
            </w:r>
          </w:p>
        </w:tc>
        <w:tc>
          <w:tcPr>
            <w:tcW w:w="0" w:type="auto"/>
            <w:tcBorders>
              <w:top w:val="single" w:sz="4" w:space="0" w:color="auto"/>
              <w:left w:val="nil"/>
              <w:bottom w:val="nil"/>
              <w:right w:val="nil"/>
            </w:tcBorders>
            <w:vAlign w:val="center"/>
          </w:tcPr>
          <w:p w:rsidR="00FA5AA0" w:rsidRPr="00FA5AA0" w:rsidRDefault="00FA5AA0" w:rsidP="00627031">
            <w:pPr>
              <w:pStyle w:val="NormalIndent"/>
              <w:ind w:firstLine="24"/>
              <w:contextualSpacing/>
              <w:rPr>
                <w:rFonts w:asciiTheme="majorHAnsi" w:hAnsiTheme="majorHAnsi"/>
                <w:sz w:val="22"/>
                <w:szCs w:val="22"/>
              </w:rPr>
            </w:pPr>
            <w:r w:rsidRPr="00FA5AA0">
              <w:rPr>
                <w:rFonts w:asciiTheme="majorHAnsi" w:hAnsiTheme="majorHAnsi"/>
                <w:sz w:val="22"/>
                <w:szCs w:val="22"/>
              </w:rPr>
              <w:t>1990</w:t>
            </w:r>
          </w:p>
        </w:tc>
      </w:tr>
      <w:tr w:rsidR="00FA5AA0" w:rsidRPr="00FA5AA0" w:rsidTr="00B36148">
        <w:trPr>
          <w:trHeight w:hRule="exact" w:val="288"/>
        </w:trPr>
        <w:tc>
          <w:tcPr>
            <w:tcW w:w="5449" w:type="dxa"/>
            <w:tcBorders>
              <w:top w:val="nil"/>
              <w:left w:val="nil"/>
              <w:bottom w:val="nil"/>
              <w:right w:val="nil"/>
            </w:tcBorders>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City</w:t>
            </w:r>
          </w:p>
        </w:tc>
        <w:tc>
          <w:tcPr>
            <w:tcW w:w="0" w:type="auto"/>
            <w:tcBorders>
              <w:top w:val="nil"/>
              <w:left w:val="nil"/>
              <w:bottom w:val="nil"/>
              <w:right w:val="nil"/>
            </w:tcBorders>
            <w:vAlign w:val="center"/>
          </w:tcPr>
          <w:p w:rsidR="00FA5AA0" w:rsidRPr="00FA5AA0" w:rsidRDefault="00FA5AA0" w:rsidP="00627031">
            <w:pPr>
              <w:pStyle w:val="NormalIndent"/>
              <w:ind w:left="2" w:firstLine="0"/>
              <w:contextualSpacing/>
              <w:rPr>
                <w:rFonts w:asciiTheme="majorHAnsi" w:hAnsiTheme="majorHAnsi"/>
                <w:sz w:val="22"/>
                <w:szCs w:val="22"/>
              </w:rPr>
            </w:pPr>
            <w:r w:rsidRPr="00FA5AA0">
              <w:rPr>
                <w:rFonts w:asciiTheme="majorHAnsi" w:hAnsiTheme="majorHAnsi"/>
                <w:sz w:val="22"/>
                <w:szCs w:val="22"/>
              </w:rPr>
              <w:t>88.8</w:t>
            </w:r>
          </w:p>
        </w:tc>
        <w:tc>
          <w:tcPr>
            <w:tcW w:w="0" w:type="auto"/>
            <w:tcBorders>
              <w:top w:val="nil"/>
              <w:left w:val="nil"/>
              <w:bottom w:val="nil"/>
              <w:right w:val="nil"/>
            </w:tcBorders>
            <w:vAlign w:val="center"/>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87.3</w:t>
            </w:r>
          </w:p>
        </w:tc>
        <w:tc>
          <w:tcPr>
            <w:tcW w:w="0" w:type="auto"/>
            <w:tcBorders>
              <w:top w:val="nil"/>
              <w:left w:val="nil"/>
              <w:bottom w:val="nil"/>
              <w:right w:val="nil"/>
            </w:tcBorders>
            <w:vAlign w:val="center"/>
          </w:tcPr>
          <w:p w:rsidR="00FA5AA0" w:rsidRPr="00FA5AA0" w:rsidRDefault="00FA5AA0" w:rsidP="00627031">
            <w:pPr>
              <w:pStyle w:val="NormalIndent"/>
              <w:ind w:firstLine="24"/>
              <w:contextualSpacing/>
              <w:rPr>
                <w:rFonts w:asciiTheme="majorHAnsi" w:hAnsiTheme="majorHAnsi"/>
                <w:sz w:val="22"/>
                <w:szCs w:val="22"/>
              </w:rPr>
            </w:pPr>
            <w:r w:rsidRPr="00FA5AA0">
              <w:rPr>
                <w:rFonts w:asciiTheme="majorHAnsi" w:hAnsiTheme="majorHAnsi"/>
                <w:sz w:val="22"/>
                <w:szCs w:val="22"/>
              </w:rPr>
              <w:t>89.4</w:t>
            </w:r>
          </w:p>
        </w:tc>
      </w:tr>
      <w:tr w:rsidR="00FA5AA0" w:rsidRPr="00FA5AA0" w:rsidTr="00B36148">
        <w:trPr>
          <w:trHeight w:hRule="exact" w:val="288"/>
        </w:trPr>
        <w:tc>
          <w:tcPr>
            <w:tcW w:w="5449" w:type="dxa"/>
            <w:tcBorders>
              <w:top w:val="nil"/>
              <w:left w:val="nil"/>
              <w:bottom w:val="nil"/>
              <w:right w:val="nil"/>
            </w:tcBorders>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Town</w:t>
            </w:r>
          </w:p>
        </w:tc>
        <w:tc>
          <w:tcPr>
            <w:tcW w:w="0" w:type="auto"/>
            <w:tcBorders>
              <w:top w:val="nil"/>
              <w:left w:val="nil"/>
              <w:bottom w:val="nil"/>
              <w:right w:val="nil"/>
            </w:tcBorders>
            <w:vAlign w:val="center"/>
          </w:tcPr>
          <w:p w:rsidR="00FA5AA0" w:rsidRPr="00FA5AA0" w:rsidRDefault="00FA5AA0" w:rsidP="00627031">
            <w:pPr>
              <w:pStyle w:val="NormalIndent"/>
              <w:ind w:left="2" w:firstLine="0"/>
              <w:contextualSpacing/>
              <w:rPr>
                <w:rFonts w:asciiTheme="majorHAnsi" w:hAnsiTheme="majorHAnsi"/>
                <w:sz w:val="22"/>
                <w:szCs w:val="22"/>
              </w:rPr>
            </w:pPr>
            <w:r w:rsidRPr="00FA5AA0">
              <w:rPr>
                <w:rFonts w:asciiTheme="majorHAnsi" w:hAnsiTheme="majorHAnsi"/>
                <w:sz w:val="22"/>
                <w:szCs w:val="22"/>
              </w:rPr>
              <w:t>69.0</w:t>
            </w:r>
          </w:p>
        </w:tc>
        <w:tc>
          <w:tcPr>
            <w:tcW w:w="0" w:type="auto"/>
            <w:tcBorders>
              <w:top w:val="nil"/>
              <w:left w:val="nil"/>
              <w:bottom w:val="nil"/>
              <w:right w:val="nil"/>
            </w:tcBorders>
            <w:vAlign w:val="center"/>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86.2</w:t>
            </w:r>
          </w:p>
        </w:tc>
        <w:tc>
          <w:tcPr>
            <w:tcW w:w="0" w:type="auto"/>
            <w:tcBorders>
              <w:top w:val="nil"/>
              <w:left w:val="nil"/>
              <w:bottom w:val="nil"/>
              <w:right w:val="nil"/>
            </w:tcBorders>
            <w:vAlign w:val="center"/>
          </w:tcPr>
          <w:p w:rsidR="00FA5AA0" w:rsidRPr="00FA5AA0" w:rsidRDefault="00FA5AA0" w:rsidP="00627031">
            <w:pPr>
              <w:pStyle w:val="NormalIndent"/>
              <w:ind w:firstLine="24"/>
              <w:contextualSpacing/>
              <w:rPr>
                <w:rFonts w:asciiTheme="majorHAnsi" w:hAnsiTheme="majorHAnsi"/>
                <w:sz w:val="22"/>
                <w:szCs w:val="22"/>
              </w:rPr>
            </w:pPr>
            <w:r w:rsidRPr="00FA5AA0">
              <w:rPr>
                <w:rFonts w:asciiTheme="majorHAnsi" w:hAnsiTheme="majorHAnsi"/>
                <w:sz w:val="22"/>
                <w:szCs w:val="22"/>
              </w:rPr>
              <w:t>54.6</w:t>
            </w:r>
          </w:p>
        </w:tc>
      </w:tr>
      <w:tr w:rsidR="00FA5AA0" w:rsidRPr="00FA5AA0" w:rsidTr="00B36148">
        <w:trPr>
          <w:trHeight w:hRule="exact" w:val="288"/>
        </w:trPr>
        <w:tc>
          <w:tcPr>
            <w:tcW w:w="5449" w:type="dxa"/>
            <w:tcBorders>
              <w:top w:val="nil"/>
              <w:left w:val="nil"/>
              <w:bottom w:val="nil"/>
              <w:right w:val="nil"/>
            </w:tcBorders>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Rural areas</w:t>
            </w:r>
          </w:p>
        </w:tc>
        <w:tc>
          <w:tcPr>
            <w:tcW w:w="0" w:type="auto"/>
            <w:tcBorders>
              <w:top w:val="nil"/>
              <w:left w:val="nil"/>
              <w:bottom w:val="nil"/>
              <w:right w:val="nil"/>
            </w:tcBorders>
            <w:vAlign w:val="center"/>
          </w:tcPr>
          <w:p w:rsidR="00FA5AA0" w:rsidRPr="00FA5AA0" w:rsidRDefault="00FA5AA0" w:rsidP="00627031">
            <w:pPr>
              <w:pStyle w:val="NormalIndent"/>
              <w:ind w:left="2" w:firstLine="0"/>
              <w:contextualSpacing/>
              <w:rPr>
                <w:rFonts w:asciiTheme="majorHAnsi" w:hAnsiTheme="majorHAnsi"/>
                <w:sz w:val="22"/>
                <w:szCs w:val="22"/>
              </w:rPr>
            </w:pPr>
            <w:r w:rsidRPr="00FA5AA0">
              <w:rPr>
                <w:rFonts w:asciiTheme="majorHAnsi" w:hAnsiTheme="majorHAnsi"/>
                <w:sz w:val="22"/>
                <w:szCs w:val="22"/>
              </w:rPr>
              <w:t>49.4</w:t>
            </w:r>
          </w:p>
        </w:tc>
        <w:tc>
          <w:tcPr>
            <w:tcW w:w="0" w:type="auto"/>
            <w:tcBorders>
              <w:top w:val="nil"/>
              <w:left w:val="nil"/>
              <w:bottom w:val="nil"/>
              <w:right w:val="nil"/>
            </w:tcBorders>
            <w:vAlign w:val="center"/>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43.3</w:t>
            </w:r>
          </w:p>
        </w:tc>
        <w:tc>
          <w:tcPr>
            <w:tcW w:w="0" w:type="auto"/>
            <w:tcBorders>
              <w:top w:val="nil"/>
              <w:left w:val="nil"/>
              <w:bottom w:val="nil"/>
              <w:right w:val="nil"/>
            </w:tcBorders>
            <w:vAlign w:val="center"/>
          </w:tcPr>
          <w:p w:rsidR="00FA5AA0" w:rsidRPr="00FA5AA0" w:rsidRDefault="00FA5AA0" w:rsidP="00627031">
            <w:pPr>
              <w:pStyle w:val="NormalIndent"/>
              <w:ind w:firstLine="24"/>
              <w:contextualSpacing/>
              <w:rPr>
                <w:rFonts w:asciiTheme="majorHAnsi" w:hAnsiTheme="majorHAnsi"/>
                <w:sz w:val="22"/>
                <w:szCs w:val="22"/>
              </w:rPr>
            </w:pPr>
            <w:r w:rsidRPr="00FA5AA0">
              <w:rPr>
                <w:rFonts w:asciiTheme="majorHAnsi" w:hAnsiTheme="majorHAnsi"/>
                <w:sz w:val="22"/>
                <w:szCs w:val="22"/>
              </w:rPr>
              <w:t>50.7</w:t>
            </w:r>
          </w:p>
        </w:tc>
      </w:tr>
      <w:tr w:rsidR="00FA5AA0" w:rsidRPr="00FA5AA0" w:rsidTr="00B36148">
        <w:trPr>
          <w:trHeight w:hRule="exact" w:val="288"/>
        </w:trPr>
        <w:tc>
          <w:tcPr>
            <w:tcW w:w="5449" w:type="dxa"/>
            <w:tcBorders>
              <w:top w:val="nil"/>
              <w:left w:val="nil"/>
              <w:bottom w:val="nil"/>
              <w:right w:val="nil"/>
            </w:tcBorders>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Total</w:t>
            </w:r>
          </w:p>
        </w:tc>
        <w:tc>
          <w:tcPr>
            <w:tcW w:w="0" w:type="auto"/>
            <w:tcBorders>
              <w:top w:val="nil"/>
              <w:left w:val="nil"/>
              <w:bottom w:val="nil"/>
              <w:right w:val="nil"/>
            </w:tcBorders>
            <w:vAlign w:val="center"/>
          </w:tcPr>
          <w:p w:rsidR="00FA5AA0" w:rsidRPr="00FA5AA0" w:rsidRDefault="00FA5AA0" w:rsidP="00627031">
            <w:pPr>
              <w:pStyle w:val="NormalIndent"/>
              <w:ind w:left="2" w:firstLine="0"/>
              <w:contextualSpacing/>
              <w:rPr>
                <w:rFonts w:asciiTheme="majorHAnsi" w:hAnsiTheme="majorHAnsi"/>
                <w:sz w:val="22"/>
                <w:szCs w:val="22"/>
              </w:rPr>
            </w:pPr>
            <w:r w:rsidRPr="00FA5AA0">
              <w:rPr>
                <w:rFonts w:asciiTheme="majorHAnsi" w:hAnsiTheme="majorHAnsi"/>
                <w:sz w:val="22"/>
                <w:szCs w:val="22"/>
              </w:rPr>
              <w:t>55.7</w:t>
            </w:r>
          </w:p>
        </w:tc>
        <w:tc>
          <w:tcPr>
            <w:tcW w:w="0" w:type="auto"/>
            <w:tcBorders>
              <w:top w:val="nil"/>
              <w:left w:val="nil"/>
              <w:bottom w:val="nil"/>
              <w:right w:val="nil"/>
            </w:tcBorders>
            <w:vAlign w:val="center"/>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53.1</w:t>
            </w:r>
          </w:p>
        </w:tc>
        <w:tc>
          <w:tcPr>
            <w:tcW w:w="0" w:type="auto"/>
            <w:tcBorders>
              <w:top w:val="nil"/>
              <w:left w:val="nil"/>
              <w:bottom w:val="nil"/>
              <w:right w:val="nil"/>
            </w:tcBorders>
            <w:vAlign w:val="center"/>
          </w:tcPr>
          <w:p w:rsidR="00FA5AA0" w:rsidRPr="00FA5AA0" w:rsidRDefault="00FA5AA0" w:rsidP="00627031">
            <w:pPr>
              <w:pStyle w:val="NormalIndent"/>
              <w:ind w:firstLine="24"/>
              <w:contextualSpacing/>
              <w:rPr>
                <w:rFonts w:asciiTheme="majorHAnsi" w:hAnsiTheme="majorHAnsi"/>
                <w:sz w:val="22"/>
                <w:szCs w:val="22"/>
              </w:rPr>
            </w:pPr>
            <w:r w:rsidRPr="00FA5AA0">
              <w:rPr>
                <w:rFonts w:asciiTheme="majorHAnsi" w:hAnsiTheme="majorHAnsi"/>
                <w:sz w:val="22"/>
                <w:szCs w:val="22"/>
              </w:rPr>
              <w:t>54.6</w:t>
            </w:r>
          </w:p>
        </w:tc>
      </w:tr>
      <w:tr w:rsidR="00FA5AA0" w:rsidRPr="00FA5AA0" w:rsidTr="00B36148">
        <w:trPr>
          <w:trHeight w:hRule="exact" w:val="288"/>
        </w:trPr>
        <w:tc>
          <w:tcPr>
            <w:tcW w:w="5449" w:type="dxa"/>
            <w:tcBorders>
              <w:top w:val="nil"/>
              <w:left w:val="nil"/>
              <w:bottom w:val="single" w:sz="4" w:space="0" w:color="auto"/>
              <w:right w:val="nil"/>
            </w:tcBorders>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All girls</w:t>
            </w:r>
          </w:p>
        </w:tc>
        <w:tc>
          <w:tcPr>
            <w:tcW w:w="0" w:type="auto"/>
            <w:tcBorders>
              <w:top w:val="nil"/>
              <w:left w:val="nil"/>
              <w:bottom w:val="single" w:sz="4" w:space="0" w:color="auto"/>
              <w:right w:val="nil"/>
            </w:tcBorders>
            <w:vAlign w:val="center"/>
          </w:tcPr>
          <w:p w:rsidR="00FA5AA0" w:rsidRPr="00FA5AA0" w:rsidRDefault="00FA5AA0" w:rsidP="00627031">
            <w:pPr>
              <w:pStyle w:val="NormalIndent"/>
              <w:ind w:left="2" w:firstLine="0"/>
              <w:contextualSpacing/>
              <w:rPr>
                <w:rFonts w:asciiTheme="majorHAnsi" w:hAnsiTheme="majorHAnsi"/>
                <w:sz w:val="22"/>
                <w:szCs w:val="22"/>
              </w:rPr>
            </w:pPr>
            <w:r w:rsidRPr="00FA5AA0">
              <w:rPr>
                <w:rFonts w:asciiTheme="majorHAnsi" w:hAnsiTheme="majorHAnsi"/>
                <w:sz w:val="22"/>
                <w:szCs w:val="22"/>
              </w:rPr>
              <w:t>54.3</w:t>
            </w:r>
          </w:p>
        </w:tc>
        <w:tc>
          <w:tcPr>
            <w:tcW w:w="0" w:type="auto"/>
            <w:tcBorders>
              <w:top w:val="nil"/>
              <w:left w:val="nil"/>
              <w:bottom w:val="single" w:sz="4" w:space="0" w:color="auto"/>
              <w:right w:val="nil"/>
            </w:tcBorders>
            <w:vAlign w:val="center"/>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47.6</w:t>
            </w:r>
          </w:p>
        </w:tc>
        <w:tc>
          <w:tcPr>
            <w:tcW w:w="0" w:type="auto"/>
            <w:tcBorders>
              <w:top w:val="nil"/>
              <w:left w:val="nil"/>
              <w:bottom w:val="single" w:sz="4" w:space="0" w:color="auto"/>
              <w:right w:val="nil"/>
            </w:tcBorders>
            <w:vAlign w:val="center"/>
          </w:tcPr>
          <w:p w:rsidR="00FA5AA0" w:rsidRPr="00FA5AA0" w:rsidRDefault="00FA5AA0" w:rsidP="00627031">
            <w:pPr>
              <w:pStyle w:val="NormalIndent"/>
              <w:ind w:firstLine="24"/>
              <w:contextualSpacing/>
              <w:rPr>
                <w:rFonts w:asciiTheme="majorHAnsi" w:hAnsiTheme="majorHAnsi"/>
                <w:sz w:val="22"/>
                <w:szCs w:val="22"/>
              </w:rPr>
            </w:pPr>
            <w:r w:rsidRPr="00FA5AA0">
              <w:rPr>
                <w:rFonts w:asciiTheme="majorHAnsi" w:hAnsiTheme="majorHAnsi"/>
                <w:sz w:val="22"/>
                <w:szCs w:val="22"/>
              </w:rPr>
              <w:t>63.1</w:t>
            </w:r>
          </w:p>
        </w:tc>
      </w:tr>
      <w:tr w:rsidR="00FA5AA0" w:rsidRPr="00FA5AA0" w:rsidTr="00B36148">
        <w:trPr>
          <w:trHeight w:hRule="exact" w:val="288"/>
        </w:trPr>
        <w:tc>
          <w:tcPr>
            <w:tcW w:w="8686" w:type="dxa"/>
            <w:gridSpan w:val="4"/>
            <w:tcBorders>
              <w:top w:val="single" w:sz="4" w:space="0" w:color="auto"/>
              <w:left w:val="nil"/>
              <w:bottom w:val="nil"/>
              <w:right w:val="nil"/>
            </w:tcBorders>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Source: Tibet Autonomous Region Bureau of Statistics: 1989:549; 1991:396.</w:t>
            </w:r>
          </w:p>
        </w:tc>
      </w:tr>
    </w:tbl>
    <w:p w:rsidR="00FA5AA0" w:rsidRPr="00FA5AA0" w:rsidRDefault="00FA5AA0" w:rsidP="00627031">
      <w:pPr>
        <w:pStyle w:val="NormalIndent"/>
        <w:spacing w:line="240" w:lineRule="auto"/>
        <w:contextualSpacing/>
        <w:rPr>
          <w:rFonts w:asciiTheme="majorHAnsi" w:hAnsiTheme="majorHAnsi"/>
          <w:sz w:val="22"/>
          <w:szCs w:val="22"/>
        </w:rPr>
      </w:pPr>
    </w:p>
    <w:p w:rsidR="00FA5AA0" w:rsidRPr="00FA5AA0" w:rsidRDefault="00FA5AA0" w:rsidP="00627031">
      <w:pPr>
        <w:pStyle w:val="NormalIndent"/>
        <w:spacing w:line="240" w:lineRule="auto"/>
        <w:contextualSpacing/>
        <w:rPr>
          <w:rFonts w:asciiTheme="majorHAnsi" w:hAnsiTheme="majorHAnsi"/>
          <w:sz w:val="22"/>
          <w:szCs w:val="22"/>
        </w:rPr>
      </w:pPr>
    </w:p>
    <w:p w:rsidR="00FA5AA0" w:rsidRPr="00FA5AA0" w:rsidRDefault="00FA5AA0" w:rsidP="00627031">
      <w:pPr>
        <w:spacing w:line="240" w:lineRule="auto"/>
        <w:contextualSpacing/>
        <w:rPr>
          <w:rFonts w:asciiTheme="majorHAnsi" w:hAnsiTheme="majorHAnsi" w:cs="Times New Roman"/>
        </w:rPr>
      </w:pPr>
      <w:r w:rsidRPr="00FA5AA0">
        <w:rPr>
          <w:rFonts w:asciiTheme="majorHAnsi" w:hAnsiTheme="majorHAnsi" w:cs="Times New Roman"/>
        </w:rPr>
        <w:br w:type="page"/>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74"/>
        <w:gridCol w:w="1749"/>
        <w:gridCol w:w="2292"/>
        <w:gridCol w:w="222"/>
        <w:gridCol w:w="1749"/>
        <w:gridCol w:w="2290"/>
      </w:tblGrid>
      <w:tr w:rsidR="00FA5AA0" w:rsidRPr="00FA5AA0" w:rsidTr="00B36148">
        <w:trPr>
          <w:trHeight w:hRule="exact" w:val="721"/>
        </w:trPr>
        <w:tc>
          <w:tcPr>
            <w:tcW w:w="0" w:type="auto"/>
            <w:gridSpan w:val="6"/>
            <w:tcBorders>
              <w:bottom w:val="single" w:sz="4" w:space="0" w:color="auto"/>
            </w:tcBorders>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Table 4. The Number and Percentage of Substitute Teachers of the Teaching Workforce in Ethnic Minority Autonomous Regions and Western Multi-Ethnic Provinces, 2009</w:t>
            </w:r>
          </w:p>
          <w:p w:rsidR="00FA5AA0" w:rsidRPr="00FA5AA0" w:rsidRDefault="00FA5AA0" w:rsidP="00627031">
            <w:pPr>
              <w:pStyle w:val="NormalIndent"/>
              <w:contextualSpacing/>
              <w:rPr>
                <w:rFonts w:asciiTheme="majorHAnsi" w:hAnsiTheme="majorHAnsi"/>
                <w:sz w:val="22"/>
                <w:szCs w:val="22"/>
              </w:rPr>
            </w:pPr>
          </w:p>
        </w:tc>
      </w:tr>
      <w:tr w:rsidR="00FA5AA0" w:rsidRPr="00FA5AA0" w:rsidTr="00B36148">
        <w:trPr>
          <w:trHeight w:hRule="exact" w:val="352"/>
        </w:trPr>
        <w:tc>
          <w:tcPr>
            <w:tcW w:w="0" w:type="auto"/>
            <w:tcBorders>
              <w:top w:val="single" w:sz="4" w:space="0" w:color="auto"/>
            </w:tcBorders>
          </w:tcPr>
          <w:p w:rsidR="00FA5AA0" w:rsidRPr="00FA5AA0" w:rsidRDefault="00FA5AA0" w:rsidP="00627031">
            <w:pPr>
              <w:pStyle w:val="ListParagraph"/>
              <w:spacing w:before="120"/>
              <w:ind w:left="0"/>
              <w:rPr>
                <w:rFonts w:cs="Times New Roman"/>
              </w:rPr>
            </w:pPr>
          </w:p>
        </w:tc>
        <w:tc>
          <w:tcPr>
            <w:tcW w:w="0" w:type="auto"/>
            <w:gridSpan w:val="2"/>
            <w:tcBorders>
              <w:top w:val="single" w:sz="4" w:space="0" w:color="auto"/>
              <w:bottom w:val="single" w:sz="4" w:space="0" w:color="auto"/>
            </w:tcBorders>
          </w:tcPr>
          <w:p w:rsidR="00FA5AA0" w:rsidRPr="00FA5AA0" w:rsidRDefault="00FA5AA0" w:rsidP="00627031">
            <w:pPr>
              <w:pStyle w:val="NormalIndent"/>
              <w:contextualSpacing/>
              <w:rPr>
                <w:rFonts w:asciiTheme="majorHAnsi" w:hAnsiTheme="majorHAnsi"/>
                <w:sz w:val="22"/>
                <w:szCs w:val="22"/>
              </w:rPr>
            </w:pPr>
            <w:r w:rsidRPr="00FA5AA0">
              <w:rPr>
                <w:rFonts w:asciiTheme="majorHAnsi" w:hAnsiTheme="majorHAnsi"/>
                <w:sz w:val="22"/>
                <w:szCs w:val="22"/>
              </w:rPr>
              <w:t>Elementary school</w:t>
            </w:r>
          </w:p>
        </w:tc>
        <w:tc>
          <w:tcPr>
            <w:tcW w:w="0" w:type="auto"/>
            <w:tcBorders>
              <w:top w:val="single" w:sz="4" w:space="0" w:color="auto"/>
            </w:tcBorders>
          </w:tcPr>
          <w:p w:rsidR="00FA5AA0" w:rsidRPr="00FA5AA0" w:rsidRDefault="00FA5AA0" w:rsidP="00627031">
            <w:pPr>
              <w:pStyle w:val="ListParagraph"/>
              <w:spacing w:before="120"/>
              <w:ind w:left="0"/>
              <w:jc w:val="center"/>
              <w:rPr>
                <w:rFonts w:cs="Times New Roman"/>
              </w:rPr>
            </w:pPr>
          </w:p>
        </w:tc>
        <w:tc>
          <w:tcPr>
            <w:tcW w:w="0" w:type="auto"/>
            <w:gridSpan w:val="2"/>
            <w:tcBorders>
              <w:top w:val="single" w:sz="4" w:space="0" w:color="auto"/>
              <w:bottom w:val="single" w:sz="4" w:space="0" w:color="auto"/>
            </w:tcBorders>
          </w:tcPr>
          <w:p w:rsidR="00FA5AA0" w:rsidRPr="00FA5AA0" w:rsidRDefault="00FA5AA0" w:rsidP="00627031">
            <w:pPr>
              <w:pStyle w:val="NormalIndent"/>
              <w:contextualSpacing/>
              <w:rPr>
                <w:rFonts w:asciiTheme="majorHAnsi" w:hAnsiTheme="majorHAnsi"/>
                <w:sz w:val="22"/>
                <w:szCs w:val="22"/>
              </w:rPr>
            </w:pPr>
            <w:r w:rsidRPr="00FA5AA0">
              <w:rPr>
                <w:rFonts w:asciiTheme="majorHAnsi" w:hAnsiTheme="majorHAnsi"/>
                <w:sz w:val="22"/>
                <w:szCs w:val="22"/>
              </w:rPr>
              <w:t>Junior Middle School</w:t>
            </w:r>
          </w:p>
        </w:tc>
      </w:tr>
      <w:tr w:rsidR="00FA5AA0" w:rsidRPr="00FA5AA0" w:rsidTr="00B36148">
        <w:trPr>
          <w:trHeight w:hRule="exact" w:val="979"/>
        </w:trPr>
        <w:tc>
          <w:tcPr>
            <w:tcW w:w="0" w:type="auto"/>
            <w:tcBorders>
              <w:bottom w:val="single" w:sz="4" w:space="0" w:color="auto"/>
            </w:tcBorders>
          </w:tcPr>
          <w:p w:rsidR="00FA5AA0" w:rsidRPr="00FA5AA0" w:rsidRDefault="00FA5AA0" w:rsidP="00627031">
            <w:pPr>
              <w:pStyle w:val="ListParagraph"/>
              <w:spacing w:before="120"/>
              <w:ind w:left="0"/>
              <w:rPr>
                <w:rFonts w:cs="Times New Roman"/>
              </w:rPr>
            </w:pPr>
          </w:p>
        </w:tc>
        <w:tc>
          <w:tcPr>
            <w:tcW w:w="0" w:type="auto"/>
            <w:tcBorders>
              <w:bottom w:val="single" w:sz="4" w:space="0" w:color="auto"/>
            </w:tcBorders>
          </w:tcPr>
          <w:p w:rsidR="00FA5AA0" w:rsidRPr="00FA5AA0" w:rsidRDefault="00FA5AA0" w:rsidP="00627031">
            <w:pPr>
              <w:pStyle w:val="NormalIndent"/>
              <w:ind w:firstLine="18"/>
              <w:contextualSpacing/>
              <w:rPr>
                <w:rFonts w:asciiTheme="majorHAnsi" w:hAnsiTheme="majorHAnsi"/>
                <w:sz w:val="22"/>
                <w:szCs w:val="22"/>
              </w:rPr>
            </w:pPr>
            <w:r w:rsidRPr="00FA5AA0">
              <w:rPr>
                <w:rFonts w:asciiTheme="majorHAnsi" w:hAnsiTheme="majorHAnsi"/>
                <w:sz w:val="22"/>
                <w:szCs w:val="22"/>
              </w:rPr>
              <w:t>Number of substitute teacher</w:t>
            </w:r>
          </w:p>
        </w:tc>
        <w:tc>
          <w:tcPr>
            <w:tcW w:w="0" w:type="auto"/>
            <w:tcBorders>
              <w:bottom w:val="single" w:sz="4" w:space="0" w:color="auto"/>
            </w:tcBorders>
          </w:tcPr>
          <w:p w:rsidR="00FA5AA0" w:rsidRPr="00FA5AA0" w:rsidRDefault="00FA5AA0" w:rsidP="00627031">
            <w:pPr>
              <w:pStyle w:val="NormalIndent"/>
              <w:ind w:hanging="2"/>
              <w:contextualSpacing/>
              <w:rPr>
                <w:rFonts w:asciiTheme="majorHAnsi" w:hAnsiTheme="majorHAnsi"/>
                <w:sz w:val="22"/>
                <w:szCs w:val="22"/>
              </w:rPr>
            </w:pPr>
            <w:r w:rsidRPr="00FA5AA0">
              <w:rPr>
                <w:rFonts w:asciiTheme="majorHAnsi" w:hAnsiTheme="majorHAnsi"/>
                <w:sz w:val="22"/>
                <w:szCs w:val="22"/>
              </w:rPr>
              <w:t>Percent workforce that are substitute teachers</w:t>
            </w:r>
          </w:p>
        </w:tc>
        <w:tc>
          <w:tcPr>
            <w:tcW w:w="0" w:type="auto"/>
            <w:tcBorders>
              <w:bottom w:val="single" w:sz="4" w:space="0" w:color="auto"/>
            </w:tcBorders>
          </w:tcPr>
          <w:p w:rsidR="00FA5AA0" w:rsidRPr="00FA5AA0" w:rsidRDefault="00FA5AA0" w:rsidP="00627031">
            <w:pPr>
              <w:pStyle w:val="ListParagraph"/>
              <w:spacing w:before="120"/>
              <w:ind w:left="0"/>
              <w:rPr>
                <w:rFonts w:cs="Times New Roman"/>
              </w:rPr>
            </w:pPr>
          </w:p>
        </w:tc>
        <w:tc>
          <w:tcPr>
            <w:tcW w:w="0" w:type="auto"/>
            <w:tcBorders>
              <w:bottom w:val="single" w:sz="4" w:space="0" w:color="auto"/>
            </w:tcBorders>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Number of substitute teacher</w:t>
            </w:r>
          </w:p>
        </w:tc>
        <w:tc>
          <w:tcPr>
            <w:tcW w:w="0" w:type="auto"/>
            <w:tcBorders>
              <w:bottom w:val="single" w:sz="4" w:space="0" w:color="auto"/>
            </w:tcBorders>
          </w:tcPr>
          <w:p w:rsidR="00FA5AA0" w:rsidRPr="00FA5AA0" w:rsidRDefault="00FA5AA0" w:rsidP="00627031">
            <w:pPr>
              <w:pStyle w:val="NormalIndent"/>
              <w:ind w:hanging="4"/>
              <w:contextualSpacing/>
              <w:rPr>
                <w:rFonts w:asciiTheme="majorHAnsi" w:hAnsiTheme="majorHAnsi"/>
                <w:sz w:val="22"/>
                <w:szCs w:val="22"/>
              </w:rPr>
            </w:pPr>
            <w:r w:rsidRPr="00FA5AA0">
              <w:rPr>
                <w:rFonts w:asciiTheme="majorHAnsi" w:hAnsiTheme="majorHAnsi"/>
                <w:sz w:val="22"/>
                <w:szCs w:val="22"/>
              </w:rPr>
              <w:t>Percent workforce that are substitute teachers</w:t>
            </w:r>
          </w:p>
        </w:tc>
      </w:tr>
      <w:tr w:rsidR="00FA5AA0" w:rsidRPr="00FA5AA0" w:rsidTr="00B36148">
        <w:trPr>
          <w:trHeight w:hRule="exact" w:val="288"/>
        </w:trPr>
        <w:tc>
          <w:tcPr>
            <w:tcW w:w="0" w:type="auto"/>
            <w:tcBorders>
              <w:top w:val="single" w:sz="4" w:space="0" w:color="auto"/>
            </w:tcBorders>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China</w:t>
            </w:r>
          </w:p>
        </w:tc>
        <w:tc>
          <w:tcPr>
            <w:tcW w:w="0" w:type="auto"/>
            <w:tcBorders>
              <w:top w:val="single" w:sz="4" w:space="0" w:color="auto"/>
            </w:tcBorders>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 </w:t>
            </w:r>
          </w:p>
        </w:tc>
        <w:tc>
          <w:tcPr>
            <w:tcW w:w="0" w:type="auto"/>
            <w:tcBorders>
              <w:top w:val="single" w:sz="4" w:space="0" w:color="auto"/>
            </w:tcBorders>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4.14</w:t>
            </w:r>
          </w:p>
        </w:tc>
        <w:tc>
          <w:tcPr>
            <w:tcW w:w="0" w:type="auto"/>
            <w:tcBorders>
              <w:top w:val="single" w:sz="4" w:space="0" w:color="auto"/>
            </w:tcBorders>
          </w:tcPr>
          <w:p w:rsidR="00FA5AA0" w:rsidRPr="00FA5AA0" w:rsidRDefault="00FA5AA0" w:rsidP="00627031">
            <w:pPr>
              <w:pStyle w:val="NormalIndent"/>
              <w:ind w:firstLine="0"/>
              <w:contextualSpacing/>
              <w:rPr>
                <w:rFonts w:asciiTheme="majorHAnsi" w:hAnsiTheme="majorHAnsi"/>
                <w:sz w:val="22"/>
                <w:szCs w:val="22"/>
              </w:rPr>
            </w:pPr>
          </w:p>
        </w:tc>
        <w:tc>
          <w:tcPr>
            <w:tcW w:w="0" w:type="auto"/>
            <w:tcBorders>
              <w:top w:val="single" w:sz="4" w:space="0" w:color="auto"/>
            </w:tcBorders>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 </w:t>
            </w:r>
          </w:p>
        </w:tc>
        <w:tc>
          <w:tcPr>
            <w:tcW w:w="0" w:type="auto"/>
            <w:tcBorders>
              <w:top w:val="single" w:sz="4" w:space="0" w:color="auto"/>
            </w:tcBorders>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1.97</w:t>
            </w:r>
          </w:p>
        </w:tc>
      </w:tr>
      <w:tr w:rsidR="00FA5AA0" w:rsidRPr="00FA5AA0" w:rsidTr="00B36148">
        <w:trPr>
          <w:trHeight w:hRule="exact" w:val="288"/>
        </w:trPr>
        <w:tc>
          <w:tcPr>
            <w:tcW w:w="0" w:type="auto"/>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Xinjiang</w:t>
            </w:r>
          </w:p>
        </w:tc>
        <w:tc>
          <w:tcPr>
            <w:tcW w:w="0" w:type="auto"/>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7761</w:t>
            </w:r>
          </w:p>
        </w:tc>
        <w:tc>
          <w:tcPr>
            <w:tcW w:w="0" w:type="auto"/>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5.46</w:t>
            </w:r>
          </w:p>
        </w:tc>
        <w:tc>
          <w:tcPr>
            <w:tcW w:w="0" w:type="auto"/>
          </w:tcPr>
          <w:p w:rsidR="00FA5AA0" w:rsidRPr="00FA5AA0" w:rsidRDefault="00FA5AA0" w:rsidP="00627031">
            <w:pPr>
              <w:pStyle w:val="NormalIndent"/>
              <w:ind w:firstLine="0"/>
              <w:contextualSpacing/>
              <w:rPr>
                <w:rFonts w:asciiTheme="majorHAnsi" w:hAnsiTheme="majorHAnsi"/>
                <w:sz w:val="22"/>
                <w:szCs w:val="22"/>
              </w:rPr>
            </w:pPr>
          </w:p>
        </w:tc>
        <w:tc>
          <w:tcPr>
            <w:tcW w:w="0" w:type="auto"/>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2858</w:t>
            </w:r>
          </w:p>
        </w:tc>
        <w:tc>
          <w:tcPr>
            <w:tcW w:w="0" w:type="auto"/>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2.51</w:t>
            </w:r>
          </w:p>
        </w:tc>
      </w:tr>
      <w:tr w:rsidR="00FA5AA0" w:rsidRPr="00FA5AA0" w:rsidTr="00B36148">
        <w:trPr>
          <w:trHeight w:hRule="exact" w:val="288"/>
        </w:trPr>
        <w:tc>
          <w:tcPr>
            <w:tcW w:w="0" w:type="auto"/>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Tibet</w:t>
            </w:r>
          </w:p>
        </w:tc>
        <w:tc>
          <w:tcPr>
            <w:tcW w:w="0" w:type="auto"/>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416</w:t>
            </w:r>
          </w:p>
        </w:tc>
        <w:tc>
          <w:tcPr>
            <w:tcW w:w="0" w:type="auto"/>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2.18</w:t>
            </w:r>
          </w:p>
        </w:tc>
        <w:tc>
          <w:tcPr>
            <w:tcW w:w="0" w:type="auto"/>
          </w:tcPr>
          <w:p w:rsidR="00FA5AA0" w:rsidRPr="00FA5AA0" w:rsidRDefault="00FA5AA0" w:rsidP="00627031">
            <w:pPr>
              <w:pStyle w:val="NormalIndent"/>
              <w:ind w:firstLine="0"/>
              <w:contextualSpacing/>
              <w:rPr>
                <w:rFonts w:asciiTheme="majorHAnsi" w:hAnsiTheme="majorHAnsi"/>
                <w:sz w:val="22"/>
                <w:szCs w:val="22"/>
              </w:rPr>
            </w:pPr>
          </w:p>
        </w:tc>
        <w:tc>
          <w:tcPr>
            <w:tcW w:w="0" w:type="auto"/>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0</w:t>
            </w:r>
          </w:p>
        </w:tc>
        <w:tc>
          <w:tcPr>
            <w:tcW w:w="0" w:type="auto"/>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0</w:t>
            </w:r>
          </w:p>
        </w:tc>
      </w:tr>
      <w:tr w:rsidR="00FA5AA0" w:rsidRPr="00FA5AA0" w:rsidTr="00B36148">
        <w:trPr>
          <w:trHeight w:hRule="exact" w:val="288"/>
        </w:trPr>
        <w:tc>
          <w:tcPr>
            <w:tcW w:w="0" w:type="auto"/>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Guangxi</w:t>
            </w:r>
          </w:p>
        </w:tc>
        <w:tc>
          <w:tcPr>
            <w:tcW w:w="0" w:type="auto"/>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16410</w:t>
            </w:r>
          </w:p>
        </w:tc>
        <w:tc>
          <w:tcPr>
            <w:tcW w:w="0" w:type="auto"/>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6.92</w:t>
            </w:r>
          </w:p>
        </w:tc>
        <w:tc>
          <w:tcPr>
            <w:tcW w:w="0" w:type="auto"/>
          </w:tcPr>
          <w:p w:rsidR="00FA5AA0" w:rsidRPr="00FA5AA0" w:rsidRDefault="00FA5AA0" w:rsidP="00627031">
            <w:pPr>
              <w:pStyle w:val="NormalIndent"/>
              <w:ind w:firstLine="0"/>
              <w:contextualSpacing/>
              <w:rPr>
                <w:rFonts w:asciiTheme="majorHAnsi" w:hAnsiTheme="majorHAnsi"/>
                <w:sz w:val="22"/>
                <w:szCs w:val="22"/>
              </w:rPr>
            </w:pPr>
          </w:p>
        </w:tc>
        <w:tc>
          <w:tcPr>
            <w:tcW w:w="0" w:type="auto"/>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2210</w:t>
            </w:r>
          </w:p>
        </w:tc>
        <w:tc>
          <w:tcPr>
            <w:tcW w:w="0" w:type="auto"/>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1.37</w:t>
            </w:r>
          </w:p>
        </w:tc>
      </w:tr>
      <w:tr w:rsidR="00FA5AA0" w:rsidRPr="00FA5AA0" w:rsidTr="00B36148">
        <w:trPr>
          <w:trHeight w:hRule="exact" w:val="288"/>
        </w:trPr>
        <w:tc>
          <w:tcPr>
            <w:tcW w:w="0" w:type="auto"/>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Inner Mongolia</w:t>
            </w:r>
          </w:p>
        </w:tc>
        <w:tc>
          <w:tcPr>
            <w:tcW w:w="0" w:type="auto"/>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3399</w:t>
            </w:r>
          </w:p>
        </w:tc>
        <w:tc>
          <w:tcPr>
            <w:tcW w:w="0" w:type="auto"/>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2.87</w:t>
            </w:r>
          </w:p>
        </w:tc>
        <w:tc>
          <w:tcPr>
            <w:tcW w:w="0" w:type="auto"/>
          </w:tcPr>
          <w:p w:rsidR="00FA5AA0" w:rsidRPr="00FA5AA0" w:rsidRDefault="00FA5AA0" w:rsidP="00627031">
            <w:pPr>
              <w:pStyle w:val="NormalIndent"/>
              <w:ind w:firstLine="0"/>
              <w:contextualSpacing/>
              <w:rPr>
                <w:rFonts w:asciiTheme="majorHAnsi" w:hAnsiTheme="majorHAnsi"/>
                <w:sz w:val="22"/>
                <w:szCs w:val="22"/>
              </w:rPr>
            </w:pPr>
          </w:p>
        </w:tc>
        <w:tc>
          <w:tcPr>
            <w:tcW w:w="0" w:type="auto"/>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2345</w:t>
            </w:r>
          </w:p>
        </w:tc>
        <w:tc>
          <w:tcPr>
            <w:tcW w:w="0" w:type="auto"/>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2.39</w:t>
            </w:r>
          </w:p>
        </w:tc>
      </w:tr>
      <w:tr w:rsidR="00FA5AA0" w:rsidRPr="00FA5AA0" w:rsidTr="00B36148">
        <w:trPr>
          <w:trHeight w:hRule="exact" w:val="288"/>
        </w:trPr>
        <w:tc>
          <w:tcPr>
            <w:tcW w:w="0" w:type="auto"/>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Ningxia</w:t>
            </w:r>
          </w:p>
        </w:tc>
        <w:tc>
          <w:tcPr>
            <w:tcW w:w="0" w:type="auto"/>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1697</w:t>
            </w:r>
          </w:p>
        </w:tc>
        <w:tc>
          <w:tcPr>
            <w:tcW w:w="0" w:type="auto"/>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4.83</w:t>
            </w:r>
          </w:p>
        </w:tc>
        <w:tc>
          <w:tcPr>
            <w:tcW w:w="0" w:type="auto"/>
          </w:tcPr>
          <w:p w:rsidR="00FA5AA0" w:rsidRPr="00FA5AA0" w:rsidRDefault="00FA5AA0" w:rsidP="00627031">
            <w:pPr>
              <w:pStyle w:val="NormalIndent"/>
              <w:ind w:firstLine="0"/>
              <w:contextualSpacing/>
              <w:rPr>
                <w:rFonts w:asciiTheme="majorHAnsi" w:hAnsiTheme="majorHAnsi"/>
                <w:sz w:val="22"/>
                <w:szCs w:val="22"/>
              </w:rPr>
            </w:pPr>
          </w:p>
        </w:tc>
        <w:tc>
          <w:tcPr>
            <w:tcW w:w="0" w:type="auto"/>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1291</w:t>
            </w:r>
          </w:p>
        </w:tc>
        <w:tc>
          <w:tcPr>
            <w:tcW w:w="0" w:type="auto"/>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4.59</w:t>
            </w:r>
          </w:p>
        </w:tc>
      </w:tr>
      <w:tr w:rsidR="00FA5AA0" w:rsidRPr="00FA5AA0" w:rsidTr="00B36148">
        <w:trPr>
          <w:trHeight w:hRule="exact" w:val="288"/>
        </w:trPr>
        <w:tc>
          <w:tcPr>
            <w:tcW w:w="0" w:type="auto"/>
          </w:tcPr>
          <w:p w:rsidR="00FA5AA0" w:rsidRPr="00FA5AA0" w:rsidRDefault="00FA5AA0" w:rsidP="00627031">
            <w:pPr>
              <w:pStyle w:val="NormalIndent"/>
              <w:ind w:firstLine="0"/>
              <w:contextualSpacing/>
              <w:rPr>
                <w:rFonts w:asciiTheme="majorHAnsi" w:hAnsiTheme="majorHAnsi"/>
                <w:sz w:val="22"/>
                <w:szCs w:val="22"/>
              </w:rPr>
            </w:pPr>
            <w:proofErr w:type="spellStart"/>
            <w:r w:rsidRPr="00FA5AA0">
              <w:rPr>
                <w:rFonts w:asciiTheme="majorHAnsi" w:hAnsiTheme="majorHAnsi"/>
                <w:sz w:val="22"/>
                <w:szCs w:val="22"/>
              </w:rPr>
              <w:t>Guizhou</w:t>
            </w:r>
            <w:proofErr w:type="spellEnd"/>
          </w:p>
        </w:tc>
        <w:tc>
          <w:tcPr>
            <w:tcW w:w="0" w:type="auto"/>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8036</w:t>
            </w:r>
          </w:p>
        </w:tc>
        <w:tc>
          <w:tcPr>
            <w:tcW w:w="0" w:type="auto"/>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3.88</w:t>
            </w:r>
          </w:p>
        </w:tc>
        <w:tc>
          <w:tcPr>
            <w:tcW w:w="0" w:type="auto"/>
          </w:tcPr>
          <w:p w:rsidR="00FA5AA0" w:rsidRPr="00FA5AA0" w:rsidRDefault="00FA5AA0" w:rsidP="00627031">
            <w:pPr>
              <w:pStyle w:val="NormalIndent"/>
              <w:ind w:firstLine="0"/>
              <w:contextualSpacing/>
              <w:rPr>
                <w:rFonts w:asciiTheme="majorHAnsi" w:hAnsiTheme="majorHAnsi"/>
                <w:sz w:val="22"/>
                <w:szCs w:val="22"/>
              </w:rPr>
            </w:pPr>
          </w:p>
        </w:tc>
        <w:tc>
          <w:tcPr>
            <w:tcW w:w="0" w:type="auto"/>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1044</w:t>
            </w:r>
          </w:p>
        </w:tc>
        <w:tc>
          <w:tcPr>
            <w:tcW w:w="0" w:type="auto"/>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0.74</w:t>
            </w:r>
          </w:p>
        </w:tc>
      </w:tr>
      <w:tr w:rsidR="00FA5AA0" w:rsidRPr="00FA5AA0" w:rsidTr="00B36148">
        <w:trPr>
          <w:trHeight w:hRule="exact" w:val="288"/>
        </w:trPr>
        <w:tc>
          <w:tcPr>
            <w:tcW w:w="0" w:type="auto"/>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Yunnan</w:t>
            </w:r>
          </w:p>
        </w:tc>
        <w:tc>
          <w:tcPr>
            <w:tcW w:w="0" w:type="auto"/>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13586</w:t>
            </w:r>
          </w:p>
        </w:tc>
        <w:tc>
          <w:tcPr>
            <w:tcW w:w="0" w:type="auto"/>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5.49</w:t>
            </w:r>
          </w:p>
        </w:tc>
        <w:tc>
          <w:tcPr>
            <w:tcW w:w="0" w:type="auto"/>
          </w:tcPr>
          <w:p w:rsidR="00FA5AA0" w:rsidRPr="00FA5AA0" w:rsidRDefault="00FA5AA0" w:rsidP="00627031">
            <w:pPr>
              <w:pStyle w:val="NormalIndent"/>
              <w:ind w:firstLine="0"/>
              <w:contextualSpacing/>
              <w:rPr>
                <w:rFonts w:asciiTheme="majorHAnsi" w:hAnsiTheme="majorHAnsi"/>
                <w:sz w:val="22"/>
                <w:szCs w:val="22"/>
              </w:rPr>
            </w:pPr>
          </w:p>
        </w:tc>
        <w:tc>
          <w:tcPr>
            <w:tcW w:w="0" w:type="auto"/>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89</w:t>
            </w:r>
          </w:p>
        </w:tc>
        <w:tc>
          <w:tcPr>
            <w:tcW w:w="0" w:type="auto"/>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0.57</w:t>
            </w:r>
          </w:p>
        </w:tc>
      </w:tr>
      <w:tr w:rsidR="00FA5AA0" w:rsidRPr="00FA5AA0" w:rsidTr="00B36148">
        <w:trPr>
          <w:trHeight w:hRule="exact" w:val="288"/>
        </w:trPr>
        <w:tc>
          <w:tcPr>
            <w:tcW w:w="0" w:type="auto"/>
          </w:tcPr>
          <w:p w:rsidR="00FA5AA0" w:rsidRPr="00FA5AA0" w:rsidRDefault="00FA5AA0" w:rsidP="00627031">
            <w:pPr>
              <w:pStyle w:val="NormalIndent"/>
              <w:ind w:firstLine="0"/>
              <w:contextualSpacing/>
              <w:rPr>
                <w:rFonts w:asciiTheme="majorHAnsi" w:hAnsiTheme="majorHAnsi"/>
                <w:sz w:val="22"/>
                <w:szCs w:val="22"/>
              </w:rPr>
            </w:pPr>
            <w:proofErr w:type="spellStart"/>
            <w:r w:rsidRPr="00FA5AA0">
              <w:rPr>
                <w:rFonts w:asciiTheme="majorHAnsi" w:hAnsiTheme="majorHAnsi"/>
                <w:sz w:val="22"/>
                <w:szCs w:val="22"/>
              </w:rPr>
              <w:t>Sizhuan</w:t>
            </w:r>
            <w:proofErr w:type="spellEnd"/>
          </w:p>
        </w:tc>
        <w:tc>
          <w:tcPr>
            <w:tcW w:w="0" w:type="auto"/>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17806</w:t>
            </w:r>
          </w:p>
        </w:tc>
        <w:tc>
          <w:tcPr>
            <w:tcW w:w="0" w:type="auto"/>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5.49</w:t>
            </w:r>
          </w:p>
        </w:tc>
        <w:tc>
          <w:tcPr>
            <w:tcW w:w="0" w:type="auto"/>
          </w:tcPr>
          <w:p w:rsidR="00FA5AA0" w:rsidRPr="00FA5AA0" w:rsidRDefault="00FA5AA0" w:rsidP="00627031">
            <w:pPr>
              <w:pStyle w:val="NormalIndent"/>
              <w:ind w:firstLine="0"/>
              <w:contextualSpacing/>
              <w:rPr>
                <w:rFonts w:asciiTheme="majorHAnsi" w:hAnsiTheme="majorHAnsi"/>
                <w:sz w:val="22"/>
                <w:szCs w:val="22"/>
              </w:rPr>
            </w:pPr>
          </w:p>
        </w:tc>
        <w:tc>
          <w:tcPr>
            <w:tcW w:w="0" w:type="auto"/>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4112</w:t>
            </w:r>
          </w:p>
        </w:tc>
        <w:tc>
          <w:tcPr>
            <w:tcW w:w="0" w:type="auto"/>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1.45</w:t>
            </w:r>
          </w:p>
        </w:tc>
      </w:tr>
      <w:tr w:rsidR="00FA5AA0" w:rsidRPr="00FA5AA0" w:rsidTr="00B36148">
        <w:trPr>
          <w:trHeight w:hRule="exact" w:val="288"/>
        </w:trPr>
        <w:tc>
          <w:tcPr>
            <w:tcW w:w="0" w:type="auto"/>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Qinghai</w:t>
            </w:r>
          </w:p>
        </w:tc>
        <w:tc>
          <w:tcPr>
            <w:tcW w:w="0" w:type="auto"/>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3404</w:t>
            </w:r>
          </w:p>
        </w:tc>
        <w:tc>
          <w:tcPr>
            <w:tcW w:w="0" w:type="auto"/>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11.27</w:t>
            </w:r>
          </w:p>
        </w:tc>
        <w:tc>
          <w:tcPr>
            <w:tcW w:w="0" w:type="auto"/>
          </w:tcPr>
          <w:p w:rsidR="00FA5AA0" w:rsidRPr="00FA5AA0" w:rsidRDefault="00FA5AA0" w:rsidP="00627031">
            <w:pPr>
              <w:pStyle w:val="NormalIndent"/>
              <w:ind w:firstLine="0"/>
              <w:contextualSpacing/>
              <w:rPr>
                <w:rFonts w:asciiTheme="majorHAnsi" w:hAnsiTheme="majorHAnsi"/>
                <w:sz w:val="22"/>
                <w:szCs w:val="22"/>
              </w:rPr>
            </w:pPr>
          </w:p>
        </w:tc>
        <w:tc>
          <w:tcPr>
            <w:tcW w:w="0" w:type="auto"/>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1921</w:t>
            </w:r>
          </w:p>
        </w:tc>
        <w:tc>
          <w:tcPr>
            <w:tcW w:w="0" w:type="auto"/>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8.27</w:t>
            </w:r>
          </w:p>
        </w:tc>
      </w:tr>
      <w:tr w:rsidR="00FA5AA0" w:rsidRPr="00FA5AA0" w:rsidTr="00B36148">
        <w:trPr>
          <w:trHeight w:hRule="exact" w:val="288"/>
        </w:trPr>
        <w:tc>
          <w:tcPr>
            <w:tcW w:w="0" w:type="auto"/>
            <w:tcBorders>
              <w:bottom w:val="single" w:sz="4" w:space="0" w:color="auto"/>
            </w:tcBorders>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Gansu</w:t>
            </w:r>
          </w:p>
        </w:tc>
        <w:tc>
          <w:tcPr>
            <w:tcW w:w="0" w:type="auto"/>
            <w:tcBorders>
              <w:bottom w:val="single" w:sz="4" w:space="0" w:color="auto"/>
            </w:tcBorders>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12872</w:t>
            </w:r>
          </w:p>
        </w:tc>
        <w:tc>
          <w:tcPr>
            <w:tcW w:w="0" w:type="auto"/>
            <w:tcBorders>
              <w:bottom w:val="single" w:sz="4" w:space="0" w:color="auto"/>
            </w:tcBorders>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8.42</w:t>
            </w:r>
          </w:p>
        </w:tc>
        <w:tc>
          <w:tcPr>
            <w:tcW w:w="0" w:type="auto"/>
            <w:tcBorders>
              <w:bottom w:val="single" w:sz="4" w:space="0" w:color="auto"/>
            </w:tcBorders>
          </w:tcPr>
          <w:p w:rsidR="00FA5AA0" w:rsidRPr="00FA5AA0" w:rsidRDefault="00FA5AA0" w:rsidP="00627031">
            <w:pPr>
              <w:pStyle w:val="NormalIndent"/>
              <w:ind w:firstLine="0"/>
              <w:contextualSpacing/>
              <w:rPr>
                <w:rFonts w:asciiTheme="majorHAnsi" w:hAnsiTheme="majorHAnsi"/>
                <w:sz w:val="22"/>
                <w:szCs w:val="22"/>
              </w:rPr>
            </w:pPr>
          </w:p>
        </w:tc>
        <w:tc>
          <w:tcPr>
            <w:tcW w:w="0" w:type="auto"/>
            <w:tcBorders>
              <w:bottom w:val="single" w:sz="4" w:space="0" w:color="auto"/>
            </w:tcBorders>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2238</w:t>
            </w:r>
          </w:p>
        </w:tc>
        <w:tc>
          <w:tcPr>
            <w:tcW w:w="0" w:type="auto"/>
            <w:tcBorders>
              <w:bottom w:val="single" w:sz="4" w:space="0" w:color="auto"/>
            </w:tcBorders>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1.88</w:t>
            </w:r>
          </w:p>
        </w:tc>
      </w:tr>
      <w:tr w:rsidR="00FA5AA0" w:rsidRPr="00FA5AA0" w:rsidTr="00B36148">
        <w:trPr>
          <w:trHeight w:hRule="exact" w:val="784"/>
        </w:trPr>
        <w:tc>
          <w:tcPr>
            <w:tcW w:w="0" w:type="auto"/>
            <w:gridSpan w:val="6"/>
            <w:tcBorders>
              <w:top w:val="single" w:sz="4" w:space="0" w:color="auto"/>
            </w:tcBorders>
          </w:tcPr>
          <w:p w:rsidR="00FA5AA0" w:rsidRPr="00FA5AA0" w:rsidRDefault="00FA5AA0" w:rsidP="00627031">
            <w:pPr>
              <w:pStyle w:val="NormalIndent"/>
              <w:ind w:firstLine="0"/>
              <w:contextualSpacing/>
              <w:rPr>
                <w:rFonts w:asciiTheme="majorHAnsi" w:hAnsiTheme="majorHAnsi"/>
                <w:sz w:val="22"/>
                <w:szCs w:val="22"/>
              </w:rPr>
            </w:pPr>
            <w:r w:rsidRPr="00FA5AA0">
              <w:rPr>
                <w:rFonts w:asciiTheme="majorHAnsi" w:hAnsiTheme="majorHAnsi"/>
                <w:sz w:val="22"/>
                <w:szCs w:val="22"/>
              </w:rPr>
              <w:t>Source: Development Planning Division of the Ministry of Education, (2010). “The 2009 National Educational Development Statistical Report”</w:t>
            </w:r>
          </w:p>
          <w:p w:rsidR="00FA5AA0" w:rsidRPr="00FA5AA0" w:rsidRDefault="00FA5AA0" w:rsidP="00627031">
            <w:pPr>
              <w:pStyle w:val="NormalIndent"/>
              <w:ind w:firstLine="0"/>
              <w:contextualSpacing/>
              <w:rPr>
                <w:rFonts w:asciiTheme="majorHAnsi" w:hAnsiTheme="majorHAnsi"/>
                <w:sz w:val="22"/>
                <w:szCs w:val="22"/>
              </w:rPr>
            </w:pPr>
          </w:p>
        </w:tc>
      </w:tr>
    </w:tbl>
    <w:p w:rsidR="00FA5AA0" w:rsidRPr="00FA5AA0" w:rsidRDefault="00FA5AA0" w:rsidP="00627031">
      <w:pPr>
        <w:pStyle w:val="NormalIndent"/>
        <w:spacing w:line="240" w:lineRule="auto"/>
        <w:contextualSpacing/>
        <w:rPr>
          <w:rFonts w:asciiTheme="majorHAnsi" w:hAnsiTheme="majorHAnsi"/>
          <w:sz w:val="22"/>
          <w:szCs w:val="22"/>
        </w:rPr>
      </w:pPr>
    </w:p>
    <w:p w:rsidR="007D40F3" w:rsidRPr="00FA5AA0" w:rsidRDefault="004812FF" w:rsidP="00627031">
      <w:pPr>
        <w:spacing w:line="240" w:lineRule="auto"/>
        <w:contextualSpacing/>
        <w:rPr>
          <w:rFonts w:asciiTheme="majorHAnsi" w:hAnsiTheme="majorHAnsi"/>
        </w:rPr>
      </w:pPr>
    </w:p>
    <w:sectPr w:rsidR="007D40F3" w:rsidRPr="00FA5AA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812FF" w:rsidRDefault="004812FF" w:rsidP="00FA5AA0">
      <w:pPr>
        <w:spacing w:after="0" w:line="240" w:lineRule="auto"/>
      </w:pPr>
      <w:r>
        <w:separator/>
      </w:r>
    </w:p>
  </w:endnote>
  <w:endnote w:type="continuationSeparator" w:id="0">
    <w:p w:rsidR="004812FF" w:rsidRDefault="004812FF" w:rsidP="00FA5AA0">
      <w:pPr>
        <w:spacing w:after="0" w:line="240" w:lineRule="auto"/>
      </w:pPr>
      <w:r>
        <w:continuationSeparator/>
      </w:r>
    </w:p>
  </w:endnote>
  <w:endnote w:id="1">
    <w:p w:rsidR="00FA5AA0" w:rsidRPr="000F5EA7" w:rsidRDefault="00FA5AA0" w:rsidP="00FA5AA0">
      <w:pPr>
        <w:pStyle w:val="EN"/>
        <w:spacing w:line="480" w:lineRule="auto"/>
        <w:rPr>
          <w:sz w:val="24"/>
          <w:szCs w:val="24"/>
          <w:lang w:val="en-US"/>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Times">
    <w:panose1 w:val="02020603050405020304"/>
    <w:charset w:val="00"/>
    <w:family w:val="roman"/>
    <w:pitch w:val="variable"/>
    <w:sig w:usb0="00000007" w:usb1="00000000" w:usb2="00000000" w:usb3="00000000" w:csb0="00000093" w:csb1="00000000"/>
  </w:font>
  <w:font w:name="Tahoma">
    <w:panose1 w:val="020B0604030504040204"/>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812FF" w:rsidRDefault="004812FF" w:rsidP="00FA5AA0">
      <w:pPr>
        <w:spacing w:after="0" w:line="240" w:lineRule="auto"/>
      </w:pPr>
      <w:r>
        <w:separator/>
      </w:r>
    </w:p>
  </w:footnote>
  <w:footnote w:type="continuationSeparator" w:id="0">
    <w:p w:rsidR="004812FF" w:rsidRDefault="004812FF" w:rsidP="00FA5AA0">
      <w:pPr>
        <w:spacing w:after="0" w:line="240" w:lineRule="auto"/>
      </w:pPr>
      <w:r>
        <w:continuationSeparator/>
      </w:r>
    </w:p>
  </w:footnote>
  <w:footnote w:id="1">
    <w:p w:rsidR="00FA5AA0" w:rsidRPr="00BC4F6A" w:rsidRDefault="00FA5AA0" w:rsidP="00FA5AA0">
      <w:pPr>
        <w:pStyle w:val="FootnoteText"/>
      </w:pPr>
      <w:r w:rsidRPr="00FB64C5">
        <w:rPr>
          <w:rStyle w:val="FootnoteReference"/>
        </w:rPr>
        <w:footnoteRef/>
      </w:r>
      <w:r w:rsidRPr="00FB64C5">
        <w:t xml:space="preserve"> The high degree of uniformity remains true today in relative terms, de</w:t>
      </w:r>
      <w:r w:rsidRPr="00064C79">
        <w:t xml:space="preserve">spite policies that have promoted more local content and the development of some non-standard admissions procedures in higher education </w:t>
      </w:r>
      <w:r w:rsidRPr="00B72905">
        <w:fldChar w:fldCharType="begin"/>
      </w:r>
      <w:r w:rsidRPr="00064C79">
        <w:instrText xml:space="preserve"> ADDIN ZOTERO_ITEM CSL_CITATION {"citationID":"10rk437ehp","properties":{"formattedCitation":"(Hannum, An, &amp; Cherng, 2011)","plainCitation":"(Hannum, An, &amp; Cherng, 2011)"},"citationItems":[{"id":1639,"uris":["http://zotero.org/users/992731/items/HU5MX2G2"],"uri":["http://zotero.org/users/992731/items/HU5MX2G2"],"itemData":{"id":1639,"type":"article-journal","title":"Examinations and educational opportunity in China: mobility and bottlenecks for the rural poor","container-title":"Oxford Review of Education","page":"267-305","volume":"37","issue":"2","abstract":"Despite the important role played by examinations in educational stratification and mobility in China, to our knowledge there is no literature in English that investigates the impact of exams on educational attainment with empirical data. We address this gap with an investigation of how examinations shape opportunities for children of the rural poor, a vulnerable group of great contemporary policy significance. After introducing China's high school and college entrance examination systems, we present a case study of examinations and educational transitions in rural Gansu Province, one of China's poorest provinces. We offer a snapshot of educational progress among rural young adults in 2009, with special attention to social selection in exam taking and outcomes, and to the role of examinations in shaping subsequent educational transitions.","author":[{"family":"Hannum","given":"Emily"},{"family":"An","given":"Xuehui"},{"family":"Cherng","given":"Hua-Yu Sebastian"}],"issued":{"date-parts":[[2011]]}}}],"schema":"https://github.com/citation-style-language/schema/raw/master/csl-citation.json"} </w:instrText>
      </w:r>
      <w:r w:rsidRPr="00B72905">
        <w:fldChar w:fldCharType="separate"/>
      </w:r>
      <w:r w:rsidRPr="00064C79">
        <w:t xml:space="preserve">(Hannum, An, </w:t>
      </w:r>
      <w:r w:rsidRPr="00B20702">
        <w:t>&amp;</w:t>
      </w:r>
      <w:r w:rsidRPr="00B72905">
        <w:t xml:space="preserve"> Cherng, 2011)</w:t>
      </w:r>
      <w:r w:rsidRPr="00B72905">
        <w:fldChar w:fldCharType="end"/>
      </w:r>
      <w:r w:rsidRPr="00BC4F6A">
        <w:t>.</w:t>
      </w:r>
    </w:p>
  </w:footnote>
  <w:footnote w:id="2">
    <w:p w:rsidR="00FA5AA0" w:rsidRPr="00914097" w:rsidRDefault="00FA5AA0" w:rsidP="00FA5AA0">
      <w:pPr>
        <w:pStyle w:val="FootnoteText"/>
        <w:rPr>
          <w:rFonts w:ascii="Times New Roman" w:hAnsi="Times New Roman" w:cs="Times New Roman"/>
        </w:rPr>
      </w:pPr>
      <w:r w:rsidRPr="005520E1">
        <w:rPr>
          <w:rStyle w:val="FootnoteReference"/>
          <w:rFonts w:cs="Times New Roman"/>
        </w:rPr>
        <w:footnoteRef/>
      </w:r>
      <w:r w:rsidRPr="005520E1">
        <w:rPr>
          <w:rFonts w:cs="Times New Roman"/>
        </w:rPr>
        <w:t xml:space="preserve"> In 2009, a very small proportion of elementary school students, 0.17 percent, enrolled in vocational junior high schools (Ministry of Education, 2010).</w:t>
      </w:r>
    </w:p>
  </w:footnote>
  <w:footnote w:id="3">
    <w:p w:rsidR="00FA5AA0" w:rsidRDefault="00FA5AA0" w:rsidP="00FA5AA0">
      <w:pPr>
        <w:pStyle w:val="FootnoteText"/>
      </w:pPr>
      <w:r>
        <w:rPr>
          <w:rStyle w:val="FootnoteReference"/>
        </w:rPr>
        <w:footnoteRef/>
      </w:r>
      <w:r>
        <w:t xml:space="preserve"> T</w:t>
      </w:r>
      <w:r w:rsidRPr="00E45F7B">
        <w:t xml:space="preserve">he rising number of college graduates in urban areas of China, coupled with dwindling number of jobs that demand college degrees, has created a concern over whether higher education can lead to middle-class attainment (Jennings, 2010).  In 2009, over 6 million new college graduates entered the labor market, many with the goal of finding white-collared employment in major cities (Ministry of Education, 2010).  However, a dearth of jobs in industries that many graduates would find desirable has led many to settle for low-paying manufacturing jobs.  Recent media has described college graduates, who live in cramped conditions in cities and swarm to work each rush hour, as members of the “ant tribe” (Jennings, 2010).  </w:t>
      </w:r>
    </w:p>
  </w:footnote>
  <w:footnote w:id="4">
    <w:p w:rsidR="00FA5AA0" w:rsidRPr="00914097" w:rsidRDefault="00FA5AA0" w:rsidP="00FA5AA0">
      <w:pPr>
        <w:pStyle w:val="FootnoteText"/>
        <w:rPr>
          <w:rFonts w:ascii="Times New Roman" w:hAnsi="Times New Roman" w:cs="Times New Roman"/>
        </w:rPr>
      </w:pPr>
      <w:r w:rsidRPr="00061E14">
        <w:rPr>
          <w:rStyle w:val="FootnoteReference"/>
          <w:rFonts w:ascii="Times New Roman" w:hAnsi="Times New Roman" w:cs="Times New Roman"/>
        </w:rPr>
        <w:footnoteRef/>
      </w:r>
      <w:r w:rsidRPr="00914097">
        <w:rPr>
          <w:rFonts w:ascii="Times New Roman" w:hAnsi="Times New Roman" w:cs="Times New Roman"/>
        </w:rPr>
        <w:t xml:space="preserve"> In 2009, the primary school enrollment rate was 17.25 percent in Tibet, 75.24 percent in Xinjiang, 78.04 percent in Ningxia, 89.39 percent in Guangxi, 94.97 percent in Inner Mongolia.  The enrollment rate for the country was 89.94 percent </w:t>
      </w:r>
      <w:r>
        <w:rPr>
          <w:rFonts w:ascii="Times New Roman" w:hAnsi="Times New Roman" w:cs="Times New Roman"/>
        </w:rPr>
        <w:t>(</w:t>
      </w:r>
      <w:r w:rsidRPr="00914097">
        <w:rPr>
          <w:rFonts w:ascii="Times New Roman" w:hAnsi="Times New Roman" w:cs="Times New Roman"/>
        </w:rPr>
        <w:t xml:space="preserve">Ministry of Education, 2010).  </w:t>
      </w:r>
    </w:p>
  </w:footnote>
  <w:footnote w:id="5">
    <w:p w:rsidR="00FA5AA0" w:rsidRPr="00914097" w:rsidRDefault="00FA5AA0" w:rsidP="00FA5AA0">
      <w:pPr>
        <w:pStyle w:val="FootnoteText"/>
        <w:rPr>
          <w:rFonts w:ascii="Times New Roman" w:hAnsi="Times New Roman" w:cs="Times New Roman"/>
          <w:lang w:eastAsia="zh-CN"/>
        </w:rPr>
      </w:pPr>
      <w:r w:rsidRPr="00061E14">
        <w:rPr>
          <w:rStyle w:val="FootnoteReference"/>
          <w:rFonts w:ascii="Times New Roman" w:hAnsi="Times New Roman" w:cs="Times New Roman"/>
        </w:rPr>
        <w:footnoteRef/>
      </w:r>
      <w:r w:rsidRPr="00914097">
        <w:rPr>
          <w:rFonts w:ascii="Times New Roman" w:hAnsi="Times New Roman" w:cs="Times New Roman"/>
        </w:rPr>
        <w:t xml:space="preserve"> Literature in this tradition uses the Chinese phrase for unbalanced development, or </w:t>
      </w:r>
      <w:r w:rsidRPr="00914097">
        <w:rPr>
          <w:rFonts w:ascii="Times New Roman" w:hAnsi="Times New Roman" w:cs="Times New Roman"/>
          <w:lang w:eastAsia="zh-CN"/>
        </w:rPr>
        <w:t>不均衡发展</w:t>
      </w:r>
      <w:r w:rsidRPr="00914097">
        <w:rPr>
          <w:rFonts w:ascii="Times New Roman" w:hAnsi="Times New Roman" w:cs="Times New Roman"/>
          <w:lang w:eastAsia="zh-CN"/>
        </w:rPr>
        <w:t xml:space="preserve"> (</w:t>
      </w:r>
      <w:proofErr w:type="spellStart"/>
      <w:r w:rsidRPr="00914097">
        <w:rPr>
          <w:rFonts w:ascii="Times New Roman" w:hAnsi="Times New Roman" w:cs="Times New Roman"/>
          <w:i/>
        </w:rPr>
        <w:t>bujunheng</w:t>
      </w:r>
      <w:proofErr w:type="spellEnd"/>
      <w:r w:rsidRPr="00914097">
        <w:rPr>
          <w:rFonts w:ascii="Times New Roman" w:hAnsi="Times New Roman" w:cs="Times New Roman"/>
          <w:i/>
        </w:rPr>
        <w:t xml:space="preserve"> </w:t>
      </w:r>
      <w:proofErr w:type="spellStart"/>
      <w:r w:rsidRPr="00914097">
        <w:rPr>
          <w:rFonts w:ascii="Times New Roman" w:hAnsi="Times New Roman" w:cs="Times New Roman"/>
          <w:i/>
        </w:rPr>
        <w:t>fazhan</w:t>
      </w:r>
      <w:proofErr w:type="spellEnd"/>
      <w:r w:rsidRPr="00914097">
        <w:rPr>
          <w:rFonts w:ascii="Times New Roman" w:hAnsi="Times New Roman" w:cs="Times New Roman"/>
          <w:i/>
        </w:rPr>
        <w:t xml:space="preserve">).  </w:t>
      </w:r>
    </w:p>
  </w:footnote>
  <w:footnote w:id="6">
    <w:p w:rsidR="00FA5AA0" w:rsidRPr="00914097" w:rsidRDefault="00FA5AA0" w:rsidP="00FA5AA0">
      <w:pPr>
        <w:pStyle w:val="FootnoteText"/>
        <w:rPr>
          <w:rFonts w:ascii="Times New Roman" w:hAnsi="Times New Roman" w:cs="Times New Roman"/>
        </w:rPr>
      </w:pPr>
      <w:r w:rsidRPr="00061E14">
        <w:rPr>
          <w:rStyle w:val="FootnoteReference"/>
          <w:rFonts w:ascii="Times New Roman" w:hAnsi="Times New Roman" w:cs="Times New Roman"/>
        </w:rPr>
        <w:footnoteRef/>
      </w:r>
      <w:r w:rsidRPr="00914097">
        <w:rPr>
          <w:rFonts w:ascii="Times New Roman" w:hAnsi="Times New Roman" w:cs="Times New Roman"/>
        </w:rPr>
        <w:t xml:space="preserve"> See Zhang and </w:t>
      </w:r>
      <w:proofErr w:type="spellStart"/>
      <w:r w:rsidRPr="00914097">
        <w:rPr>
          <w:rFonts w:ascii="Times New Roman" w:hAnsi="Times New Roman" w:cs="Times New Roman"/>
        </w:rPr>
        <w:t>Verhoeven</w:t>
      </w:r>
      <w:proofErr w:type="spellEnd"/>
      <w:r w:rsidRPr="00914097">
        <w:rPr>
          <w:rFonts w:ascii="Times New Roman" w:hAnsi="Times New Roman" w:cs="Times New Roman"/>
        </w:rPr>
        <w:t xml:space="preserve"> </w:t>
      </w:r>
      <w:r w:rsidRPr="00061E14">
        <w:rPr>
          <w:rFonts w:ascii="Times New Roman" w:hAnsi="Times New Roman" w:cs="Times New Roman"/>
        </w:rPr>
        <w:fldChar w:fldCharType="begin"/>
      </w:r>
      <w:r>
        <w:rPr>
          <w:rFonts w:ascii="Times New Roman" w:hAnsi="Times New Roman" w:cs="Times New Roman"/>
        </w:rPr>
        <w:instrText xml:space="preserve"> ADDIN ZOTERO_ITEM CSL_CITATION {"citationID":"3XVmW5Td","properties":{"formattedCitation":"(2010)","plainCitation":"(2010)"},"citationItems":[{"id":3070,"uris":["http://zotero.org/users/992731/items/92HTC8UV"],"uri":["http://zotero.org/users/992731/items/92HTC8UV"],"itemData":{"id":3070,"type":"article-journal","title":"Access to Higher Education of 25 Ethnic Minorities in Yunnan Province, South Western China","container-title":"Frontiers of Education in China","page":"290-308","volume":"5","issue":"2","abstract":"The level of development of higher education (HE) is an important indicator to measure the development of the social economy and the civilization of a region or country. In this article, we compare the distribution of the freshmen of ethnic minorities (EMs) with the distribution of EMs over the population, based on a sample of 1 464 freshmen from 25 EMs of Yunnan Province in People's Republic of China (PRC). Although this analysis shows that access to HE is equal for some categories of EM students, it still shows that access to HE is harder for these minorities in comparison with freshmen from Han (major ethnic group comprising of 92 % of the Chinese population) families.","note":"Source type: scholarlyjournals; Object type: Report; Object type: Article; CSAUnique: EJ884298; AccNum: EJ884298; ISSN: 1673-341X; Peer Reviewed: true","author":[{"family":"Zhang","given":"Jianxin"},{"family":"Verhoeven","given":"Jef C."}],"issued":{"date-parts":[["2010",6]]}},"suppress-author":true}],"schema":"https://github.com/citation-style-language/schema/raw/master/csl-citation.json"} </w:instrText>
      </w:r>
      <w:r w:rsidRPr="00061E14">
        <w:rPr>
          <w:rFonts w:ascii="Times New Roman" w:hAnsi="Times New Roman" w:cs="Times New Roman"/>
        </w:rPr>
        <w:fldChar w:fldCharType="separate"/>
      </w:r>
      <w:r w:rsidRPr="00061E14">
        <w:rPr>
          <w:rFonts w:ascii="Times New Roman" w:eastAsia="SimSun" w:hAnsi="Times New Roman" w:cs="Times New Roman"/>
          <w:szCs w:val="21"/>
          <w:lang w:eastAsia="zh-CN"/>
        </w:rPr>
        <w:t>(2010)</w:t>
      </w:r>
      <w:r w:rsidRPr="00061E14">
        <w:rPr>
          <w:rFonts w:ascii="Times New Roman" w:hAnsi="Times New Roman" w:cs="Times New Roman"/>
        </w:rPr>
        <w:fldChar w:fldCharType="end"/>
      </w:r>
      <w:r w:rsidRPr="00061E14">
        <w:rPr>
          <w:rFonts w:ascii="Times New Roman" w:hAnsi="Times New Roman" w:cs="Times New Roman"/>
        </w:rPr>
        <w:t xml:space="preserve"> for a discussion of access to higher education among ethnic minorities in Yunnan Province, based on what appears to be a purposive sample of higher education freshman students.</w:t>
      </w:r>
    </w:p>
  </w:footnote>
  <w:footnote w:id="7">
    <w:p w:rsidR="00FA5AA0" w:rsidRPr="00914097" w:rsidRDefault="00FA5AA0" w:rsidP="00FA5AA0">
      <w:pPr>
        <w:pStyle w:val="FootnoteText"/>
        <w:rPr>
          <w:rFonts w:ascii="Times New Roman" w:hAnsi="Times New Roman" w:cs="Times New Roman"/>
        </w:rPr>
      </w:pPr>
      <w:r w:rsidRPr="00061E14">
        <w:rPr>
          <w:rStyle w:val="FootnoteReference"/>
          <w:rFonts w:ascii="Times New Roman" w:hAnsi="Times New Roman" w:cs="Times New Roman"/>
        </w:rPr>
        <w:footnoteRef/>
      </w:r>
      <w:r w:rsidRPr="00914097">
        <w:rPr>
          <w:rFonts w:ascii="Times New Roman" w:hAnsi="Times New Roman" w:cs="Times New Roman"/>
        </w:rPr>
        <w:t xml:space="preserve">For a discussion of legislation from different regional and local governments in China, see </w:t>
      </w:r>
      <w:r w:rsidRPr="00061E14">
        <w:rPr>
          <w:rFonts w:ascii="Times New Roman" w:hAnsi="Times New Roman" w:cs="Times New Roman"/>
        </w:rPr>
        <w:fldChar w:fldCharType="begin"/>
      </w:r>
      <w:r>
        <w:rPr>
          <w:rFonts w:ascii="Times New Roman" w:hAnsi="Times New Roman" w:cs="Times New Roman"/>
        </w:rPr>
        <w:instrText xml:space="preserve"> ADDIN ZOTERO_ITEM CSL_CITATION {"citationID":"K4To2AGT","properties":{"formattedCitation":"(M. Zhou, 2005)","plainCitation":"(M. Zhou, 2005)"},"citationItems":[{"id":3142,"uris":["http://zotero.org/users/992731/items/F6A22T9P"],"uri":["http://zotero.org/users/992731/items/F6A22T9P"],"itemData":{"id":3142,"type":"article-journal","title":"Legislating Literacy for Linguistic and Ethnic Minorities in Contemporary China","container-title":"Current Issues in Language Planning","page":"102-121","volume":"6","issue":"2","abstract":"The People's Republic of China has employed two means of literacy promotion: a campaign approach and a legislative approach to meet the needs of nation-state building through education. From 1949 through to the late 1970s, the campaign approach was motivated by a political rationale, but later an economic rationale also became important. From the mid-1980s and continuing to the present, a legislative approach emerged which treats compulsory education as the mainstream means for literacy development and illiteracy eradication as a supplementary one. Meanwhile, China's language policy has also changed from allowing parallel development of Chinese literacy and minority literacies to a linguistic hierarchy with Chinese as dominant and minority languages as subordinate. Minorities may challenge this order and in these challenges can be seen differences between national legislation and local legislation. The national laws generally take a \"permission\" stance towards literacy in minority languages, whereas local laws adopt stances ranging from \"promotion\" to \"permission\" to \"tolerance\", with the focus for contesting relative status concentrating on the area of literacy education rather than illiteracy eradication. (Contains 1 table, 1 figure, and 3 notes.)","note":"Source type: scholarlyjournals; Object type: Report; Object type: Article; CSAUnique: EJ822962; AccNum: EJ822962; ISSN: 1466-4208; Peer Reviewed: true","author":[{"family":"Zhou","given":"Minglang"}],"issued":{"date-parts":[["2005",5]]}}}],"schema":"https://github.com/citation-style-language/schema/raw/master/csl-citation.json"} </w:instrText>
      </w:r>
      <w:r w:rsidRPr="00061E14">
        <w:rPr>
          <w:rFonts w:ascii="Times New Roman" w:hAnsi="Times New Roman" w:cs="Times New Roman"/>
        </w:rPr>
        <w:fldChar w:fldCharType="separate"/>
      </w:r>
      <w:r w:rsidRPr="00061E14">
        <w:rPr>
          <w:rFonts w:ascii="Times New Roman" w:eastAsia="SimSun" w:hAnsi="Times New Roman" w:cs="Times New Roman"/>
          <w:szCs w:val="21"/>
          <w:lang w:eastAsia="zh-CN"/>
        </w:rPr>
        <w:t>(Zhou, 2005)</w:t>
      </w:r>
      <w:r w:rsidRPr="00061E14">
        <w:rPr>
          <w:rFonts w:ascii="Times New Roman" w:hAnsi="Times New Roman" w:cs="Times New Roman"/>
        </w:rPr>
        <w:fldChar w:fldCharType="end"/>
      </w:r>
      <w:r w:rsidRPr="00061E14">
        <w:rPr>
          <w:rFonts w:ascii="Times New Roman" w:hAnsi="Times New Roman" w:cs="Times New Roman"/>
        </w:rPr>
        <w:t xml:space="preserve">; for in-depth case studies of bilingual education in Yunnan and Sichuan, see </w:t>
      </w:r>
      <w:r w:rsidRPr="00061E14">
        <w:rPr>
          <w:rFonts w:ascii="Times New Roman" w:hAnsi="Times New Roman" w:cs="Times New Roman"/>
        </w:rPr>
        <w:fldChar w:fldCharType="begin"/>
      </w:r>
      <w:r>
        <w:rPr>
          <w:rFonts w:ascii="Times New Roman" w:hAnsi="Times New Roman" w:cs="Times New Roman"/>
        </w:rPr>
        <w:instrText xml:space="preserve"> ADDIN ZOTERO_ITEM CSL_CITATION {"citationID":"2kk7KDCx","properties":{"formattedCitation":"(Xiao, 1998)","plainCitation":"(Xiao, 1998)"},"citationItems":[{"id":2902,"uris":["http://zotero.org/users/992731/items/KMWRB6ZM"],"uri":["http://zotero.org/users/992731/items/KMWRB6ZM"],"itemData":{"id":2902,"type":"article-journal","title":"Minority Languages in Dehong, China: Policy and Reality","container-title":"Journal of Multilingual and Multicultural Development","page":"221-235","volume":"19","issue":"3","abstract":"The language situation in Dehong Dai &amp; Jingpo Autonomous Prefecture in the province of Yunnan in China's southwest is investigated. By examining language use in certain domains of public life in Dehong, ie, public signs, radio &amp; television broadcasting, publishing, &amp; education, certain discrepancies between government policies for minority languages &amp; the reality of the everyday use of the minority languages in Dehong are revealed. Explanations for such discrepancies are proposed. 1 Table, 20 References. Adapted from the source document.","note":"Source type: scholarlyjournals; Object type: Article; Object type: Feature; CSAUnique: SA-306830463; AccNum: 200015534; ISSN: 0143-4632; CODEN: JMUDDP; Peer Reviewed: true","author":[{"family":"Xiao","given":"Hong"}],"issued":{"date-parts":[[1998]]}}}],"schema":"https://github.com/citation-style-language/schema/raw/master/csl-citation.json"} </w:instrText>
      </w:r>
      <w:r w:rsidRPr="00061E14">
        <w:rPr>
          <w:rFonts w:ascii="Times New Roman" w:hAnsi="Times New Roman" w:cs="Times New Roman"/>
        </w:rPr>
        <w:fldChar w:fldCharType="separate"/>
      </w:r>
      <w:r w:rsidRPr="00061E14">
        <w:rPr>
          <w:rFonts w:ascii="Times New Roman" w:eastAsia="SimSun" w:hAnsi="Times New Roman" w:cs="Times New Roman"/>
          <w:szCs w:val="21"/>
          <w:lang w:eastAsia="zh-CN"/>
        </w:rPr>
        <w:t>(Xiao, 1998)</w:t>
      </w:r>
      <w:r w:rsidRPr="00061E14">
        <w:rPr>
          <w:rFonts w:ascii="Times New Roman" w:hAnsi="Times New Roman" w:cs="Times New Roman"/>
        </w:rPr>
        <w:fldChar w:fldCharType="end"/>
      </w:r>
      <w:r w:rsidRPr="00061E14">
        <w:rPr>
          <w:rFonts w:ascii="Times New Roman" w:hAnsi="Times New Roman" w:cs="Times New Roman"/>
        </w:rPr>
        <w:t xml:space="preserve"> and </w:t>
      </w:r>
      <w:r w:rsidRPr="00061E14">
        <w:rPr>
          <w:rFonts w:ascii="Times New Roman" w:hAnsi="Times New Roman" w:cs="Times New Roman"/>
        </w:rPr>
        <w:fldChar w:fldCharType="begin"/>
      </w:r>
      <w:r>
        <w:rPr>
          <w:rFonts w:ascii="Times New Roman" w:hAnsi="Times New Roman" w:cs="Times New Roman"/>
        </w:rPr>
        <w:instrText xml:space="preserve"> ADDIN ZOTERO_ITEM CSL_CITATION {"citationID":"VGMX7Pgd","properties":{"formattedCitation":"(Teng, 2002)","plainCitation":"(Teng, 2002)"},"citationItems":[{"id":2581,"uris":["http://zotero.org/users/992731/items/Z4W7QQ6J"],"uri":["http://zotero.org/users/992731/items/Z4W7QQ6J"],"itemData":{"id":2581,"type":"article-journal","title":"Bilingual Society and Bilingual Education of the Yi Ethnic Minority of the Liangshan Yi Ethnic Minority Autonomous Prefecture in China Amid Cultural Changes–History, Present Situation, Problems, and Analysis","container-title":"Chinese Education &amp; Society","page":"65","volume":"35","issue":"3","abstract":"Investigates the bilingual education (BE) policies on the Yi ethnic minority in Liangshan, China. Efforts of the Asian Development Bank to offer financial aid to ethnic minorities in the country; Importance of BE in the achievement of bilingual society; History of teaching Yi writing in the region.","note":"J1: Chinese Education &amp; Society; M3: Article; Teng Xing; Source Information: May/Jun2002, Vol. 35 Issue 3, p65; Subject Term: EDUCATION, BilingualSubject Term: YI (Chinese people); Subject Term: CHINA; Company/Entity: ASIAN Development Bank (Company); Number of Pages: 22p; Document Type: Article","author":[{"family":"Teng","given":"Xing"}],"issued":{"date-parts":[[2002]]}}}],"schema":"https://github.com/citation-style-language/schema/raw/master/csl-citation.json"} </w:instrText>
      </w:r>
      <w:r w:rsidRPr="00061E14">
        <w:rPr>
          <w:rFonts w:ascii="Times New Roman" w:hAnsi="Times New Roman" w:cs="Times New Roman"/>
        </w:rPr>
        <w:fldChar w:fldCharType="separate"/>
      </w:r>
      <w:r w:rsidRPr="00061E14">
        <w:rPr>
          <w:rFonts w:ascii="Times New Roman" w:eastAsia="SimSun" w:hAnsi="Times New Roman" w:cs="Times New Roman"/>
          <w:szCs w:val="21"/>
          <w:lang w:eastAsia="zh-CN"/>
        </w:rPr>
        <w:t>(Teng, 2002)</w:t>
      </w:r>
      <w:r w:rsidRPr="00061E14">
        <w:rPr>
          <w:rFonts w:ascii="Times New Roman" w:hAnsi="Times New Roman" w:cs="Times New Roman"/>
        </w:rPr>
        <w:fldChar w:fldCharType="end"/>
      </w:r>
      <w:r w:rsidRPr="00061E14">
        <w:rPr>
          <w:rFonts w:ascii="Times New Roman" w:hAnsi="Times New Roman" w:cs="Times New Roman"/>
        </w:rPr>
        <w:t>.</w:t>
      </w:r>
    </w:p>
  </w:footnote>
  <w:footnote w:id="8">
    <w:p w:rsidR="00FA5AA0" w:rsidRPr="00914097" w:rsidRDefault="00FA5AA0" w:rsidP="00FA5AA0">
      <w:pPr>
        <w:pStyle w:val="FootnoteText"/>
        <w:rPr>
          <w:rFonts w:ascii="Times New Roman" w:hAnsi="Times New Roman" w:cs="Times New Roman"/>
        </w:rPr>
      </w:pPr>
      <w:r w:rsidRPr="00061E14">
        <w:rPr>
          <w:rStyle w:val="FootnoteReference"/>
          <w:rFonts w:ascii="Times New Roman" w:hAnsi="Times New Roman" w:cs="Times New Roman"/>
        </w:rPr>
        <w:footnoteRef/>
      </w:r>
      <w:r w:rsidRPr="00914097">
        <w:rPr>
          <w:rFonts w:ascii="Times New Roman" w:hAnsi="Times New Roman" w:cs="Times New Roman"/>
        </w:rPr>
        <w:t xml:space="preserve"> </w:t>
      </w:r>
      <w:proofErr w:type="spellStart"/>
      <w:r w:rsidRPr="00914097">
        <w:rPr>
          <w:rFonts w:ascii="Times New Roman" w:hAnsi="Times New Roman" w:cs="Times New Roman"/>
        </w:rPr>
        <w:t>Feng</w:t>
      </w:r>
      <w:proofErr w:type="spellEnd"/>
      <w:r w:rsidRPr="00914097">
        <w:rPr>
          <w:rFonts w:ascii="Times New Roman" w:hAnsi="Times New Roman" w:cs="Times New Roman"/>
        </w:rPr>
        <w:t xml:space="preserve"> and his colleagues </w:t>
      </w:r>
      <w:r w:rsidRPr="00061E14">
        <w:rPr>
          <w:rFonts w:ascii="Times New Roman" w:hAnsi="Times New Roman" w:cs="Times New Roman"/>
        </w:rPr>
        <w:fldChar w:fldCharType="begin"/>
      </w:r>
      <w:r>
        <w:rPr>
          <w:rFonts w:ascii="Times New Roman" w:hAnsi="Times New Roman" w:cs="Times New Roman"/>
        </w:rPr>
        <w:instrText xml:space="preserve"> ADDIN ZOTERO_ITEM CSL_CITATION {"citationID":"E0f8QpbR","properties":{"formattedCitation":"(Adamson &amp; Feng, 2009; Feng &amp; Sunuodula, 2009)","plainCitation":"(Adamson &amp; Feng, 2009; Feng &amp; Sunuodula, 2009)"},"citationItems":[{"id":3429,"uris":["http://zotero.org/users/992731/items/3H6D6TBT"],"uri":["http://zotero.org/users/992731/items/3H6D6TBT"],"itemData":{"id":3429,"type":"article-journal","title":"Analysing Language Education Policy for China's Minority Groups in Its Entirety","container-title":"International Journal of Bilingual Education and Bilingualism","page":"685-704","volume":"12","issue":"6","abstract":"Two main bodies of literature are identifiable in minority education policy studies in China. Many adopt a descriptive approach to examining policy documents and general outcomes in their historical contexts while others focus on evaluating preferential policies made to address inequality issues in minority education. In most discussions, educators and scholars analyse or speculate about rationale behind minority education policies promulgated by governments at various levels in different periods. Rare attempts are made to develop a conceptual framework to make it possible to analyse the policy process in its entirety. Scholars and educators have seldom defined the relevant actors of a policy, to relate the policy to issues concerning these actors in the matrix of the social hierarchy, and to evaluate how policy outcomes feed back into the policy making and implementation cycle. This paper proposes an analytical framework that addresses these issues on the basis of a comparative analysis of recent literature on bi/trilingual education policies, official policy documents for minority groups and their implementation. The comparative overview is complemented by three case studies in three regions where empirical data were collected. (Contains 3 notes and 4 figures.)","ISSN":"1367-0050, 1367-0050","author":[{"family":"Feng","given":"Anwei"},{"family":"Sunuodula","given":"Mamtimyn"}],"issued":{"date-parts":[[2009]]}}},{"id":62,"uris":["http://zotero.org/users/992731/items/94CETEW9"],"uri":["http://zotero.org/users/992731/items/94CETEW9"],"itemData":{"id":62,"type":"article-journal","title":"A Comparison of Trilingual Education Policies for Ethnic Minorities in China","container-title":"Compare: A Journal of Comparative and International Education","page":"321-333","volume":"39","issue":"3","abstract":"In recent decades, the People's Republic of China (PRC) has instigated language policies in education ostensibly designed to foster trilingualism in ethnic minority groups. The policies, which, as this paper shows, vary from region to region, encompass the minority group's home language, Chinese, and English. Based on data arising from interviews, documentary analysis and secondary sources, this paper examines the tensions behind these trilingual education policies by comparing the implementation of policies for three minority groups: the Zhuang, the Uyghur and the Yi people. It identifies some of the facilitators and barriers that affect the achievement of trilingualism, and finds that ethnic minority languages are at a disadvantage compared with Chinese and English. The paper concludes by making some suggestions for enhancing the effectiveness of the trilingualism policy. (Contains 1 figure.)","note":"Source type: scholarlyjournals; Object type: Report; Object type: Article; CSAUnique: EJ855550; AccNum: EJ855550; ISSN: 0305-7925; Peer Reviewed: true","author":[{"family":"Adamson","given":"Bob"},{"family":"Feng","given":"Anwei"}],"issued":{"date-parts":[["2009",5]]}}}],"schema":"https://github.com/citation-style-language/schema/raw/master/csl-citation.json"} </w:instrText>
      </w:r>
      <w:r w:rsidRPr="00061E14">
        <w:rPr>
          <w:rFonts w:ascii="Times New Roman" w:hAnsi="Times New Roman" w:cs="Times New Roman"/>
        </w:rPr>
        <w:fldChar w:fldCharType="separate"/>
      </w:r>
      <w:r w:rsidRPr="00061E14">
        <w:rPr>
          <w:rFonts w:ascii="Times New Roman" w:eastAsia="SimSun" w:hAnsi="Times New Roman" w:cs="Times New Roman"/>
          <w:szCs w:val="21"/>
          <w:lang w:eastAsia="zh-CN"/>
        </w:rPr>
        <w:t>(Adamson &amp; Feng, 2009; Feng &amp; Sunuodula, 2009)</w:t>
      </w:r>
      <w:r w:rsidRPr="00061E14">
        <w:rPr>
          <w:rFonts w:ascii="Times New Roman" w:hAnsi="Times New Roman" w:cs="Times New Roman"/>
        </w:rPr>
        <w:fldChar w:fldCharType="end"/>
      </w:r>
      <w:r w:rsidRPr="00061E14">
        <w:rPr>
          <w:rFonts w:ascii="Times New Roman" w:hAnsi="Times New Roman" w:cs="Times New Roman"/>
        </w:rPr>
        <w:t xml:space="preserve"> present a case study of the status in the curriculum of minority languages, namely Uyghur, Yi, and </w:t>
      </w:r>
      <w:proofErr w:type="spellStart"/>
      <w:r w:rsidRPr="00061E14">
        <w:rPr>
          <w:rFonts w:ascii="Times New Roman" w:hAnsi="Times New Roman" w:cs="Times New Roman"/>
        </w:rPr>
        <w:t>Zhuang</w:t>
      </w:r>
      <w:proofErr w:type="spellEnd"/>
      <w:r w:rsidRPr="00061E14">
        <w:rPr>
          <w:rFonts w:ascii="Times New Roman" w:hAnsi="Times New Roman" w:cs="Times New Roman"/>
        </w:rPr>
        <w:t xml:space="preserve">, vis-à-vis standard Chinese and English in the Xinjiang Uyghur </w:t>
      </w:r>
      <w:proofErr w:type="spellStart"/>
      <w:r w:rsidRPr="00061E14">
        <w:rPr>
          <w:rFonts w:ascii="Times New Roman" w:hAnsi="Times New Roman" w:cs="Times New Roman"/>
        </w:rPr>
        <w:t>Automous</w:t>
      </w:r>
      <w:proofErr w:type="spellEnd"/>
      <w:r w:rsidRPr="00061E14">
        <w:rPr>
          <w:rFonts w:ascii="Times New Roman" w:hAnsi="Times New Roman" w:cs="Times New Roman"/>
        </w:rPr>
        <w:t xml:space="preserve"> Region, the </w:t>
      </w:r>
      <w:proofErr w:type="spellStart"/>
      <w:r w:rsidRPr="00061E14">
        <w:rPr>
          <w:rFonts w:ascii="Times New Roman" w:hAnsi="Times New Roman" w:cs="Times New Roman"/>
        </w:rPr>
        <w:t>Liangshan</w:t>
      </w:r>
      <w:proofErr w:type="spellEnd"/>
      <w:r w:rsidRPr="00061E14">
        <w:rPr>
          <w:rFonts w:ascii="Times New Roman" w:hAnsi="Times New Roman" w:cs="Times New Roman"/>
        </w:rPr>
        <w:t xml:space="preserve"> Yi Autonomous Prefecture in Sichuan Province, and the Guangxi </w:t>
      </w:r>
      <w:proofErr w:type="spellStart"/>
      <w:r w:rsidRPr="00061E14">
        <w:rPr>
          <w:rFonts w:ascii="Times New Roman" w:hAnsi="Times New Roman" w:cs="Times New Roman"/>
        </w:rPr>
        <w:t>Zhuang</w:t>
      </w:r>
      <w:proofErr w:type="spellEnd"/>
      <w:r w:rsidRPr="00061E14">
        <w:rPr>
          <w:rFonts w:ascii="Times New Roman" w:hAnsi="Times New Roman" w:cs="Times New Roman"/>
        </w:rPr>
        <w:t xml:space="preserve"> Autonomous Region.  Their arguments draw on field visits to each site, including interviews with stakeholders and policy document analysis.  </w:t>
      </w:r>
    </w:p>
  </w:footnote>
  <w:footnote w:id="9">
    <w:p w:rsidR="00FA5AA0" w:rsidRPr="00914097" w:rsidRDefault="00FA5AA0" w:rsidP="00FA5AA0">
      <w:pPr>
        <w:pStyle w:val="FootnoteText"/>
        <w:rPr>
          <w:rFonts w:ascii="Times New Roman" w:hAnsi="Times New Roman" w:cs="Times New Roman"/>
        </w:rPr>
      </w:pPr>
      <w:r w:rsidRPr="00061E14">
        <w:rPr>
          <w:rStyle w:val="FootnoteReference"/>
          <w:rFonts w:ascii="Times New Roman" w:hAnsi="Times New Roman" w:cs="Times New Roman"/>
        </w:rPr>
        <w:footnoteRef/>
      </w:r>
      <w:r w:rsidRPr="00061E14">
        <w:rPr>
          <w:rFonts w:ascii="Times New Roman" w:hAnsi="Times New Roman" w:cs="Times New Roman"/>
        </w:rPr>
        <w:t xml:space="preserve">Consistent with the Korean case just cited, </w:t>
      </w:r>
      <w:proofErr w:type="spellStart"/>
      <w:r w:rsidRPr="00061E14">
        <w:rPr>
          <w:rFonts w:ascii="Times New Roman" w:hAnsi="Times New Roman" w:cs="Times New Roman"/>
        </w:rPr>
        <w:t>Ojijed’s</w:t>
      </w:r>
      <w:proofErr w:type="spellEnd"/>
      <w:r w:rsidRPr="00061E14">
        <w:rPr>
          <w:rFonts w:ascii="Times New Roman" w:hAnsi="Times New Roman" w:cs="Times New Roman"/>
        </w:rPr>
        <w:t xml:space="preserve"> </w:t>
      </w:r>
      <w:r w:rsidRPr="00061E14">
        <w:rPr>
          <w:rFonts w:ascii="Times New Roman" w:hAnsi="Times New Roman" w:cs="Times New Roman"/>
        </w:rPr>
        <w:fldChar w:fldCharType="begin"/>
      </w:r>
      <w:r>
        <w:rPr>
          <w:rFonts w:ascii="Times New Roman" w:hAnsi="Times New Roman" w:cs="Times New Roman"/>
        </w:rPr>
        <w:instrText xml:space="preserve"> ADDIN ZOTERO_ITEM CSL_CITATION {"citationID":"EU9McAXU","properties":{"formattedCitation":"(2010)","plainCitation":"(2010)"},"citationItems":[{"id":3678,"uris":["http://zotero.org/users/992731/items/TV7NBD5U"],"uri":["http://zotero.org/users/992731/items/TV7NBD5U"],"itemData":{"id":3678,"type":"article-journal","title":"Language Competition in an Ethnic Autonomous Region.","container-title":"Chinese Education &amp; Society","page":"58-69","volume":"43","issue":"1","abstract":"The author uses the case of ethnic Mongols in Inner Mongolia on university campuses, using an extensive questionnaire. He investigated a bilingual university Inner Mongolia Normal University in the Inner Mongolia Autonomous Region that is established for Han majority and ethnic students. The author's papers suggest that the national policies of linguistic unification like Chinese and English may exacerbate ethnic inequality. He states that trilingualism facilitates non-Han ethnic members to envision empowerment behind the backdrop of the government's internationalization project but does not provide a systematic remedy.","DOI":"Article","ISSN":"10611932","author":[{"family":"Ojijed","given":"Wuyuncang"}],"issued":{"date-parts":[["2010",1]],"season":"Jan"}},"suppress-author":true}],"schema":"https://github.com/citation-style-language/schema/raw/master/csl-citation.json"} </w:instrText>
      </w:r>
      <w:r w:rsidRPr="00061E14">
        <w:rPr>
          <w:rFonts w:ascii="Times New Roman" w:hAnsi="Times New Roman" w:cs="Times New Roman"/>
        </w:rPr>
        <w:fldChar w:fldCharType="separate"/>
      </w:r>
      <w:r w:rsidRPr="00061E14">
        <w:rPr>
          <w:rFonts w:ascii="Times New Roman" w:eastAsia="SimSun" w:hAnsi="Times New Roman" w:cs="Times New Roman"/>
          <w:szCs w:val="21"/>
          <w:lang w:eastAsia="zh-CN"/>
        </w:rPr>
        <w:t>(2010)</w:t>
      </w:r>
      <w:r w:rsidRPr="00061E14">
        <w:rPr>
          <w:rFonts w:ascii="Times New Roman" w:hAnsi="Times New Roman" w:cs="Times New Roman"/>
        </w:rPr>
        <w:fldChar w:fldCharType="end"/>
      </w:r>
      <w:r w:rsidRPr="00914097">
        <w:rPr>
          <w:rFonts w:ascii="Times New Roman" w:hAnsi="Times New Roman" w:cs="Times New Roman"/>
        </w:rPr>
        <w:t xml:space="preserve"> </w:t>
      </w:r>
      <w:r w:rsidRPr="00061E14">
        <w:rPr>
          <w:rFonts w:ascii="Times New Roman" w:hAnsi="Times New Roman" w:cs="Times New Roman"/>
        </w:rPr>
        <w:t>study of attitudes toward Mongolian, standard Chinese</w:t>
      </w:r>
      <w:r>
        <w:rPr>
          <w:rFonts w:ascii="Times New Roman" w:hAnsi="Times New Roman" w:cs="Times New Roman"/>
        </w:rPr>
        <w:t>,</w:t>
      </w:r>
      <w:r w:rsidRPr="00061E14">
        <w:rPr>
          <w:rFonts w:ascii="Times New Roman" w:hAnsi="Times New Roman" w:cs="Times New Roman"/>
        </w:rPr>
        <w:t xml:space="preserve"> and English amongst a small purposive sample of students at Inner Mongolia Normal University was suggestive of a high instrumental value attached to the latter two languages, relative to </w:t>
      </w:r>
      <w:r w:rsidRPr="00914097">
        <w:rPr>
          <w:rFonts w:ascii="Times New Roman" w:hAnsi="Times New Roman" w:cs="Times New Roman"/>
        </w:rPr>
        <w:t>Mongolian</w:t>
      </w:r>
      <w:r w:rsidRPr="00061E14">
        <w:rPr>
          <w:rFonts w:ascii="Times New Roman" w:hAnsi="Times New Roman" w:cs="Times New Roman"/>
        </w:rPr>
        <w:t>.</w:t>
      </w:r>
    </w:p>
  </w:footnote>
  <w:footnote w:id="10">
    <w:p w:rsidR="00FA5AA0" w:rsidRPr="00914097" w:rsidRDefault="00FA5AA0" w:rsidP="00FA5AA0">
      <w:pPr>
        <w:pStyle w:val="FootnoteText"/>
        <w:rPr>
          <w:rFonts w:ascii="Times New Roman" w:hAnsi="Times New Roman" w:cs="Times New Roman"/>
        </w:rPr>
      </w:pPr>
      <w:r w:rsidRPr="00061E14">
        <w:rPr>
          <w:rStyle w:val="FootnoteReference"/>
          <w:rFonts w:ascii="Times New Roman" w:hAnsi="Times New Roman" w:cs="Times New Roman"/>
        </w:rPr>
        <w:footnoteRef/>
      </w:r>
      <w:r w:rsidRPr="00061E14">
        <w:rPr>
          <w:rFonts w:ascii="Times New Roman" w:hAnsi="Times New Roman" w:cs="Times New Roman"/>
        </w:rPr>
        <w:t xml:space="preserve"> While much work has catalogued minority education policies and discussed potential impacts, it is striking that few studies have sought to investigate in a direct manner the impact of specific policies around language use in schools.  An exception is </w:t>
      </w:r>
      <w:proofErr w:type="spellStart"/>
      <w:r w:rsidRPr="00061E14">
        <w:rPr>
          <w:rFonts w:ascii="Times New Roman" w:hAnsi="Times New Roman" w:cs="Times New Roman"/>
        </w:rPr>
        <w:t>Tsung</w:t>
      </w:r>
      <w:proofErr w:type="spellEnd"/>
      <w:r w:rsidRPr="00061E14">
        <w:rPr>
          <w:rFonts w:ascii="Times New Roman" w:hAnsi="Times New Roman" w:cs="Times New Roman"/>
        </w:rPr>
        <w:t xml:space="preserve"> and Cruickshank’s </w:t>
      </w:r>
      <w:r w:rsidRPr="00061E14">
        <w:rPr>
          <w:rFonts w:ascii="Times New Roman" w:hAnsi="Times New Roman" w:cs="Times New Roman"/>
        </w:rPr>
        <w:fldChar w:fldCharType="begin"/>
      </w:r>
      <w:r>
        <w:rPr>
          <w:rFonts w:ascii="Times New Roman" w:hAnsi="Times New Roman" w:cs="Times New Roman"/>
        </w:rPr>
        <w:instrText xml:space="preserve"> ADDIN ZOTERO_ITEM CSL_CITATION {"citationID":"RMluJKm8","properties":{"formattedCitation":"(2009)","plainCitation":"(2009)"},"citationItems":[{"id":2639,"uris":["http://zotero.org/users/992731/items/7R88JA78"],"uri":["http://zotero.org/users/992731/items/7R88JA78"],"itemData":{"id":2639,"type":"article-journal","title":"Mother Tongue and Bilingual Minority Education in China","container-title":"International Journal of Bilingual Education and Bilingualism","page":"549-563","volume":"12","issue":"5","abstract":"Mother tongue education in separate schools has been in the norm for several of China's large minorities since 1949. In recent years, however, the shift in minority parental demand, media focus on low educational outcomes of mother tongue education combined with government concerns about separatism have led to the development of mixed schools for Chinese and minority students. In China's Xinjiang Uyghur Autonomous Region (XUAR) the government plans to merge all minority mother tongue schools with Chinese schools by the end of 2008. This paper explores the reasons for this policy change and examines whether the mixed schools will address the unsatisfactory educational outcomes for minority students. It draws on data of case studies of two schools in XUAR, a rural minority primary school and an urban mixed minority/Chinese school. The study found mixed schooling does not address the disparity in educational outcomes. Minority ethnic children in both schools have insufficient access to adequate education in their mother tongue, in the national language as well as in the third language, English. It questions whether either school provides genuine bilingual education but provides an example of how bilingual education in one of the schools can address issues of educational outcomes. (Contains 8 notes.)","note":"Source type: scholarlyjournals; Object type: Report; Object type: Article; CSAUnique: EJ862596; AccNum: EJ862596; ISSN: 1367-0050; Peer Reviewed: true","author":[{"family":"Tsung","given":"Linda T. H."},{"family":"Cruickshank","given":"Ken"}],"issued":{"date-parts":[["2009",9]]}},"suppress-author":true}],"schema":"https://github.com/citation-style-language/schema/raw/master/csl-citation.json"} </w:instrText>
      </w:r>
      <w:r w:rsidRPr="00061E14">
        <w:rPr>
          <w:rFonts w:ascii="Times New Roman" w:hAnsi="Times New Roman" w:cs="Times New Roman"/>
        </w:rPr>
        <w:fldChar w:fldCharType="separate"/>
      </w:r>
      <w:r w:rsidRPr="00061E14">
        <w:rPr>
          <w:rFonts w:ascii="Times New Roman" w:eastAsia="SimSun" w:hAnsi="Times New Roman" w:cs="Times New Roman"/>
          <w:szCs w:val="21"/>
          <w:lang w:eastAsia="zh-CN"/>
        </w:rPr>
        <w:t>(2009)</w:t>
      </w:r>
      <w:r w:rsidRPr="00061E14">
        <w:rPr>
          <w:rFonts w:ascii="Times New Roman" w:hAnsi="Times New Roman" w:cs="Times New Roman"/>
        </w:rPr>
        <w:fldChar w:fldCharType="end"/>
      </w:r>
      <w:r w:rsidRPr="00061E14">
        <w:rPr>
          <w:rFonts w:ascii="Times New Roman" w:hAnsi="Times New Roman" w:cs="Times New Roman"/>
        </w:rPr>
        <w:t xml:space="preserve"> comparison of a minority mother tongue school and a mixed school in Xinjiang, which, the authors suggest, indicated that mixed schooling will not address disparities in educational outcomes, as learning materials in the minority language remained poorly resourced.</w:t>
      </w:r>
    </w:p>
  </w:footnote>
  <w:footnote w:id="11">
    <w:p w:rsidR="00FA5AA0" w:rsidRPr="00914097" w:rsidRDefault="00FA5AA0" w:rsidP="00FA5AA0">
      <w:pPr>
        <w:pStyle w:val="FootnoteText"/>
        <w:rPr>
          <w:rFonts w:ascii="Times New Roman" w:hAnsi="Times New Roman" w:cs="Times New Roman"/>
        </w:rPr>
      </w:pPr>
      <w:r w:rsidRPr="00061E14">
        <w:rPr>
          <w:rStyle w:val="FootnoteReference"/>
          <w:rFonts w:ascii="Times New Roman" w:hAnsi="Times New Roman" w:cs="Times New Roman"/>
        </w:rPr>
        <w:footnoteRef/>
      </w:r>
      <w:r w:rsidRPr="00061E14">
        <w:rPr>
          <w:rFonts w:ascii="Times New Roman" w:hAnsi="Times New Roman" w:cs="Times New Roman"/>
        </w:rPr>
        <w:t xml:space="preserve">See Wang and Zhou  </w:t>
      </w:r>
      <w:r w:rsidRPr="00061E14">
        <w:rPr>
          <w:rFonts w:ascii="Times New Roman" w:hAnsi="Times New Roman" w:cs="Times New Roman"/>
        </w:rPr>
        <w:fldChar w:fldCharType="begin"/>
      </w:r>
      <w:r>
        <w:rPr>
          <w:rFonts w:ascii="Times New Roman" w:hAnsi="Times New Roman" w:cs="Times New Roman"/>
        </w:rPr>
        <w:instrText xml:space="preserve"> ADDIN ZOTERO_ITEM CSL_CITATION {"citationID":"Vr9Rtqc1","properties":{"formattedCitation":"(2003, p. 99)","plainCitation":"(2003, p. 99)"},"citationItems":[{"id":451,"uris":["http://zotero.org/users/992731/items/CHMK2FPT"],"uri":["http://zotero.org/users/992731/items/CHMK2FPT"],"itemData":{"id":451,"type":"article-journal","title":"Minority Education in China: from State's preferential policies to dislocated Tibetan schools","container-title":"Educational Studies (03055698)","page":"85","volume":"29","issue":"1","abstract":"This article analytically describes how the state of mainland China addresses the 'periphery syndrome' of education in its 'peripheral areas' of national minorities. It discusses the rationales, policies, implementations and results for the development of minority basic education. The examination of the 9-year compulsory schooling and the boarding school system for minority pupils suggests contradictions and mismatches between state policies and implementations. The article reveals educational, as well as geographical displacement of minority schooling, particularly the internationally little-known Tibetan Schools and Classes that have been radically developed in the metropolises of Hart majority. The dislocation of reform for minority basic education, especially the lack of cultural sensitivity, is further compounded by the ubiquitous practices of pupil tracking and school differentiation in the education system. The author concludes that the policy components of cultural responsiveness should be integrated in minority education development.ABSTRACT FROM AUTHOR","note":"J1: Educational Studies (03055698); M3: Article; Chengzhi WangQuanhou Zhou; Source Information: Mar2003, Vol. 29 Issue 1, p85; Subject Term: MINORITIES – Education; Subject Term: CHINA; Number of Pages: 20p; Document Type: Article","author":[{"family":"Wang","given":"Chengzhi"},{"family":"Zhou","given":"Quanhou"}],"issued":{"date-parts":[["2003"]]}},"locator":"99","suppress-author":true}],"schema":"https://github.com/citation-style-language/schema/raw/master/csl-citation.json"} </w:instrText>
      </w:r>
      <w:r w:rsidRPr="00061E14">
        <w:rPr>
          <w:rFonts w:ascii="Times New Roman" w:hAnsi="Times New Roman" w:cs="Times New Roman"/>
        </w:rPr>
        <w:fldChar w:fldCharType="separate"/>
      </w:r>
      <w:r w:rsidRPr="00061E14">
        <w:rPr>
          <w:rFonts w:ascii="Times New Roman" w:eastAsia="SimSun" w:hAnsi="Times New Roman" w:cs="Times New Roman"/>
          <w:szCs w:val="21"/>
          <w:lang w:eastAsia="zh-CN"/>
        </w:rPr>
        <w:t>(2003, p. 99)</w:t>
      </w:r>
      <w:r w:rsidRPr="00061E14">
        <w:rPr>
          <w:rFonts w:ascii="Times New Roman" w:hAnsi="Times New Roman" w:cs="Times New Roman"/>
        </w:rPr>
        <w:fldChar w:fldCharType="end"/>
      </w:r>
      <w:r w:rsidRPr="00061E14">
        <w:rPr>
          <w:rFonts w:ascii="Times New Roman" w:hAnsi="Times New Roman" w:cs="Times New Roman"/>
        </w:rPr>
        <w:t xml:space="preserve"> for a list of inland Tibetan schools and classes.</w:t>
      </w:r>
    </w:p>
  </w:footnote>
  <w:footnote w:id="12">
    <w:p w:rsidR="00FA5AA0" w:rsidRPr="00914097" w:rsidRDefault="00FA5AA0" w:rsidP="00FA5AA0">
      <w:pPr>
        <w:pStyle w:val="FootnoteText"/>
        <w:rPr>
          <w:rFonts w:ascii="Times New Roman" w:hAnsi="Times New Roman" w:cs="Times New Roman"/>
        </w:rPr>
      </w:pPr>
      <w:r w:rsidRPr="00061E14">
        <w:rPr>
          <w:rStyle w:val="FootnoteReference"/>
          <w:rFonts w:ascii="Times New Roman" w:hAnsi="Times New Roman" w:cs="Times New Roman"/>
        </w:rPr>
        <w:footnoteRef/>
      </w:r>
      <w:r w:rsidRPr="00061E14">
        <w:rPr>
          <w:rFonts w:ascii="Times New Roman" w:hAnsi="Times New Roman" w:cs="Times New Roman"/>
        </w:rPr>
        <w:t xml:space="preserve">In another paper, Chen </w:t>
      </w:r>
      <w:r w:rsidRPr="00061E14">
        <w:rPr>
          <w:rFonts w:ascii="Times New Roman" w:hAnsi="Times New Roman" w:cs="Times New Roman"/>
        </w:rPr>
        <w:fldChar w:fldCharType="begin"/>
      </w:r>
      <w:r w:rsidRPr="00061E14">
        <w:rPr>
          <w:rFonts w:ascii="Times New Roman" w:hAnsi="Times New Roman" w:cs="Times New Roman"/>
        </w:rPr>
        <w:instrText xml:space="preserve"> ADDIN ZOTERO_ITEM CSL_CITATION {"citationID":"xt5q1Coy","properties":{"formattedCitation":"(2010)","plainCitation":"(2010)"},"citationItems":[{"id":3666,"uris":["http://zotero.org/users/992731/items/VZZ63D5A"],"uri":["http://zotero.org/users/992731/items/VZZ63D5A"],"itemData":{"id":3666,"type":"article-journal","title":"Crossing the Frontier to Inland China.","container-title":"Chinese Education &amp; Society","page":"46-57","volume":"43","issue":"1","abstract":"The author discusses the choices faced by Uighurs, the second largest Muslim group in China, when moving from traditional Muslim religious education to modern secular education. Based on a qualitative inquiry of dislocated children in a boarding school, the author suggests that the mobilization of family social capital helps children both maintain strong loyalty to the ethnic community and assimilate into the Han community. The author mentions that the driving forces are economic benefits and upward social mobility.","DOI":"Article","author":[{"family":"Chen","given":"Yangbin"}],"issued":{"year":2010,"month":1,"season":"Jan"},"page-first":"46"},"suppress-author":true}],"schema":"https://github.com/citation-style-language/schema/raw/master/csl-citation.json"} </w:instrText>
      </w:r>
      <w:r w:rsidRPr="00061E14">
        <w:rPr>
          <w:rFonts w:ascii="Times New Roman" w:hAnsi="Times New Roman" w:cs="Times New Roman"/>
        </w:rPr>
        <w:fldChar w:fldCharType="separate"/>
      </w:r>
      <w:r w:rsidRPr="00061E14">
        <w:rPr>
          <w:rFonts w:ascii="Times New Roman" w:eastAsia="SimSun" w:hAnsi="Times New Roman" w:cs="Times New Roman"/>
          <w:szCs w:val="21"/>
          <w:lang w:eastAsia="zh-CN"/>
        </w:rPr>
        <w:t>(2010)</w:t>
      </w:r>
      <w:r w:rsidRPr="00061E14">
        <w:rPr>
          <w:rFonts w:ascii="Times New Roman" w:hAnsi="Times New Roman" w:cs="Times New Roman"/>
        </w:rPr>
        <w:fldChar w:fldCharType="end"/>
      </w:r>
      <w:r w:rsidRPr="00061E14">
        <w:rPr>
          <w:rFonts w:ascii="Times New Roman" w:hAnsi="Times New Roman" w:cs="Times New Roman"/>
        </w:rPr>
        <w:t xml:space="preserve"> focuses on the continuing importance of the family element of social capital for Uyghur students, despite the impediment of distance.</w:t>
      </w:r>
    </w:p>
  </w:footnote>
  <w:footnote w:id="13">
    <w:p w:rsidR="00FA5AA0" w:rsidRDefault="00FA5AA0" w:rsidP="00FA5AA0">
      <w:pPr>
        <w:pStyle w:val="FootnoteText"/>
      </w:pPr>
      <w:r>
        <w:rPr>
          <w:rStyle w:val="FootnoteReference"/>
        </w:rPr>
        <w:footnoteRef/>
      </w:r>
      <w:r>
        <w:t xml:space="preserve"> </w:t>
      </w:r>
      <w:r w:rsidRPr="00A05095">
        <w:rPr>
          <w:sz w:val="22"/>
          <w:szCs w:val="22"/>
        </w:rPr>
        <w:t xml:space="preserve">An interesting example of the disconnect between these viewpoints is the tension between China-based and overseas scholars’ interpretations of the boarding school phenomenon, according to </w:t>
      </w:r>
      <w:proofErr w:type="spellStart"/>
      <w:r w:rsidRPr="00A05095">
        <w:rPr>
          <w:sz w:val="22"/>
          <w:szCs w:val="22"/>
        </w:rPr>
        <w:t>Postiglionefinds</w:t>
      </w:r>
      <w:proofErr w:type="spellEnd"/>
      <w:r w:rsidRPr="00A05095">
        <w:rPr>
          <w:sz w:val="22"/>
          <w:szCs w:val="22"/>
        </w:rPr>
        <w:t xml:space="preserve"> that North American and Australian scholars’ reactions to boarding schools are highly critical, due to their very overt assimilation agenda and, likely, the extremely unfortunate histories with ethnic boarding schools elsewhere.  A prominent view in China is that boarding schools provide a high quality education to students who would otherwise be unable to access it.  These schools explicitly seek to strengthen ties between minority areas and China’s heartland, but certain research suggests that students’ ethnic identities are actually reinforced by the boarding experience </w:t>
      </w:r>
      <w:r w:rsidRPr="00A05095">
        <w:rPr>
          <w:rFonts w:cs="Times New Roman"/>
          <w:sz w:val="24"/>
          <w:szCs w:val="24"/>
        </w:rPr>
        <w:fldChar w:fldCharType="begin"/>
      </w:r>
      <w:r w:rsidRPr="00A05095">
        <w:rPr>
          <w:sz w:val="22"/>
          <w:szCs w:val="22"/>
        </w:rPr>
        <w:instrText xml:space="preserve"> ADDIN ZOTERO_ITEM CSL_CITATION {"citationID":"ty5zMcGP","properties":{"formattedCitation":"(Chen, 2008)","plainCitation":"(Chen, 2008)"},"citationItems":[{"id":3598,"uris":["http://zotero.org/users/992731/items/4HPWGVTV"],"uri":["http://zotero.org/users/992731/items/4HPWGVTV"],"itemData":{"id":3598,"type":"book","title":"Muslim Uyghur students in a Chinese boarding school: Social recapitalization as a response to ethnic integration","publisher":"Lexington Books","publisher-place":"Maryland","event-place":"Maryland","URL":"http://books.google.com/books?id=roiuY7bnb80C","author":[{"family":"Chen","given":"Yangbin"}],"issued":{"year":2008},"accessed":{"year":2012,"month":4,"day":27}}}],"schema":"https://github.com/citation-style-language/schema/raw/master/csl-citation.json"} </w:instrText>
      </w:r>
      <w:r w:rsidRPr="00A05095">
        <w:rPr>
          <w:rFonts w:cs="Times New Roman"/>
          <w:sz w:val="24"/>
          <w:szCs w:val="24"/>
        </w:rPr>
        <w:fldChar w:fldCharType="separate"/>
      </w:r>
      <w:r w:rsidRPr="00A05095">
        <w:rPr>
          <w:rFonts w:eastAsia="SimSun"/>
          <w:sz w:val="22"/>
          <w:szCs w:val="22"/>
          <w:lang w:eastAsia="zh-CN"/>
        </w:rPr>
        <w:t>(e.g., Chen, 2008)</w:t>
      </w:r>
      <w:r w:rsidRPr="00A05095">
        <w:rPr>
          <w:rFonts w:cs="Times New Roman"/>
          <w:sz w:val="24"/>
          <w:szCs w:val="24"/>
        </w:rPr>
        <w:fldChar w:fldCharType="end"/>
      </w:r>
      <w:r w:rsidRPr="00A05095">
        <w:rPr>
          <w:sz w:val="22"/>
          <w:szCs w:val="22"/>
        </w:rPr>
        <w:t xml:space="preserve">.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0D54B072"/>
    <w:lvl w:ilvl="0">
      <w:start w:val="1"/>
      <w:numFmt w:val="bullet"/>
      <w:pStyle w:val="ListBullet"/>
      <w:lvlText w:val=""/>
      <w:lvlJc w:val="left"/>
      <w:pPr>
        <w:tabs>
          <w:tab w:val="num" w:pos="360"/>
        </w:tabs>
        <w:ind w:left="360" w:hanging="360"/>
      </w:pPr>
      <w:rPr>
        <w:rFonts w:ascii="Symbol" w:hAnsi="Symbol" w:hint="default"/>
      </w:rPr>
    </w:lvl>
  </w:abstractNum>
  <w:abstractNum w:abstractNumId="1">
    <w:nsid w:val="12951D33"/>
    <w:multiLevelType w:val="hybridMultilevel"/>
    <w:tmpl w:val="1564F5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43E047E"/>
    <w:multiLevelType w:val="hybridMultilevel"/>
    <w:tmpl w:val="C2F84870"/>
    <w:lvl w:ilvl="0" w:tplc="B764E7E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4D422E00"/>
    <w:multiLevelType w:val="hybridMultilevel"/>
    <w:tmpl w:val="CA966D8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4F651D40"/>
    <w:multiLevelType w:val="hybridMultilevel"/>
    <w:tmpl w:val="779E7E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7E893201"/>
    <w:multiLevelType w:val="hybridMultilevel"/>
    <w:tmpl w:val="9B5C8A14"/>
    <w:lvl w:ilvl="0" w:tplc="84D6AB48">
      <w:start w:val="1"/>
      <w:numFmt w:val="decimal"/>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3"/>
  </w:num>
  <w:num w:numId="2">
    <w:abstractNumId w:val="5"/>
  </w:num>
  <w:num w:numId="3">
    <w:abstractNumId w:val="2"/>
  </w:num>
  <w:num w:numId="4">
    <w:abstractNumId w:val="1"/>
  </w:num>
  <w:num w:numId="5">
    <w:abstractNumId w:val="4"/>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2"/>
  <w:proofState w:spelling="clean" w:grammar="clean"/>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5AA0"/>
    <w:rsid w:val="00135E4F"/>
    <w:rsid w:val="00250027"/>
    <w:rsid w:val="004812FF"/>
    <w:rsid w:val="00587AE5"/>
    <w:rsid w:val="00627031"/>
    <w:rsid w:val="0069412C"/>
    <w:rsid w:val="006E277A"/>
    <w:rsid w:val="009257ED"/>
    <w:rsid w:val="00AA1D20"/>
    <w:rsid w:val="00AF174D"/>
    <w:rsid w:val="00DE3DD0"/>
    <w:rsid w:val="00FA5AA0"/>
    <w:rsid w:val="00FD5D7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zh-C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A5AA0"/>
  </w:style>
  <w:style w:type="paragraph" w:styleId="Heading1">
    <w:name w:val="heading 1"/>
    <w:basedOn w:val="Normal"/>
    <w:next w:val="Normal"/>
    <w:link w:val="Heading1Char"/>
    <w:uiPriority w:val="9"/>
    <w:qFormat/>
    <w:rsid w:val="0069412C"/>
    <w:pPr>
      <w:keepNext/>
      <w:keepLines/>
      <w:spacing w:before="480" w:after="0" w:line="240" w:lineRule="auto"/>
      <w:outlineLvl w:val="0"/>
    </w:pPr>
    <w:rPr>
      <w:rFonts w:ascii="Times New Roman" w:eastAsiaTheme="majorEastAsia" w:hAnsi="Times New Roman" w:cstheme="majorBidi"/>
      <w:b/>
      <w:bCs/>
      <w:sz w:val="24"/>
      <w:szCs w:val="28"/>
    </w:rPr>
  </w:style>
  <w:style w:type="paragraph" w:styleId="Heading2">
    <w:name w:val="heading 2"/>
    <w:basedOn w:val="Normal"/>
    <w:next w:val="Normal"/>
    <w:link w:val="Heading2Char"/>
    <w:uiPriority w:val="9"/>
    <w:unhideWhenUsed/>
    <w:qFormat/>
    <w:rsid w:val="00FA5AA0"/>
    <w:pPr>
      <w:spacing w:before="360" w:after="0" w:line="271" w:lineRule="auto"/>
      <w:outlineLvl w:val="1"/>
    </w:pPr>
    <w:rPr>
      <w:rFonts w:ascii="Times New Roman" w:eastAsiaTheme="majorEastAsia" w:hAnsi="Times New Roman" w:cs="Times New Roman"/>
      <w:i/>
      <w:sz w:val="24"/>
      <w:szCs w:val="24"/>
      <w:lang w:eastAsia="en-US" w:bidi="en-US"/>
    </w:rPr>
  </w:style>
  <w:style w:type="paragraph" w:styleId="Heading3">
    <w:name w:val="heading 3"/>
    <w:basedOn w:val="Normal"/>
    <w:next w:val="Normal"/>
    <w:link w:val="Heading3Char"/>
    <w:uiPriority w:val="9"/>
    <w:unhideWhenUsed/>
    <w:qFormat/>
    <w:rsid w:val="00FA5AA0"/>
    <w:pPr>
      <w:spacing w:before="360" w:after="0" w:line="271" w:lineRule="auto"/>
      <w:outlineLvl w:val="2"/>
    </w:pPr>
    <w:rPr>
      <w:rFonts w:ascii="Times New Roman" w:eastAsiaTheme="majorEastAsia" w:hAnsi="Times New Roman" w:cs="Times New Roman"/>
      <w:iCs/>
      <w:spacing w:val="5"/>
      <w:sz w:val="24"/>
      <w:szCs w:val="24"/>
      <w:u w:val="single"/>
      <w:lang w:eastAsia="en-US" w:bidi="en-US"/>
    </w:rPr>
  </w:style>
  <w:style w:type="paragraph" w:styleId="Heading4">
    <w:name w:val="heading 4"/>
    <w:basedOn w:val="Normal"/>
    <w:next w:val="Normal"/>
    <w:link w:val="Heading4Char"/>
    <w:uiPriority w:val="9"/>
    <w:unhideWhenUsed/>
    <w:qFormat/>
    <w:rsid w:val="00FA5AA0"/>
    <w:pPr>
      <w:spacing w:after="0" w:line="271" w:lineRule="auto"/>
      <w:outlineLvl w:val="3"/>
    </w:pPr>
    <w:rPr>
      <w:rFonts w:asciiTheme="majorHAnsi" w:eastAsiaTheme="majorEastAsia" w:hAnsiTheme="majorHAnsi" w:cstheme="majorBidi"/>
      <w:b/>
      <w:bCs/>
      <w:spacing w:val="5"/>
      <w:sz w:val="24"/>
      <w:szCs w:val="24"/>
      <w:lang w:eastAsia="en-US" w:bidi="en-US"/>
    </w:rPr>
  </w:style>
  <w:style w:type="paragraph" w:styleId="Heading5">
    <w:name w:val="heading 5"/>
    <w:basedOn w:val="Normal"/>
    <w:next w:val="Normal"/>
    <w:link w:val="Heading5Char"/>
    <w:uiPriority w:val="9"/>
    <w:semiHidden/>
    <w:unhideWhenUsed/>
    <w:qFormat/>
    <w:rsid w:val="00FA5AA0"/>
    <w:pPr>
      <w:spacing w:after="0" w:line="271" w:lineRule="auto"/>
      <w:outlineLvl w:val="4"/>
    </w:pPr>
    <w:rPr>
      <w:rFonts w:asciiTheme="majorHAnsi" w:eastAsiaTheme="majorEastAsia" w:hAnsiTheme="majorHAnsi" w:cstheme="majorBidi"/>
      <w:i/>
      <w:iCs/>
      <w:sz w:val="24"/>
      <w:szCs w:val="24"/>
      <w:lang w:eastAsia="en-US" w:bidi="en-US"/>
    </w:rPr>
  </w:style>
  <w:style w:type="paragraph" w:styleId="Heading6">
    <w:name w:val="heading 6"/>
    <w:basedOn w:val="Normal"/>
    <w:next w:val="Normal"/>
    <w:link w:val="Heading6Char"/>
    <w:uiPriority w:val="9"/>
    <w:semiHidden/>
    <w:unhideWhenUsed/>
    <w:qFormat/>
    <w:rsid w:val="00FA5AA0"/>
    <w:pPr>
      <w:shd w:val="clear" w:color="auto" w:fill="FFFFFF" w:themeFill="background1"/>
      <w:spacing w:after="0" w:line="271" w:lineRule="auto"/>
      <w:outlineLvl w:val="5"/>
    </w:pPr>
    <w:rPr>
      <w:rFonts w:asciiTheme="majorHAnsi" w:eastAsiaTheme="majorEastAsia" w:hAnsiTheme="majorHAnsi" w:cstheme="majorBidi"/>
      <w:b/>
      <w:bCs/>
      <w:color w:val="595959" w:themeColor="text1" w:themeTint="A6"/>
      <w:spacing w:val="5"/>
      <w:lang w:eastAsia="en-US" w:bidi="en-US"/>
    </w:rPr>
  </w:style>
  <w:style w:type="paragraph" w:styleId="Heading7">
    <w:name w:val="heading 7"/>
    <w:basedOn w:val="Normal"/>
    <w:next w:val="Normal"/>
    <w:link w:val="Heading7Char"/>
    <w:uiPriority w:val="9"/>
    <w:semiHidden/>
    <w:unhideWhenUsed/>
    <w:qFormat/>
    <w:rsid w:val="00FA5AA0"/>
    <w:pPr>
      <w:spacing w:after="0"/>
      <w:outlineLvl w:val="6"/>
    </w:pPr>
    <w:rPr>
      <w:rFonts w:asciiTheme="majorHAnsi" w:eastAsiaTheme="majorEastAsia" w:hAnsiTheme="majorHAnsi" w:cstheme="majorBidi"/>
      <w:b/>
      <w:bCs/>
      <w:i/>
      <w:iCs/>
      <w:color w:val="5A5A5A" w:themeColor="text1" w:themeTint="A5"/>
      <w:sz w:val="20"/>
      <w:szCs w:val="20"/>
      <w:lang w:eastAsia="en-US" w:bidi="en-US"/>
    </w:rPr>
  </w:style>
  <w:style w:type="paragraph" w:styleId="Heading8">
    <w:name w:val="heading 8"/>
    <w:basedOn w:val="Normal"/>
    <w:next w:val="Normal"/>
    <w:link w:val="Heading8Char"/>
    <w:uiPriority w:val="9"/>
    <w:semiHidden/>
    <w:unhideWhenUsed/>
    <w:qFormat/>
    <w:rsid w:val="00FA5AA0"/>
    <w:pPr>
      <w:spacing w:after="0"/>
      <w:outlineLvl w:val="7"/>
    </w:pPr>
    <w:rPr>
      <w:rFonts w:asciiTheme="majorHAnsi" w:eastAsiaTheme="majorEastAsia" w:hAnsiTheme="majorHAnsi" w:cstheme="majorBidi"/>
      <w:b/>
      <w:bCs/>
      <w:color w:val="7F7F7F" w:themeColor="text1" w:themeTint="80"/>
      <w:sz w:val="20"/>
      <w:szCs w:val="20"/>
      <w:lang w:eastAsia="en-US" w:bidi="en-US"/>
    </w:rPr>
  </w:style>
  <w:style w:type="paragraph" w:styleId="Heading9">
    <w:name w:val="heading 9"/>
    <w:basedOn w:val="Normal"/>
    <w:next w:val="Normal"/>
    <w:link w:val="Heading9Char"/>
    <w:uiPriority w:val="9"/>
    <w:semiHidden/>
    <w:unhideWhenUsed/>
    <w:qFormat/>
    <w:rsid w:val="00FA5AA0"/>
    <w:pPr>
      <w:spacing w:after="0" w:line="271" w:lineRule="auto"/>
      <w:outlineLvl w:val="8"/>
    </w:pPr>
    <w:rPr>
      <w:rFonts w:asciiTheme="majorHAnsi" w:eastAsiaTheme="majorEastAsia" w:hAnsiTheme="majorHAnsi" w:cstheme="majorBidi"/>
      <w:b/>
      <w:bCs/>
      <w:i/>
      <w:iCs/>
      <w:color w:val="7F7F7F" w:themeColor="text1" w:themeTint="80"/>
      <w:sz w:val="18"/>
      <w:szCs w:val="18"/>
      <w:lang w:eastAsia="en-US" w:bidi="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9412C"/>
    <w:rPr>
      <w:rFonts w:ascii="Times New Roman" w:eastAsiaTheme="majorEastAsia" w:hAnsi="Times New Roman" w:cstheme="majorBidi"/>
      <w:b/>
      <w:bCs/>
      <w:sz w:val="24"/>
      <w:szCs w:val="28"/>
    </w:rPr>
  </w:style>
  <w:style w:type="character" w:customStyle="1" w:styleId="Heading2Char">
    <w:name w:val="Heading 2 Char"/>
    <w:basedOn w:val="DefaultParagraphFont"/>
    <w:link w:val="Heading2"/>
    <w:uiPriority w:val="9"/>
    <w:rsid w:val="00FA5AA0"/>
    <w:rPr>
      <w:rFonts w:ascii="Times New Roman" w:eastAsiaTheme="majorEastAsia" w:hAnsi="Times New Roman" w:cs="Times New Roman"/>
      <w:i/>
      <w:sz w:val="24"/>
      <w:szCs w:val="24"/>
      <w:lang w:eastAsia="en-US" w:bidi="en-US"/>
    </w:rPr>
  </w:style>
  <w:style w:type="character" w:customStyle="1" w:styleId="Heading3Char">
    <w:name w:val="Heading 3 Char"/>
    <w:basedOn w:val="DefaultParagraphFont"/>
    <w:link w:val="Heading3"/>
    <w:uiPriority w:val="9"/>
    <w:rsid w:val="00FA5AA0"/>
    <w:rPr>
      <w:rFonts w:ascii="Times New Roman" w:eastAsiaTheme="majorEastAsia" w:hAnsi="Times New Roman" w:cs="Times New Roman"/>
      <w:iCs/>
      <w:spacing w:val="5"/>
      <w:sz w:val="24"/>
      <w:szCs w:val="24"/>
      <w:u w:val="single"/>
      <w:lang w:eastAsia="en-US" w:bidi="en-US"/>
    </w:rPr>
  </w:style>
  <w:style w:type="character" w:customStyle="1" w:styleId="Heading4Char">
    <w:name w:val="Heading 4 Char"/>
    <w:basedOn w:val="DefaultParagraphFont"/>
    <w:link w:val="Heading4"/>
    <w:uiPriority w:val="9"/>
    <w:rsid w:val="00FA5AA0"/>
    <w:rPr>
      <w:rFonts w:asciiTheme="majorHAnsi" w:eastAsiaTheme="majorEastAsia" w:hAnsiTheme="majorHAnsi" w:cstheme="majorBidi"/>
      <w:b/>
      <w:bCs/>
      <w:spacing w:val="5"/>
      <w:sz w:val="24"/>
      <w:szCs w:val="24"/>
      <w:lang w:eastAsia="en-US" w:bidi="en-US"/>
    </w:rPr>
  </w:style>
  <w:style w:type="character" w:customStyle="1" w:styleId="Heading5Char">
    <w:name w:val="Heading 5 Char"/>
    <w:basedOn w:val="DefaultParagraphFont"/>
    <w:link w:val="Heading5"/>
    <w:uiPriority w:val="9"/>
    <w:semiHidden/>
    <w:rsid w:val="00FA5AA0"/>
    <w:rPr>
      <w:rFonts w:asciiTheme="majorHAnsi" w:eastAsiaTheme="majorEastAsia" w:hAnsiTheme="majorHAnsi" w:cstheme="majorBidi"/>
      <w:i/>
      <w:iCs/>
      <w:sz w:val="24"/>
      <w:szCs w:val="24"/>
      <w:lang w:eastAsia="en-US" w:bidi="en-US"/>
    </w:rPr>
  </w:style>
  <w:style w:type="character" w:customStyle="1" w:styleId="Heading6Char">
    <w:name w:val="Heading 6 Char"/>
    <w:basedOn w:val="DefaultParagraphFont"/>
    <w:link w:val="Heading6"/>
    <w:uiPriority w:val="9"/>
    <w:semiHidden/>
    <w:rsid w:val="00FA5AA0"/>
    <w:rPr>
      <w:rFonts w:asciiTheme="majorHAnsi" w:eastAsiaTheme="majorEastAsia" w:hAnsiTheme="majorHAnsi" w:cstheme="majorBidi"/>
      <w:b/>
      <w:bCs/>
      <w:color w:val="595959" w:themeColor="text1" w:themeTint="A6"/>
      <w:spacing w:val="5"/>
      <w:shd w:val="clear" w:color="auto" w:fill="FFFFFF" w:themeFill="background1"/>
      <w:lang w:eastAsia="en-US" w:bidi="en-US"/>
    </w:rPr>
  </w:style>
  <w:style w:type="character" w:customStyle="1" w:styleId="Heading7Char">
    <w:name w:val="Heading 7 Char"/>
    <w:basedOn w:val="DefaultParagraphFont"/>
    <w:link w:val="Heading7"/>
    <w:uiPriority w:val="9"/>
    <w:semiHidden/>
    <w:rsid w:val="00FA5AA0"/>
    <w:rPr>
      <w:rFonts w:asciiTheme="majorHAnsi" w:eastAsiaTheme="majorEastAsia" w:hAnsiTheme="majorHAnsi" w:cstheme="majorBidi"/>
      <w:b/>
      <w:bCs/>
      <w:i/>
      <w:iCs/>
      <w:color w:val="5A5A5A" w:themeColor="text1" w:themeTint="A5"/>
      <w:sz w:val="20"/>
      <w:szCs w:val="20"/>
      <w:lang w:eastAsia="en-US" w:bidi="en-US"/>
    </w:rPr>
  </w:style>
  <w:style w:type="character" w:customStyle="1" w:styleId="Heading8Char">
    <w:name w:val="Heading 8 Char"/>
    <w:basedOn w:val="DefaultParagraphFont"/>
    <w:link w:val="Heading8"/>
    <w:uiPriority w:val="9"/>
    <w:semiHidden/>
    <w:rsid w:val="00FA5AA0"/>
    <w:rPr>
      <w:rFonts w:asciiTheme="majorHAnsi" w:eastAsiaTheme="majorEastAsia" w:hAnsiTheme="majorHAnsi" w:cstheme="majorBidi"/>
      <w:b/>
      <w:bCs/>
      <w:color w:val="7F7F7F" w:themeColor="text1" w:themeTint="80"/>
      <w:sz w:val="20"/>
      <w:szCs w:val="20"/>
      <w:lang w:eastAsia="en-US" w:bidi="en-US"/>
    </w:rPr>
  </w:style>
  <w:style w:type="character" w:customStyle="1" w:styleId="Heading9Char">
    <w:name w:val="Heading 9 Char"/>
    <w:basedOn w:val="DefaultParagraphFont"/>
    <w:link w:val="Heading9"/>
    <w:uiPriority w:val="9"/>
    <w:semiHidden/>
    <w:rsid w:val="00FA5AA0"/>
    <w:rPr>
      <w:rFonts w:asciiTheme="majorHAnsi" w:eastAsiaTheme="majorEastAsia" w:hAnsiTheme="majorHAnsi" w:cstheme="majorBidi"/>
      <w:b/>
      <w:bCs/>
      <w:i/>
      <w:iCs/>
      <w:color w:val="7F7F7F" w:themeColor="text1" w:themeTint="80"/>
      <w:sz w:val="18"/>
      <w:szCs w:val="18"/>
      <w:lang w:eastAsia="en-US" w:bidi="en-US"/>
    </w:rPr>
  </w:style>
  <w:style w:type="table" w:styleId="TableGrid">
    <w:name w:val="Table Grid"/>
    <w:basedOn w:val="TableNormal"/>
    <w:uiPriority w:val="59"/>
    <w:rsid w:val="00FA5AA0"/>
    <w:pPr>
      <w:spacing w:line="240" w:lineRule="auto"/>
    </w:pPr>
    <w:rPr>
      <w:rFonts w:asciiTheme="majorHAnsi" w:eastAsiaTheme="majorEastAsia" w:hAnsiTheme="majorHAnsi" w:cstheme="majorBidi"/>
      <w:lang w:eastAsia="en-US" w:bidi="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noteText">
    <w:name w:val="footnote text"/>
    <w:basedOn w:val="Normal"/>
    <w:link w:val="FootnoteTextChar"/>
    <w:uiPriority w:val="99"/>
    <w:semiHidden/>
    <w:unhideWhenUsed/>
    <w:rsid w:val="00FA5AA0"/>
    <w:pPr>
      <w:spacing w:line="240" w:lineRule="auto"/>
    </w:pPr>
    <w:rPr>
      <w:rFonts w:asciiTheme="majorHAnsi" w:eastAsiaTheme="majorEastAsia" w:hAnsiTheme="majorHAnsi" w:cstheme="majorBidi"/>
      <w:sz w:val="20"/>
      <w:szCs w:val="20"/>
      <w:lang w:eastAsia="en-US" w:bidi="en-US"/>
    </w:rPr>
  </w:style>
  <w:style w:type="character" w:customStyle="1" w:styleId="FootnoteTextChar">
    <w:name w:val="Footnote Text Char"/>
    <w:basedOn w:val="DefaultParagraphFont"/>
    <w:link w:val="FootnoteText"/>
    <w:uiPriority w:val="99"/>
    <w:semiHidden/>
    <w:rsid w:val="00FA5AA0"/>
    <w:rPr>
      <w:rFonts w:asciiTheme="majorHAnsi" w:eastAsiaTheme="majorEastAsia" w:hAnsiTheme="majorHAnsi" w:cstheme="majorBidi"/>
      <w:sz w:val="20"/>
      <w:szCs w:val="20"/>
      <w:lang w:eastAsia="en-US" w:bidi="en-US"/>
    </w:rPr>
  </w:style>
  <w:style w:type="character" w:styleId="FootnoteReference">
    <w:name w:val="footnote reference"/>
    <w:basedOn w:val="DefaultParagraphFont"/>
    <w:uiPriority w:val="99"/>
    <w:semiHidden/>
    <w:unhideWhenUsed/>
    <w:rsid w:val="00FA5AA0"/>
    <w:rPr>
      <w:vertAlign w:val="superscript"/>
    </w:rPr>
  </w:style>
  <w:style w:type="paragraph" w:styleId="ListParagraph">
    <w:name w:val="List Paragraph"/>
    <w:basedOn w:val="Normal"/>
    <w:uiPriority w:val="34"/>
    <w:qFormat/>
    <w:rsid w:val="00FA5AA0"/>
    <w:pPr>
      <w:ind w:left="720"/>
      <w:contextualSpacing/>
    </w:pPr>
    <w:rPr>
      <w:rFonts w:asciiTheme="majorHAnsi" w:eastAsiaTheme="majorEastAsia" w:hAnsiTheme="majorHAnsi" w:cstheme="majorBidi"/>
      <w:lang w:eastAsia="en-US" w:bidi="en-US"/>
    </w:rPr>
  </w:style>
  <w:style w:type="paragraph" w:customStyle="1" w:styleId="ListParagraph1">
    <w:name w:val="List Paragraph1"/>
    <w:basedOn w:val="Normal"/>
    <w:rsid w:val="00FA5AA0"/>
    <w:pPr>
      <w:ind w:left="720"/>
      <w:contextualSpacing/>
    </w:pPr>
    <w:rPr>
      <w:rFonts w:ascii="Calibri" w:eastAsia="SimSun" w:hAnsi="Calibri" w:cs="Times New Roman"/>
      <w:lang w:val="en-GB" w:eastAsia="en-US" w:bidi="en-US"/>
    </w:rPr>
  </w:style>
  <w:style w:type="character" w:customStyle="1" w:styleId="apple-converted-space">
    <w:name w:val="apple-converted-space"/>
    <w:basedOn w:val="DefaultParagraphFont"/>
    <w:rsid w:val="00FA5AA0"/>
  </w:style>
  <w:style w:type="character" w:customStyle="1" w:styleId="hps">
    <w:name w:val="hps"/>
    <w:basedOn w:val="DefaultParagraphFont"/>
    <w:rsid w:val="00FA5AA0"/>
  </w:style>
  <w:style w:type="character" w:customStyle="1" w:styleId="atn">
    <w:name w:val="atn"/>
    <w:basedOn w:val="DefaultParagraphFont"/>
    <w:rsid w:val="00FA5AA0"/>
  </w:style>
  <w:style w:type="paragraph" w:styleId="Title">
    <w:name w:val="Title"/>
    <w:basedOn w:val="Normal"/>
    <w:next w:val="Normal"/>
    <w:link w:val="TitleChar"/>
    <w:uiPriority w:val="10"/>
    <w:qFormat/>
    <w:rsid w:val="00FA5AA0"/>
    <w:pPr>
      <w:spacing w:after="300" w:line="240" w:lineRule="auto"/>
      <w:contextualSpacing/>
    </w:pPr>
    <w:rPr>
      <w:rFonts w:asciiTheme="majorHAnsi" w:eastAsiaTheme="majorEastAsia" w:hAnsiTheme="majorHAnsi" w:cstheme="majorBidi"/>
      <w:smallCaps/>
      <w:sz w:val="52"/>
      <w:szCs w:val="52"/>
      <w:lang w:eastAsia="en-US" w:bidi="en-US"/>
    </w:rPr>
  </w:style>
  <w:style w:type="character" w:customStyle="1" w:styleId="TitleChar">
    <w:name w:val="Title Char"/>
    <w:basedOn w:val="DefaultParagraphFont"/>
    <w:link w:val="Title"/>
    <w:uiPriority w:val="10"/>
    <w:rsid w:val="00FA5AA0"/>
    <w:rPr>
      <w:rFonts w:asciiTheme="majorHAnsi" w:eastAsiaTheme="majorEastAsia" w:hAnsiTheme="majorHAnsi" w:cstheme="majorBidi"/>
      <w:smallCaps/>
      <w:sz w:val="52"/>
      <w:szCs w:val="52"/>
      <w:lang w:eastAsia="en-US" w:bidi="en-US"/>
    </w:rPr>
  </w:style>
  <w:style w:type="paragraph" w:styleId="Subtitle">
    <w:name w:val="Subtitle"/>
    <w:basedOn w:val="Normal"/>
    <w:next w:val="Normal"/>
    <w:link w:val="SubtitleChar"/>
    <w:uiPriority w:val="11"/>
    <w:qFormat/>
    <w:rsid w:val="00FA5AA0"/>
    <w:rPr>
      <w:rFonts w:asciiTheme="majorHAnsi" w:eastAsiaTheme="majorEastAsia" w:hAnsiTheme="majorHAnsi" w:cstheme="majorBidi"/>
      <w:i/>
      <w:iCs/>
      <w:smallCaps/>
      <w:spacing w:val="10"/>
      <w:sz w:val="28"/>
      <w:szCs w:val="28"/>
      <w:lang w:eastAsia="en-US" w:bidi="en-US"/>
    </w:rPr>
  </w:style>
  <w:style w:type="character" w:customStyle="1" w:styleId="SubtitleChar">
    <w:name w:val="Subtitle Char"/>
    <w:basedOn w:val="DefaultParagraphFont"/>
    <w:link w:val="Subtitle"/>
    <w:uiPriority w:val="11"/>
    <w:rsid w:val="00FA5AA0"/>
    <w:rPr>
      <w:rFonts w:asciiTheme="majorHAnsi" w:eastAsiaTheme="majorEastAsia" w:hAnsiTheme="majorHAnsi" w:cstheme="majorBidi"/>
      <w:i/>
      <w:iCs/>
      <w:smallCaps/>
      <w:spacing w:val="10"/>
      <w:sz w:val="28"/>
      <w:szCs w:val="28"/>
      <w:lang w:eastAsia="en-US" w:bidi="en-US"/>
    </w:rPr>
  </w:style>
  <w:style w:type="character" w:styleId="Strong">
    <w:name w:val="Strong"/>
    <w:uiPriority w:val="22"/>
    <w:qFormat/>
    <w:rsid w:val="00FA5AA0"/>
    <w:rPr>
      <w:b/>
      <w:bCs/>
    </w:rPr>
  </w:style>
  <w:style w:type="character" w:styleId="Emphasis">
    <w:name w:val="Emphasis"/>
    <w:uiPriority w:val="20"/>
    <w:qFormat/>
    <w:rsid w:val="00FA5AA0"/>
    <w:rPr>
      <w:b/>
      <w:bCs/>
      <w:i/>
      <w:iCs/>
      <w:spacing w:val="10"/>
    </w:rPr>
  </w:style>
  <w:style w:type="paragraph" w:styleId="NoSpacing">
    <w:name w:val="No Spacing"/>
    <w:basedOn w:val="Normal"/>
    <w:uiPriority w:val="1"/>
    <w:qFormat/>
    <w:rsid w:val="00FA5AA0"/>
    <w:pPr>
      <w:spacing w:after="0" w:line="240" w:lineRule="auto"/>
    </w:pPr>
    <w:rPr>
      <w:rFonts w:asciiTheme="majorHAnsi" w:eastAsiaTheme="majorEastAsia" w:hAnsiTheme="majorHAnsi" w:cstheme="majorBidi"/>
      <w:lang w:eastAsia="en-US" w:bidi="en-US"/>
    </w:rPr>
  </w:style>
  <w:style w:type="paragraph" w:styleId="Quote">
    <w:name w:val="Quote"/>
    <w:basedOn w:val="Normal"/>
    <w:next w:val="Normal"/>
    <w:link w:val="QuoteChar"/>
    <w:uiPriority w:val="29"/>
    <w:qFormat/>
    <w:rsid w:val="00FA5AA0"/>
    <w:rPr>
      <w:rFonts w:asciiTheme="majorHAnsi" w:eastAsiaTheme="majorEastAsia" w:hAnsiTheme="majorHAnsi" w:cstheme="majorBidi"/>
      <w:i/>
      <w:iCs/>
      <w:lang w:eastAsia="en-US" w:bidi="en-US"/>
    </w:rPr>
  </w:style>
  <w:style w:type="character" w:customStyle="1" w:styleId="QuoteChar">
    <w:name w:val="Quote Char"/>
    <w:basedOn w:val="DefaultParagraphFont"/>
    <w:link w:val="Quote"/>
    <w:uiPriority w:val="29"/>
    <w:rsid w:val="00FA5AA0"/>
    <w:rPr>
      <w:rFonts w:asciiTheme="majorHAnsi" w:eastAsiaTheme="majorEastAsia" w:hAnsiTheme="majorHAnsi" w:cstheme="majorBidi"/>
      <w:i/>
      <w:iCs/>
      <w:lang w:eastAsia="en-US" w:bidi="en-US"/>
    </w:rPr>
  </w:style>
  <w:style w:type="paragraph" w:styleId="IntenseQuote">
    <w:name w:val="Intense Quote"/>
    <w:basedOn w:val="Normal"/>
    <w:next w:val="Normal"/>
    <w:link w:val="IntenseQuoteChar"/>
    <w:uiPriority w:val="30"/>
    <w:qFormat/>
    <w:rsid w:val="00FA5AA0"/>
    <w:pPr>
      <w:pBdr>
        <w:top w:val="single" w:sz="4" w:space="10" w:color="auto"/>
        <w:bottom w:val="single" w:sz="4" w:space="10" w:color="auto"/>
      </w:pBdr>
      <w:spacing w:before="240" w:after="240" w:line="300" w:lineRule="auto"/>
      <w:ind w:left="1152" w:right="1152"/>
      <w:jc w:val="both"/>
    </w:pPr>
    <w:rPr>
      <w:rFonts w:asciiTheme="majorHAnsi" w:eastAsiaTheme="majorEastAsia" w:hAnsiTheme="majorHAnsi" w:cstheme="majorBidi"/>
      <w:i/>
      <w:iCs/>
      <w:lang w:eastAsia="en-US" w:bidi="en-US"/>
    </w:rPr>
  </w:style>
  <w:style w:type="character" w:customStyle="1" w:styleId="IntenseQuoteChar">
    <w:name w:val="Intense Quote Char"/>
    <w:basedOn w:val="DefaultParagraphFont"/>
    <w:link w:val="IntenseQuote"/>
    <w:uiPriority w:val="30"/>
    <w:rsid w:val="00FA5AA0"/>
    <w:rPr>
      <w:rFonts w:asciiTheme="majorHAnsi" w:eastAsiaTheme="majorEastAsia" w:hAnsiTheme="majorHAnsi" w:cstheme="majorBidi"/>
      <w:i/>
      <w:iCs/>
      <w:lang w:eastAsia="en-US" w:bidi="en-US"/>
    </w:rPr>
  </w:style>
  <w:style w:type="character" w:styleId="SubtleEmphasis">
    <w:name w:val="Subtle Emphasis"/>
    <w:uiPriority w:val="19"/>
    <w:qFormat/>
    <w:rsid w:val="00FA5AA0"/>
    <w:rPr>
      <w:i/>
      <w:iCs/>
    </w:rPr>
  </w:style>
  <w:style w:type="character" w:styleId="IntenseEmphasis">
    <w:name w:val="Intense Emphasis"/>
    <w:uiPriority w:val="21"/>
    <w:qFormat/>
    <w:rsid w:val="00FA5AA0"/>
    <w:rPr>
      <w:b/>
      <w:bCs/>
      <w:i/>
      <w:iCs/>
    </w:rPr>
  </w:style>
  <w:style w:type="character" w:styleId="SubtleReference">
    <w:name w:val="Subtle Reference"/>
    <w:basedOn w:val="DefaultParagraphFont"/>
    <w:uiPriority w:val="31"/>
    <w:qFormat/>
    <w:rsid w:val="00FA5AA0"/>
    <w:rPr>
      <w:smallCaps/>
    </w:rPr>
  </w:style>
  <w:style w:type="character" w:styleId="IntenseReference">
    <w:name w:val="Intense Reference"/>
    <w:uiPriority w:val="32"/>
    <w:qFormat/>
    <w:rsid w:val="00FA5AA0"/>
    <w:rPr>
      <w:b/>
      <w:bCs/>
      <w:smallCaps/>
    </w:rPr>
  </w:style>
  <w:style w:type="character" w:styleId="BookTitle">
    <w:name w:val="Book Title"/>
    <w:basedOn w:val="DefaultParagraphFont"/>
    <w:uiPriority w:val="33"/>
    <w:qFormat/>
    <w:rsid w:val="00FA5AA0"/>
    <w:rPr>
      <w:i/>
      <w:iCs/>
      <w:smallCaps/>
      <w:spacing w:val="5"/>
    </w:rPr>
  </w:style>
  <w:style w:type="paragraph" w:styleId="TOCHeading">
    <w:name w:val="TOC Heading"/>
    <w:basedOn w:val="Heading1"/>
    <w:next w:val="Normal"/>
    <w:uiPriority w:val="39"/>
    <w:semiHidden/>
    <w:unhideWhenUsed/>
    <w:qFormat/>
    <w:rsid w:val="00FA5AA0"/>
    <w:pPr>
      <w:keepNext w:val="0"/>
      <w:keepLines w:val="0"/>
      <w:spacing w:before="360" w:line="276" w:lineRule="auto"/>
      <w:contextualSpacing/>
      <w:outlineLvl w:val="9"/>
    </w:pPr>
    <w:rPr>
      <w:rFonts w:cs="Times New Roman"/>
      <w:bCs w:val="0"/>
      <w:spacing w:val="5"/>
      <w:szCs w:val="24"/>
      <w:lang w:eastAsia="en-US" w:bidi="en-US"/>
    </w:rPr>
  </w:style>
  <w:style w:type="paragraph" w:styleId="NormalIndent">
    <w:name w:val="Normal Indent"/>
    <w:basedOn w:val="Normal"/>
    <w:uiPriority w:val="99"/>
    <w:unhideWhenUsed/>
    <w:rsid w:val="00FA5AA0"/>
    <w:pPr>
      <w:ind w:firstLine="720"/>
    </w:pPr>
    <w:rPr>
      <w:rFonts w:ascii="Times New Roman" w:eastAsiaTheme="majorEastAsia" w:hAnsi="Times New Roman" w:cs="Times New Roman"/>
      <w:sz w:val="24"/>
      <w:szCs w:val="24"/>
      <w:lang w:eastAsia="en-US" w:bidi="en-US"/>
    </w:rPr>
  </w:style>
  <w:style w:type="paragraph" w:customStyle="1" w:styleId="para">
    <w:name w:val="§para"/>
    <w:basedOn w:val="Normal"/>
    <w:link w:val="paraCharChar"/>
    <w:rsid w:val="00FA5AA0"/>
    <w:pPr>
      <w:spacing w:before="120" w:after="120" w:line="480" w:lineRule="auto"/>
      <w:ind w:firstLine="720"/>
    </w:pPr>
    <w:rPr>
      <w:rFonts w:ascii="Times" w:eastAsia="Times New Roman" w:hAnsi="Times" w:cs="Times New Roman"/>
      <w:sz w:val="24"/>
      <w:szCs w:val="24"/>
      <w:lang w:val="en-GB" w:eastAsia="en-US"/>
    </w:rPr>
  </w:style>
  <w:style w:type="character" w:customStyle="1" w:styleId="paraCharChar">
    <w:name w:val="§para Char Char"/>
    <w:basedOn w:val="DefaultParagraphFont"/>
    <w:link w:val="para"/>
    <w:rsid w:val="00FA5AA0"/>
    <w:rPr>
      <w:rFonts w:ascii="Times" w:eastAsia="Times New Roman" w:hAnsi="Times" w:cs="Times New Roman"/>
      <w:sz w:val="24"/>
      <w:szCs w:val="24"/>
      <w:lang w:val="en-GB" w:eastAsia="en-US"/>
    </w:rPr>
  </w:style>
  <w:style w:type="paragraph" w:customStyle="1" w:styleId="EN">
    <w:name w:val="§EN"/>
    <w:basedOn w:val="Normal"/>
    <w:rsid w:val="00FA5AA0"/>
    <w:pPr>
      <w:spacing w:after="0" w:line="360" w:lineRule="auto"/>
      <w:ind w:left="227" w:hanging="227"/>
      <w:jc w:val="both"/>
    </w:pPr>
    <w:rPr>
      <w:rFonts w:ascii="Times New Roman" w:eastAsia="Times New Roman" w:hAnsi="Times New Roman" w:cs="Times New Roman"/>
      <w:szCs w:val="20"/>
      <w:lang w:val="en-GB" w:eastAsia="de-DE"/>
    </w:rPr>
  </w:style>
  <w:style w:type="character" w:styleId="Hyperlink">
    <w:name w:val="Hyperlink"/>
    <w:basedOn w:val="DefaultParagraphFont"/>
    <w:rsid w:val="00FA5AA0"/>
    <w:rPr>
      <w:color w:val="0000FF"/>
      <w:u w:val="none"/>
      <w:bdr w:val="none" w:sz="0" w:space="0" w:color="auto"/>
      <w:shd w:val="clear" w:color="auto" w:fill="C0C0C0"/>
    </w:rPr>
  </w:style>
  <w:style w:type="character" w:styleId="CommentReference">
    <w:name w:val="annotation reference"/>
    <w:basedOn w:val="DefaultParagraphFont"/>
    <w:rsid w:val="00FA5AA0"/>
    <w:rPr>
      <w:sz w:val="16"/>
      <w:szCs w:val="16"/>
    </w:rPr>
  </w:style>
  <w:style w:type="paragraph" w:styleId="CommentText">
    <w:name w:val="annotation text"/>
    <w:aliases w:val="§Comment Text Char"/>
    <w:basedOn w:val="Normal"/>
    <w:link w:val="CommentTextChar"/>
    <w:rsid w:val="00FA5AA0"/>
    <w:pPr>
      <w:spacing w:after="0" w:line="240" w:lineRule="auto"/>
    </w:pPr>
    <w:rPr>
      <w:rFonts w:ascii="Times New Roman" w:eastAsia="Times New Roman" w:hAnsi="Times New Roman" w:cs="Times New Roman"/>
      <w:sz w:val="20"/>
      <w:szCs w:val="20"/>
      <w:lang w:eastAsia="en-US"/>
    </w:rPr>
  </w:style>
  <w:style w:type="character" w:customStyle="1" w:styleId="CommentTextChar">
    <w:name w:val="Comment Text Char"/>
    <w:aliases w:val="§Comment Text Char Char"/>
    <w:basedOn w:val="DefaultParagraphFont"/>
    <w:link w:val="CommentText"/>
    <w:rsid w:val="00FA5AA0"/>
    <w:rPr>
      <w:rFonts w:ascii="Times New Roman" w:eastAsia="Times New Roman" w:hAnsi="Times New Roman" w:cs="Times New Roman"/>
      <w:sz w:val="20"/>
      <w:szCs w:val="20"/>
      <w:lang w:eastAsia="en-US"/>
    </w:rPr>
  </w:style>
  <w:style w:type="paragraph" w:styleId="BalloonText">
    <w:name w:val="Balloon Text"/>
    <w:basedOn w:val="Normal"/>
    <w:link w:val="BalloonTextChar"/>
    <w:uiPriority w:val="99"/>
    <w:semiHidden/>
    <w:unhideWhenUsed/>
    <w:rsid w:val="00FA5AA0"/>
    <w:pPr>
      <w:spacing w:after="0" w:line="240" w:lineRule="auto"/>
    </w:pPr>
    <w:rPr>
      <w:rFonts w:ascii="Tahoma" w:eastAsiaTheme="majorEastAsia" w:hAnsi="Tahoma" w:cs="Tahoma"/>
      <w:sz w:val="16"/>
      <w:szCs w:val="16"/>
      <w:lang w:eastAsia="en-US" w:bidi="en-US"/>
    </w:rPr>
  </w:style>
  <w:style w:type="character" w:customStyle="1" w:styleId="BalloonTextChar">
    <w:name w:val="Balloon Text Char"/>
    <w:basedOn w:val="DefaultParagraphFont"/>
    <w:link w:val="BalloonText"/>
    <w:uiPriority w:val="99"/>
    <w:semiHidden/>
    <w:rsid w:val="00FA5AA0"/>
    <w:rPr>
      <w:rFonts w:ascii="Tahoma" w:eastAsiaTheme="majorEastAsia" w:hAnsi="Tahoma" w:cs="Tahoma"/>
      <w:sz w:val="16"/>
      <w:szCs w:val="16"/>
      <w:lang w:eastAsia="en-US" w:bidi="en-US"/>
    </w:rPr>
  </w:style>
  <w:style w:type="paragraph" w:styleId="PlainText">
    <w:name w:val="Plain Text"/>
    <w:basedOn w:val="Normal"/>
    <w:link w:val="PlainTextChar"/>
    <w:uiPriority w:val="99"/>
    <w:unhideWhenUsed/>
    <w:rsid w:val="00FA5AA0"/>
    <w:pPr>
      <w:spacing w:after="0" w:line="240" w:lineRule="auto"/>
    </w:pPr>
    <w:rPr>
      <w:rFonts w:ascii="Consolas" w:hAnsi="Consolas"/>
      <w:sz w:val="21"/>
      <w:szCs w:val="21"/>
    </w:rPr>
  </w:style>
  <w:style w:type="character" w:customStyle="1" w:styleId="PlainTextChar">
    <w:name w:val="Plain Text Char"/>
    <w:basedOn w:val="DefaultParagraphFont"/>
    <w:link w:val="PlainText"/>
    <w:uiPriority w:val="99"/>
    <w:rsid w:val="00FA5AA0"/>
    <w:rPr>
      <w:rFonts w:ascii="Consolas" w:hAnsi="Consolas"/>
      <w:sz w:val="21"/>
      <w:szCs w:val="21"/>
    </w:rPr>
  </w:style>
  <w:style w:type="paragraph" w:styleId="ListBullet">
    <w:name w:val="List Bullet"/>
    <w:basedOn w:val="Normal"/>
    <w:uiPriority w:val="99"/>
    <w:unhideWhenUsed/>
    <w:rsid w:val="00FA5AA0"/>
    <w:pPr>
      <w:numPr>
        <w:numId w:val="6"/>
      </w:numPr>
      <w:contextualSpacing/>
    </w:pPr>
    <w:rPr>
      <w:rFonts w:asciiTheme="majorHAnsi" w:eastAsiaTheme="majorEastAsia" w:hAnsiTheme="majorHAnsi" w:cstheme="majorBidi"/>
      <w:lang w:eastAsia="en-US" w:bidi="en-US"/>
    </w:rPr>
  </w:style>
  <w:style w:type="paragraph" w:styleId="Header">
    <w:name w:val="header"/>
    <w:basedOn w:val="Normal"/>
    <w:link w:val="HeaderChar"/>
    <w:uiPriority w:val="99"/>
    <w:unhideWhenUsed/>
    <w:rsid w:val="00FA5AA0"/>
    <w:pPr>
      <w:tabs>
        <w:tab w:val="center" w:pos="4680"/>
        <w:tab w:val="right" w:pos="9360"/>
      </w:tabs>
      <w:spacing w:after="0" w:line="240" w:lineRule="auto"/>
    </w:pPr>
    <w:rPr>
      <w:rFonts w:asciiTheme="majorHAnsi" w:eastAsiaTheme="majorEastAsia" w:hAnsiTheme="majorHAnsi" w:cstheme="majorBidi"/>
      <w:lang w:eastAsia="en-US" w:bidi="en-US"/>
    </w:rPr>
  </w:style>
  <w:style w:type="character" w:customStyle="1" w:styleId="HeaderChar">
    <w:name w:val="Header Char"/>
    <w:basedOn w:val="DefaultParagraphFont"/>
    <w:link w:val="Header"/>
    <w:uiPriority w:val="99"/>
    <w:rsid w:val="00FA5AA0"/>
    <w:rPr>
      <w:rFonts w:asciiTheme="majorHAnsi" w:eastAsiaTheme="majorEastAsia" w:hAnsiTheme="majorHAnsi" w:cstheme="majorBidi"/>
      <w:lang w:eastAsia="en-US" w:bidi="en-US"/>
    </w:rPr>
  </w:style>
  <w:style w:type="paragraph" w:styleId="Footer">
    <w:name w:val="footer"/>
    <w:basedOn w:val="Normal"/>
    <w:link w:val="FooterChar"/>
    <w:uiPriority w:val="99"/>
    <w:unhideWhenUsed/>
    <w:rsid w:val="00FA5AA0"/>
    <w:pPr>
      <w:tabs>
        <w:tab w:val="center" w:pos="4680"/>
        <w:tab w:val="right" w:pos="9360"/>
      </w:tabs>
      <w:spacing w:after="0" w:line="240" w:lineRule="auto"/>
    </w:pPr>
    <w:rPr>
      <w:rFonts w:asciiTheme="majorHAnsi" w:eastAsiaTheme="majorEastAsia" w:hAnsiTheme="majorHAnsi" w:cstheme="majorBidi"/>
      <w:lang w:eastAsia="en-US" w:bidi="en-US"/>
    </w:rPr>
  </w:style>
  <w:style w:type="character" w:customStyle="1" w:styleId="FooterChar">
    <w:name w:val="Footer Char"/>
    <w:basedOn w:val="DefaultParagraphFont"/>
    <w:link w:val="Footer"/>
    <w:uiPriority w:val="99"/>
    <w:rsid w:val="00FA5AA0"/>
    <w:rPr>
      <w:rFonts w:asciiTheme="majorHAnsi" w:eastAsiaTheme="majorEastAsia" w:hAnsiTheme="majorHAnsi" w:cstheme="majorBidi"/>
      <w:lang w:eastAsia="en-US" w:bidi="en-US"/>
    </w:rPr>
  </w:style>
  <w:style w:type="paragraph" w:styleId="CommentSubject">
    <w:name w:val="annotation subject"/>
    <w:basedOn w:val="CommentText"/>
    <w:next w:val="CommentText"/>
    <w:link w:val="CommentSubjectChar"/>
    <w:uiPriority w:val="99"/>
    <w:semiHidden/>
    <w:unhideWhenUsed/>
    <w:rsid w:val="00FA5AA0"/>
    <w:pPr>
      <w:spacing w:after="200"/>
    </w:pPr>
    <w:rPr>
      <w:rFonts w:asciiTheme="majorHAnsi" w:eastAsiaTheme="majorEastAsia" w:hAnsiTheme="majorHAnsi" w:cstheme="majorBidi"/>
      <w:b/>
      <w:bCs/>
      <w:lang w:bidi="en-US"/>
    </w:rPr>
  </w:style>
  <w:style w:type="character" w:customStyle="1" w:styleId="CommentSubjectChar">
    <w:name w:val="Comment Subject Char"/>
    <w:basedOn w:val="CommentTextChar"/>
    <w:link w:val="CommentSubject"/>
    <w:uiPriority w:val="99"/>
    <w:semiHidden/>
    <w:rsid w:val="00FA5AA0"/>
    <w:rPr>
      <w:rFonts w:asciiTheme="majorHAnsi" w:eastAsiaTheme="majorEastAsia" w:hAnsiTheme="majorHAnsi" w:cstheme="majorBidi"/>
      <w:b/>
      <w:bCs/>
      <w:sz w:val="20"/>
      <w:szCs w:val="20"/>
      <w:lang w:eastAsia="en-US" w:bidi="en-US"/>
    </w:rPr>
  </w:style>
  <w:style w:type="paragraph" w:styleId="Bibliography">
    <w:name w:val="Bibliography"/>
    <w:basedOn w:val="Normal"/>
    <w:next w:val="Normal"/>
    <w:uiPriority w:val="37"/>
    <w:unhideWhenUsed/>
    <w:rsid w:val="00FA5AA0"/>
    <w:pPr>
      <w:spacing w:after="0" w:line="480" w:lineRule="auto"/>
      <w:ind w:left="720" w:hanging="720"/>
    </w:pPr>
    <w:rPr>
      <w:rFonts w:asciiTheme="majorHAnsi" w:eastAsiaTheme="majorEastAsia" w:hAnsiTheme="majorHAnsi" w:cstheme="majorBidi"/>
      <w:lang w:eastAsia="en-US" w:bidi="en-US"/>
    </w:rPr>
  </w:style>
  <w:style w:type="character" w:styleId="EndnoteReference">
    <w:name w:val="endnote reference"/>
    <w:basedOn w:val="DefaultParagraphFont"/>
    <w:uiPriority w:val="99"/>
    <w:semiHidden/>
    <w:unhideWhenUsed/>
    <w:rsid w:val="00FA5AA0"/>
    <w:rPr>
      <w:vertAlign w:val="superscript"/>
    </w:rPr>
  </w:style>
  <w:style w:type="paragraph" w:styleId="Revision">
    <w:name w:val="Revision"/>
    <w:hidden/>
    <w:uiPriority w:val="99"/>
    <w:semiHidden/>
    <w:rsid w:val="00FA5AA0"/>
    <w:pPr>
      <w:spacing w:after="0" w:line="240" w:lineRule="auto"/>
    </w:pPr>
    <w:rPr>
      <w:rFonts w:asciiTheme="majorHAnsi" w:eastAsiaTheme="majorEastAsia" w:hAnsiTheme="majorHAnsi" w:cstheme="majorBidi"/>
      <w:lang w:eastAsia="en-US" w:bidi="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zh-C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A5AA0"/>
  </w:style>
  <w:style w:type="paragraph" w:styleId="Heading1">
    <w:name w:val="heading 1"/>
    <w:basedOn w:val="Normal"/>
    <w:next w:val="Normal"/>
    <w:link w:val="Heading1Char"/>
    <w:uiPriority w:val="9"/>
    <w:qFormat/>
    <w:rsid w:val="0069412C"/>
    <w:pPr>
      <w:keepNext/>
      <w:keepLines/>
      <w:spacing w:before="480" w:after="0" w:line="240" w:lineRule="auto"/>
      <w:outlineLvl w:val="0"/>
    </w:pPr>
    <w:rPr>
      <w:rFonts w:ascii="Times New Roman" w:eastAsiaTheme="majorEastAsia" w:hAnsi="Times New Roman" w:cstheme="majorBidi"/>
      <w:b/>
      <w:bCs/>
      <w:sz w:val="24"/>
      <w:szCs w:val="28"/>
    </w:rPr>
  </w:style>
  <w:style w:type="paragraph" w:styleId="Heading2">
    <w:name w:val="heading 2"/>
    <w:basedOn w:val="Normal"/>
    <w:next w:val="Normal"/>
    <w:link w:val="Heading2Char"/>
    <w:uiPriority w:val="9"/>
    <w:unhideWhenUsed/>
    <w:qFormat/>
    <w:rsid w:val="00FA5AA0"/>
    <w:pPr>
      <w:spacing w:before="360" w:after="0" w:line="271" w:lineRule="auto"/>
      <w:outlineLvl w:val="1"/>
    </w:pPr>
    <w:rPr>
      <w:rFonts w:ascii="Times New Roman" w:eastAsiaTheme="majorEastAsia" w:hAnsi="Times New Roman" w:cs="Times New Roman"/>
      <w:i/>
      <w:sz w:val="24"/>
      <w:szCs w:val="24"/>
      <w:lang w:eastAsia="en-US" w:bidi="en-US"/>
    </w:rPr>
  </w:style>
  <w:style w:type="paragraph" w:styleId="Heading3">
    <w:name w:val="heading 3"/>
    <w:basedOn w:val="Normal"/>
    <w:next w:val="Normal"/>
    <w:link w:val="Heading3Char"/>
    <w:uiPriority w:val="9"/>
    <w:unhideWhenUsed/>
    <w:qFormat/>
    <w:rsid w:val="00FA5AA0"/>
    <w:pPr>
      <w:spacing w:before="360" w:after="0" w:line="271" w:lineRule="auto"/>
      <w:outlineLvl w:val="2"/>
    </w:pPr>
    <w:rPr>
      <w:rFonts w:ascii="Times New Roman" w:eastAsiaTheme="majorEastAsia" w:hAnsi="Times New Roman" w:cs="Times New Roman"/>
      <w:iCs/>
      <w:spacing w:val="5"/>
      <w:sz w:val="24"/>
      <w:szCs w:val="24"/>
      <w:u w:val="single"/>
      <w:lang w:eastAsia="en-US" w:bidi="en-US"/>
    </w:rPr>
  </w:style>
  <w:style w:type="paragraph" w:styleId="Heading4">
    <w:name w:val="heading 4"/>
    <w:basedOn w:val="Normal"/>
    <w:next w:val="Normal"/>
    <w:link w:val="Heading4Char"/>
    <w:uiPriority w:val="9"/>
    <w:unhideWhenUsed/>
    <w:qFormat/>
    <w:rsid w:val="00FA5AA0"/>
    <w:pPr>
      <w:spacing w:after="0" w:line="271" w:lineRule="auto"/>
      <w:outlineLvl w:val="3"/>
    </w:pPr>
    <w:rPr>
      <w:rFonts w:asciiTheme="majorHAnsi" w:eastAsiaTheme="majorEastAsia" w:hAnsiTheme="majorHAnsi" w:cstheme="majorBidi"/>
      <w:b/>
      <w:bCs/>
      <w:spacing w:val="5"/>
      <w:sz w:val="24"/>
      <w:szCs w:val="24"/>
      <w:lang w:eastAsia="en-US" w:bidi="en-US"/>
    </w:rPr>
  </w:style>
  <w:style w:type="paragraph" w:styleId="Heading5">
    <w:name w:val="heading 5"/>
    <w:basedOn w:val="Normal"/>
    <w:next w:val="Normal"/>
    <w:link w:val="Heading5Char"/>
    <w:uiPriority w:val="9"/>
    <w:semiHidden/>
    <w:unhideWhenUsed/>
    <w:qFormat/>
    <w:rsid w:val="00FA5AA0"/>
    <w:pPr>
      <w:spacing w:after="0" w:line="271" w:lineRule="auto"/>
      <w:outlineLvl w:val="4"/>
    </w:pPr>
    <w:rPr>
      <w:rFonts w:asciiTheme="majorHAnsi" w:eastAsiaTheme="majorEastAsia" w:hAnsiTheme="majorHAnsi" w:cstheme="majorBidi"/>
      <w:i/>
      <w:iCs/>
      <w:sz w:val="24"/>
      <w:szCs w:val="24"/>
      <w:lang w:eastAsia="en-US" w:bidi="en-US"/>
    </w:rPr>
  </w:style>
  <w:style w:type="paragraph" w:styleId="Heading6">
    <w:name w:val="heading 6"/>
    <w:basedOn w:val="Normal"/>
    <w:next w:val="Normal"/>
    <w:link w:val="Heading6Char"/>
    <w:uiPriority w:val="9"/>
    <w:semiHidden/>
    <w:unhideWhenUsed/>
    <w:qFormat/>
    <w:rsid w:val="00FA5AA0"/>
    <w:pPr>
      <w:shd w:val="clear" w:color="auto" w:fill="FFFFFF" w:themeFill="background1"/>
      <w:spacing w:after="0" w:line="271" w:lineRule="auto"/>
      <w:outlineLvl w:val="5"/>
    </w:pPr>
    <w:rPr>
      <w:rFonts w:asciiTheme="majorHAnsi" w:eastAsiaTheme="majorEastAsia" w:hAnsiTheme="majorHAnsi" w:cstheme="majorBidi"/>
      <w:b/>
      <w:bCs/>
      <w:color w:val="595959" w:themeColor="text1" w:themeTint="A6"/>
      <w:spacing w:val="5"/>
      <w:lang w:eastAsia="en-US" w:bidi="en-US"/>
    </w:rPr>
  </w:style>
  <w:style w:type="paragraph" w:styleId="Heading7">
    <w:name w:val="heading 7"/>
    <w:basedOn w:val="Normal"/>
    <w:next w:val="Normal"/>
    <w:link w:val="Heading7Char"/>
    <w:uiPriority w:val="9"/>
    <w:semiHidden/>
    <w:unhideWhenUsed/>
    <w:qFormat/>
    <w:rsid w:val="00FA5AA0"/>
    <w:pPr>
      <w:spacing w:after="0"/>
      <w:outlineLvl w:val="6"/>
    </w:pPr>
    <w:rPr>
      <w:rFonts w:asciiTheme="majorHAnsi" w:eastAsiaTheme="majorEastAsia" w:hAnsiTheme="majorHAnsi" w:cstheme="majorBidi"/>
      <w:b/>
      <w:bCs/>
      <w:i/>
      <w:iCs/>
      <w:color w:val="5A5A5A" w:themeColor="text1" w:themeTint="A5"/>
      <w:sz w:val="20"/>
      <w:szCs w:val="20"/>
      <w:lang w:eastAsia="en-US" w:bidi="en-US"/>
    </w:rPr>
  </w:style>
  <w:style w:type="paragraph" w:styleId="Heading8">
    <w:name w:val="heading 8"/>
    <w:basedOn w:val="Normal"/>
    <w:next w:val="Normal"/>
    <w:link w:val="Heading8Char"/>
    <w:uiPriority w:val="9"/>
    <w:semiHidden/>
    <w:unhideWhenUsed/>
    <w:qFormat/>
    <w:rsid w:val="00FA5AA0"/>
    <w:pPr>
      <w:spacing w:after="0"/>
      <w:outlineLvl w:val="7"/>
    </w:pPr>
    <w:rPr>
      <w:rFonts w:asciiTheme="majorHAnsi" w:eastAsiaTheme="majorEastAsia" w:hAnsiTheme="majorHAnsi" w:cstheme="majorBidi"/>
      <w:b/>
      <w:bCs/>
      <w:color w:val="7F7F7F" w:themeColor="text1" w:themeTint="80"/>
      <w:sz w:val="20"/>
      <w:szCs w:val="20"/>
      <w:lang w:eastAsia="en-US" w:bidi="en-US"/>
    </w:rPr>
  </w:style>
  <w:style w:type="paragraph" w:styleId="Heading9">
    <w:name w:val="heading 9"/>
    <w:basedOn w:val="Normal"/>
    <w:next w:val="Normal"/>
    <w:link w:val="Heading9Char"/>
    <w:uiPriority w:val="9"/>
    <w:semiHidden/>
    <w:unhideWhenUsed/>
    <w:qFormat/>
    <w:rsid w:val="00FA5AA0"/>
    <w:pPr>
      <w:spacing w:after="0" w:line="271" w:lineRule="auto"/>
      <w:outlineLvl w:val="8"/>
    </w:pPr>
    <w:rPr>
      <w:rFonts w:asciiTheme="majorHAnsi" w:eastAsiaTheme="majorEastAsia" w:hAnsiTheme="majorHAnsi" w:cstheme="majorBidi"/>
      <w:b/>
      <w:bCs/>
      <w:i/>
      <w:iCs/>
      <w:color w:val="7F7F7F" w:themeColor="text1" w:themeTint="80"/>
      <w:sz w:val="18"/>
      <w:szCs w:val="18"/>
      <w:lang w:eastAsia="en-US" w:bidi="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9412C"/>
    <w:rPr>
      <w:rFonts w:ascii="Times New Roman" w:eastAsiaTheme="majorEastAsia" w:hAnsi="Times New Roman" w:cstheme="majorBidi"/>
      <w:b/>
      <w:bCs/>
      <w:sz w:val="24"/>
      <w:szCs w:val="28"/>
    </w:rPr>
  </w:style>
  <w:style w:type="character" w:customStyle="1" w:styleId="Heading2Char">
    <w:name w:val="Heading 2 Char"/>
    <w:basedOn w:val="DefaultParagraphFont"/>
    <w:link w:val="Heading2"/>
    <w:uiPriority w:val="9"/>
    <w:rsid w:val="00FA5AA0"/>
    <w:rPr>
      <w:rFonts w:ascii="Times New Roman" w:eastAsiaTheme="majorEastAsia" w:hAnsi="Times New Roman" w:cs="Times New Roman"/>
      <w:i/>
      <w:sz w:val="24"/>
      <w:szCs w:val="24"/>
      <w:lang w:eastAsia="en-US" w:bidi="en-US"/>
    </w:rPr>
  </w:style>
  <w:style w:type="character" w:customStyle="1" w:styleId="Heading3Char">
    <w:name w:val="Heading 3 Char"/>
    <w:basedOn w:val="DefaultParagraphFont"/>
    <w:link w:val="Heading3"/>
    <w:uiPriority w:val="9"/>
    <w:rsid w:val="00FA5AA0"/>
    <w:rPr>
      <w:rFonts w:ascii="Times New Roman" w:eastAsiaTheme="majorEastAsia" w:hAnsi="Times New Roman" w:cs="Times New Roman"/>
      <w:iCs/>
      <w:spacing w:val="5"/>
      <w:sz w:val="24"/>
      <w:szCs w:val="24"/>
      <w:u w:val="single"/>
      <w:lang w:eastAsia="en-US" w:bidi="en-US"/>
    </w:rPr>
  </w:style>
  <w:style w:type="character" w:customStyle="1" w:styleId="Heading4Char">
    <w:name w:val="Heading 4 Char"/>
    <w:basedOn w:val="DefaultParagraphFont"/>
    <w:link w:val="Heading4"/>
    <w:uiPriority w:val="9"/>
    <w:rsid w:val="00FA5AA0"/>
    <w:rPr>
      <w:rFonts w:asciiTheme="majorHAnsi" w:eastAsiaTheme="majorEastAsia" w:hAnsiTheme="majorHAnsi" w:cstheme="majorBidi"/>
      <w:b/>
      <w:bCs/>
      <w:spacing w:val="5"/>
      <w:sz w:val="24"/>
      <w:szCs w:val="24"/>
      <w:lang w:eastAsia="en-US" w:bidi="en-US"/>
    </w:rPr>
  </w:style>
  <w:style w:type="character" w:customStyle="1" w:styleId="Heading5Char">
    <w:name w:val="Heading 5 Char"/>
    <w:basedOn w:val="DefaultParagraphFont"/>
    <w:link w:val="Heading5"/>
    <w:uiPriority w:val="9"/>
    <w:semiHidden/>
    <w:rsid w:val="00FA5AA0"/>
    <w:rPr>
      <w:rFonts w:asciiTheme="majorHAnsi" w:eastAsiaTheme="majorEastAsia" w:hAnsiTheme="majorHAnsi" w:cstheme="majorBidi"/>
      <w:i/>
      <w:iCs/>
      <w:sz w:val="24"/>
      <w:szCs w:val="24"/>
      <w:lang w:eastAsia="en-US" w:bidi="en-US"/>
    </w:rPr>
  </w:style>
  <w:style w:type="character" w:customStyle="1" w:styleId="Heading6Char">
    <w:name w:val="Heading 6 Char"/>
    <w:basedOn w:val="DefaultParagraphFont"/>
    <w:link w:val="Heading6"/>
    <w:uiPriority w:val="9"/>
    <w:semiHidden/>
    <w:rsid w:val="00FA5AA0"/>
    <w:rPr>
      <w:rFonts w:asciiTheme="majorHAnsi" w:eastAsiaTheme="majorEastAsia" w:hAnsiTheme="majorHAnsi" w:cstheme="majorBidi"/>
      <w:b/>
      <w:bCs/>
      <w:color w:val="595959" w:themeColor="text1" w:themeTint="A6"/>
      <w:spacing w:val="5"/>
      <w:shd w:val="clear" w:color="auto" w:fill="FFFFFF" w:themeFill="background1"/>
      <w:lang w:eastAsia="en-US" w:bidi="en-US"/>
    </w:rPr>
  </w:style>
  <w:style w:type="character" w:customStyle="1" w:styleId="Heading7Char">
    <w:name w:val="Heading 7 Char"/>
    <w:basedOn w:val="DefaultParagraphFont"/>
    <w:link w:val="Heading7"/>
    <w:uiPriority w:val="9"/>
    <w:semiHidden/>
    <w:rsid w:val="00FA5AA0"/>
    <w:rPr>
      <w:rFonts w:asciiTheme="majorHAnsi" w:eastAsiaTheme="majorEastAsia" w:hAnsiTheme="majorHAnsi" w:cstheme="majorBidi"/>
      <w:b/>
      <w:bCs/>
      <w:i/>
      <w:iCs/>
      <w:color w:val="5A5A5A" w:themeColor="text1" w:themeTint="A5"/>
      <w:sz w:val="20"/>
      <w:szCs w:val="20"/>
      <w:lang w:eastAsia="en-US" w:bidi="en-US"/>
    </w:rPr>
  </w:style>
  <w:style w:type="character" w:customStyle="1" w:styleId="Heading8Char">
    <w:name w:val="Heading 8 Char"/>
    <w:basedOn w:val="DefaultParagraphFont"/>
    <w:link w:val="Heading8"/>
    <w:uiPriority w:val="9"/>
    <w:semiHidden/>
    <w:rsid w:val="00FA5AA0"/>
    <w:rPr>
      <w:rFonts w:asciiTheme="majorHAnsi" w:eastAsiaTheme="majorEastAsia" w:hAnsiTheme="majorHAnsi" w:cstheme="majorBidi"/>
      <w:b/>
      <w:bCs/>
      <w:color w:val="7F7F7F" w:themeColor="text1" w:themeTint="80"/>
      <w:sz w:val="20"/>
      <w:szCs w:val="20"/>
      <w:lang w:eastAsia="en-US" w:bidi="en-US"/>
    </w:rPr>
  </w:style>
  <w:style w:type="character" w:customStyle="1" w:styleId="Heading9Char">
    <w:name w:val="Heading 9 Char"/>
    <w:basedOn w:val="DefaultParagraphFont"/>
    <w:link w:val="Heading9"/>
    <w:uiPriority w:val="9"/>
    <w:semiHidden/>
    <w:rsid w:val="00FA5AA0"/>
    <w:rPr>
      <w:rFonts w:asciiTheme="majorHAnsi" w:eastAsiaTheme="majorEastAsia" w:hAnsiTheme="majorHAnsi" w:cstheme="majorBidi"/>
      <w:b/>
      <w:bCs/>
      <w:i/>
      <w:iCs/>
      <w:color w:val="7F7F7F" w:themeColor="text1" w:themeTint="80"/>
      <w:sz w:val="18"/>
      <w:szCs w:val="18"/>
      <w:lang w:eastAsia="en-US" w:bidi="en-US"/>
    </w:rPr>
  </w:style>
  <w:style w:type="table" w:styleId="TableGrid">
    <w:name w:val="Table Grid"/>
    <w:basedOn w:val="TableNormal"/>
    <w:uiPriority w:val="59"/>
    <w:rsid w:val="00FA5AA0"/>
    <w:pPr>
      <w:spacing w:line="240" w:lineRule="auto"/>
    </w:pPr>
    <w:rPr>
      <w:rFonts w:asciiTheme="majorHAnsi" w:eastAsiaTheme="majorEastAsia" w:hAnsiTheme="majorHAnsi" w:cstheme="majorBidi"/>
      <w:lang w:eastAsia="en-US" w:bidi="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noteText">
    <w:name w:val="footnote text"/>
    <w:basedOn w:val="Normal"/>
    <w:link w:val="FootnoteTextChar"/>
    <w:uiPriority w:val="99"/>
    <w:semiHidden/>
    <w:unhideWhenUsed/>
    <w:rsid w:val="00FA5AA0"/>
    <w:pPr>
      <w:spacing w:line="240" w:lineRule="auto"/>
    </w:pPr>
    <w:rPr>
      <w:rFonts w:asciiTheme="majorHAnsi" w:eastAsiaTheme="majorEastAsia" w:hAnsiTheme="majorHAnsi" w:cstheme="majorBidi"/>
      <w:sz w:val="20"/>
      <w:szCs w:val="20"/>
      <w:lang w:eastAsia="en-US" w:bidi="en-US"/>
    </w:rPr>
  </w:style>
  <w:style w:type="character" w:customStyle="1" w:styleId="FootnoteTextChar">
    <w:name w:val="Footnote Text Char"/>
    <w:basedOn w:val="DefaultParagraphFont"/>
    <w:link w:val="FootnoteText"/>
    <w:uiPriority w:val="99"/>
    <w:semiHidden/>
    <w:rsid w:val="00FA5AA0"/>
    <w:rPr>
      <w:rFonts w:asciiTheme="majorHAnsi" w:eastAsiaTheme="majorEastAsia" w:hAnsiTheme="majorHAnsi" w:cstheme="majorBidi"/>
      <w:sz w:val="20"/>
      <w:szCs w:val="20"/>
      <w:lang w:eastAsia="en-US" w:bidi="en-US"/>
    </w:rPr>
  </w:style>
  <w:style w:type="character" w:styleId="FootnoteReference">
    <w:name w:val="footnote reference"/>
    <w:basedOn w:val="DefaultParagraphFont"/>
    <w:uiPriority w:val="99"/>
    <w:semiHidden/>
    <w:unhideWhenUsed/>
    <w:rsid w:val="00FA5AA0"/>
    <w:rPr>
      <w:vertAlign w:val="superscript"/>
    </w:rPr>
  </w:style>
  <w:style w:type="paragraph" w:styleId="ListParagraph">
    <w:name w:val="List Paragraph"/>
    <w:basedOn w:val="Normal"/>
    <w:uiPriority w:val="34"/>
    <w:qFormat/>
    <w:rsid w:val="00FA5AA0"/>
    <w:pPr>
      <w:ind w:left="720"/>
      <w:contextualSpacing/>
    </w:pPr>
    <w:rPr>
      <w:rFonts w:asciiTheme="majorHAnsi" w:eastAsiaTheme="majorEastAsia" w:hAnsiTheme="majorHAnsi" w:cstheme="majorBidi"/>
      <w:lang w:eastAsia="en-US" w:bidi="en-US"/>
    </w:rPr>
  </w:style>
  <w:style w:type="paragraph" w:customStyle="1" w:styleId="ListParagraph1">
    <w:name w:val="List Paragraph1"/>
    <w:basedOn w:val="Normal"/>
    <w:rsid w:val="00FA5AA0"/>
    <w:pPr>
      <w:ind w:left="720"/>
      <w:contextualSpacing/>
    </w:pPr>
    <w:rPr>
      <w:rFonts w:ascii="Calibri" w:eastAsia="SimSun" w:hAnsi="Calibri" w:cs="Times New Roman"/>
      <w:lang w:val="en-GB" w:eastAsia="en-US" w:bidi="en-US"/>
    </w:rPr>
  </w:style>
  <w:style w:type="character" w:customStyle="1" w:styleId="apple-converted-space">
    <w:name w:val="apple-converted-space"/>
    <w:basedOn w:val="DefaultParagraphFont"/>
    <w:rsid w:val="00FA5AA0"/>
  </w:style>
  <w:style w:type="character" w:customStyle="1" w:styleId="hps">
    <w:name w:val="hps"/>
    <w:basedOn w:val="DefaultParagraphFont"/>
    <w:rsid w:val="00FA5AA0"/>
  </w:style>
  <w:style w:type="character" w:customStyle="1" w:styleId="atn">
    <w:name w:val="atn"/>
    <w:basedOn w:val="DefaultParagraphFont"/>
    <w:rsid w:val="00FA5AA0"/>
  </w:style>
  <w:style w:type="paragraph" w:styleId="Title">
    <w:name w:val="Title"/>
    <w:basedOn w:val="Normal"/>
    <w:next w:val="Normal"/>
    <w:link w:val="TitleChar"/>
    <w:uiPriority w:val="10"/>
    <w:qFormat/>
    <w:rsid w:val="00FA5AA0"/>
    <w:pPr>
      <w:spacing w:after="300" w:line="240" w:lineRule="auto"/>
      <w:contextualSpacing/>
    </w:pPr>
    <w:rPr>
      <w:rFonts w:asciiTheme="majorHAnsi" w:eastAsiaTheme="majorEastAsia" w:hAnsiTheme="majorHAnsi" w:cstheme="majorBidi"/>
      <w:smallCaps/>
      <w:sz w:val="52"/>
      <w:szCs w:val="52"/>
      <w:lang w:eastAsia="en-US" w:bidi="en-US"/>
    </w:rPr>
  </w:style>
  <w:style w:type="character" w:customStyle="1" w:styleId="TitleChar">
    <w:name w:val="Title Char"/>
    <w:basedOn w:val="DefaultParagraphFont"/>
    <w:link w:val="Title"/>
    <w:uiPriority w:val="10"/>
    <w:rsid w:val="00FA5AA0"/>
    <w:rPr>
      <w:rFonts w:asciiTheme="majorHAnsi" w:eastAsiaTheme="majorEastAsia" w:hAnsiTheme="majorHAnsi" w:cstheme="majorBidi"/>
      <w:smallCaps/>
      <w:sz w:val="52"/>
      <w:szCs w:val="52"/>
      <w:lang w:eastAsia="en-US" w:bidi="en-US"/>
    </w:rPr>
  </w:style>
  <w:style w:type="paragraph" w:styleId="Subtitle">
    <w:name w:val="Subtitle"/>
    <w:basedOn w:val="Normal"/>
    <w:next w:val="Normal"/>
    <w:link w:val="SubtitleChar"/>
    <w:uiPriority w:val="11"/>
    <w:qFormat/>
    <w:rsid w:val="00FA5AA0"/>
    <w:rPr>
      <w:rFonts w:asciiTheme="majorHAnsi" w:eastAsiaTheme="majorEastAsia" w:hAnsiTheme="majorHAnsi" w:cstheme="majorBidi"/>
      <w:i/>
      <w:iCs/>
      <w:smallCaps/>
      <w:spacing w:val="10"/>
      <w:sz w:val="28"/>
      <w:szCs w:val="28"/>
      <w:lang w:eastAsia="en-US" w:bidi="en-US"/>
    </w:rPr>
  </w:style>
  <w:style w:type="character" w:customStyle="1" w:styleId="SubtitleChar">
    <w:name w:val="Subtitle Char"/>
    <w:basedOn w:val="DefaultParagraphFont"/>
    <w:link w:val="Subtitle"/>
    <w:uiPriority w:val="11"/>
    <w:rsid w:val="00FA5AA0"/>
    <w:rPr>
      <w:rFonts w:asciiTheme="majorHAnsi" w:eastAsiaTheme="majorEastAsia" w:hAnsiTheme="majorHAnsi" w:cstheme="majorBidi"/>
      <w:i/>
      <w:iCs/>
      <w:smallCaps/>
      <w:spacing w:val="10"/>
      <w:sz w:val="28"/>
      <w:szCs w:val="28"/>
      <w:lang w:eastAsia="en-US" w:bidi="en-US"/>
    </w:rPr>
  </w:style>
  <w:style w:type="character" w:styleId="Strong">
    <w:name w:val="Strong"/>
    <w:uiPriority w:val="22"/>
    <w:qFormat/>
    <w:rsid w:val="00FA5AA0"/>
    <w:rPr>
      <w:b/>
      <w:bCs/>
    </w:rPr>
  </w:style>
  <w:style w:type="character" w:styleId="Emphasis">
    <w:name w:val="Emphasis"/>
    <w:uiPriority w:val="20"/>
    <w:qFormat/>
    <w:rsid w:val="00FA5AA0"/>
    <w:rPr>
      <w:b/>
      <w:bCs/>
      <w:i/>
      <w:iCs/>
      <w:spacing w:val="10"/>
    </w:rPr>
  </w:style>
  <w:style w:type="paragraph" w:styleId="NoSpacing">
    <w:name w:val="No Spacing"/>
    <w:basedOn w:val="Normal"/>
    <w:uiPriority w:val="1"/>
    <w:qFormat/>
    <w:rsid w:val="00FA5AA0"/>
    <w:pPr>
      <w:spacing w:after="0" w:line="240" w:lineRule="auto"/>
    </w:pPr>
    <w:rPr>
      <w:rFonts w:asciiTheme="majorHAnsi" w:eastAsiaTheme="majorEastAsia" w:hAnsiTheme="majorHAnsi" w:cstheme="majorBidi"/>
      <w:lang w:eastAsia="en-US" w:bidi="en-US"/>
    </w:rPr>
  </w:style>
  <w:style w:type="paragraph" w:styleId="Quote">
    <w:name w:val="Quote"/>
    <w:basedOn w:val="Normal"/>
    <w:next w:val="Normal"/>
    <w:link w:val="QuoteChar"/>
    <w:uiPriority w:val="29"/>
    <w:qFormat/>
    <w:rsid w:val="00FA5AA0"/>
    <w:rPr>
      <w:rFonts w:asciiTheme="majorHAnsi" w:eastAsiaTheme="majorEastAsia" w:hAnsiTheme="majorHAnsi" w:cstheme="majorBidi"/>
      <w:i/>
      <w:iCs/>
      <w:lang w:eastAsia="en-US" w:bidi="en-US"/>
    </w:rPr>
  </w:style>
  <w:style w:type="character" w:customStyle="1" w:styleId="QuoteChar">
    <w:name w:val="Quote Char"/>
    <w:basedOn w:val="DefaultParagraphFont"/>
    <w:link w:val="Quote"/>
    <w:uiPriority w:val="29"/>
    <w:rsid w:val="00FA5AA0"/>
    <w:rPr>
      <w:rFonts w:asciiTheme="majorHAnsi" w:eastAsiaTheme="majorEastAsia" w:hAnsiTheme="majorHAnsi" w:cstheme="majorBidi"/>
      <w:i/>
      <w:iCs/>
      <w:lang w:eastAsia="en-US" w:bidi="en-US"/>
    </w:rPr>
  </w:style>
  <w:style w:type="paragraph" w:styleId="IntenseQuote">
    <w:name w:val="Intense Quote"/>
    <w:basedOn w:val="Normal"/>
    <w:next w:val="Normal"/>
    <w:link w:val="IntenseQuoteChar"/>
    <w:uiPriority w:val="30"/>
    <w:qFormat/>
    <w:rsid w:val="00FA5AA0"/>
    <w:pPr>
      <w:pBdr>
        <w:top w:val="single" w:sz="4" w:space="10" w:color="auto"/>
        <w:bottom w:val="single" w:sz="4" w:space="10" w:color="auto"/>
      </w:pBdr>
      <w:spacing w:before="240" w:after="240" w:line="300" w:lineRule="auto"/>
      <w:ind w:left="1152" w:right="1152"/>
      <w:jc w:val="both"/>
    </w:pPr>
    <w:rPr>
      <w:rFonts w:asciiTheme="majorHAnsi" w:eastAsiaTheme="majorEastAsia" w:hAnsiTheme="majorHAnsi" w:cstheme="majorBidi"/>
      <w:i/>
      <w:iCs/>
      <w:lang w:eastAsia="en-US" w:bidi="en-US"/>
    </w:rPr>
  </w:style>
  <w:style w:type="character" w:customStyle="1" w:styleId="IntenseQuoteChar">
    <w:name w:val="Intense Quote Char"/>
    <w:basedOn w:val="DefaultParagraphFont"/>
    <w:link w:val="IntenseQuote"/>
    <w:uiPriority w:val="30"/>
    <w:rsid w:val="00FA5AA0"/>
    <w:rPr>
      <w:rFonts w:asciiTheme="majorHAnsi" w:eastAsiaTheme="majorEastAsia" w:hAnsiTheme="majorHAnsi" w:cstheme="majorBidi"/>
      <w:i/>
      <w:iCs/>
      <w:lang w:eastAsia="en-US" w:bidi="en-US"/>
    </w:rPr>
  </w:style>
  <w:style w:type="character" w:styleId="SubtleEmphasis">
    <w:name w:val="Subtle Emphasis"/>
    <w:uiPriority w:val="19"/>
    <w:qFormat/>
    <w:rsid w:val="00FA5AA0"/>
    <w:rPr>
      <w:i/>
      <w:iCs/>
    </w:rPr>
  </w:style>
  <w:style w:type="character" w:styleId="IntenseEmphasis">
    <w:name w:val="Intense Emphasis"/>
    <w:uiPriority w:val="21"/>
    <w:qFormat/>
    <w:rsid w:val="00FA5AA0"/>
    <w:rPr>
      <w:b/>
      <w:bCs/>
      <w:i/>
      <w:iCs/>
    </w:rPr>
  </w:style>
  <w:style w:type="character" w:styleId="SubtleReference">
    <w:name w:val="Subtle Reference"/>
    <w:basedOn w:val="DefaultParagraphFont"/>
    <w:uiPriority w:val="31"/>
    <w:qFormat/>
    <w:rsid w:val="00FA5AA0"/>
    <w:rPr>
      <w:smallCaps/>
    </w:rPr>
  </w:style>
  <w:style w:type="character" w:styleId="IntenseReference">
    <w:name w:val="Intense Reference"/>
    <w:uiPriority w:val="32"/>
    <w:qFormat/>
    <w:rsid w:val="00FA5AA0"/>
    <w:rPr>
      <w:b/>
      <w:bCs/>
      <w:smallCaps/>
    </w:rPr>
  </w:style>
  <w:style w:type="character" w:styleId="BookTitle">
    <w:name w:val="Book Title"/>
    <w:basedOn w:val="DefaultParagraphFont"/>
    <w:uiPriority w:val="33"/>
    <w:qFormat/>
    <w:rsid w:val="00FA5AA0"/>
    <w:rPr>
      <w:i/>
      <w:iCs/>
      <w:smallCaps/>
      <w:spacing w:val="5"/>
    </w:rPr>
  </w:style>
  <w:style w:type="paragraph" w:styleId="TOCHeading">
    <w:name w:val="TOC Heading"/>
    <w:basedOn w:val="Heading1"/>
    <w:next w:val="Normal"/>
    <w:uiPriority w:val="39"/>
    <w:semiHidden/>
    <w:unhideWhenUsed/>
    <w:qFormat/>
    <w:rsid w:val="00FA5AA0"/>
    <w:pPr>
      <w:keepNext w:val="0"/>
      <w:keepLines w:val="0"/>
      <w:spacing w:before="360" w:line="276" w:lineRule="auto"/>
      <w:contextualSpacing/>
      <w:outlineLvl w:val="9"/>
    </w:pPr>
    <w:rPr>
      <w:rFonts w:cs="Times New Roman"/>
      <w:bCs w:val="0"/>
      <w:spacing w:val="5"/>
      <w:szCs w:val="24"/>
      <w:lang w:eastAsia="en-US" w:bidi="en-US"/>
    </w:rPr>
  </w:style>
  <w:style w:type="paragraph" w:styleId="NormalIndent">
    <w:name w:val="Normal Indent"/>
    <w:basedOn w:val="Normal"/>
    <w:uiPriority w:val="99"/>
    <w:unhideWhenUsed/>
    <w:rsid w:val="00FA5AA0"/>
    <w:pPr>
      <w:ind w:firstLine="720"/>
    </w:pPr>
    <w:rPr>
      <w:rFonts w:ascii="Times New Roman" w:eastAsiaTheme="majorEastAsia" w:hAnsi="Times New Roman" w:cs="Times New Roman"/>
      <w:sz w:val="24"/>
      <w:szCs w:val="24"/>
      <w:lang w:eastAsia="en-US" w:bidi="en-US"/>
    </w:rPr>
  </w:style>
  <w:style w:type="paragraph" w:customStyle="1" w:styleId="para">
    <w:name w:val="§para"/>
    <w:basedOn w:val="Normal"/>
    <w:link w:val="paraCharChar"/>
    <w:rsid w:val="00FA5AA0"/>
    <w:pPr>
      <w:spacing w:before="120" w:after="120" w:line="480" w:lineRule="auto"/>
      <w:ind w:firstLine="720"/>
    </w:pPr>
    <w:rPr>
      <w:rFonts w:ascii="Times" w:eastAsia="Times New Roman" w:hAnsi="Times" w:cs="Times New Roman"/>
      <w:sz w:val="24"/>
      <w:szCs w:val="24"/>
      <w:lang w:val="en-GB" w:eastAsia="en-US"/>
    </w:rPr>
  </w:style>
  <w:style w:type="character" w:customStyle="1" w:styleId="paraCharChar">
    <w:name w:val="§para Char Char"/>
    <w:basedOn w:val="DefaultParagraphFont"/>
    <w:link w:val="para"/>
    <w:rsid w:val="00FA5AA0"/>
    <w:rPr>
      <w:rFonts w:ascii="Times" w:eastAsia="Times New Roman" w:hAnsi="Times" w:cs="Times New Roman"/>
      <w:sz w:val="24"/>
      <w:szCs w:val="24"/>
      <w:lang w:val="en-GB" w:eastAsia="en-US"/>
    </w:rPr>
  </w:style>
  <w:style w:type="paragraph" w:customStyle="1" w:styleId="EN">
    <w:name w:val="§EN"/>
    <w:basedOn w:val="Normal"/>
    <w:rsid w:val="00FA5AA0"/>
    <w:pPr>
      <w:spacing w:after="0" w:line="360" w:lineRule="auto"/>
      <w:ind w:left="227" w:hanging="227"/>
      <w:jc w:val="both"/>
    </w:pPr>
    <w:rPr>
      <w:rFonts w:ascii="Times New Roman" w:eastAsia="Times New Roman" w:hAnsi="Times New Roman" w:cs="Times New Roman"/>
      <w:szCs w:val="20"/>
      <w:lang w:val="en-GB" w:eastAsia="de-DE"/>
    </w:rPr>
  </w:style>
  <w:style w:type="character" w:styleId="Hyperlink">
    <w:name w:val="Hyperlink"/>
    <w:basedOn w:val="DefaultParagraphFont"/>
    <w:rsid w:val="00FA5AA0"/>
    <w:rPr>
      <w:color w:val="0000FF"/>
      <w:u w:val="none"/>
      <w:bdr w:val="none" w:sz="0" w:space="0" w:color="auto"/>
      <w:shd w:val="clear" w:color="auto" w:fill="C0C0C0"/>
    </w:rPr>
  </w:style>
  <w:style w:type="character" w:styleId="CommentReference">
    <w:name w:val="annotation reference"/>
    <w:basedOn w:val="DefaultParagraphFont"/>
    <w:rsid w:val="00FA5AA0"/>
    <w:rPr>
      <w:sz w:val="16"/>
      <w:szCs w:val="16"/>
    </w:rPr>
  </w:style>
  <w:style w:type="paragraph" w:styleId="CommentText">
    <w:name w:val="annotation text"/>
    <w:aliases w:val="§Comment Text Char"/>
    <w:basedOn w:val="Normal"/>
    <w:link w:val="CommentTextChar"/>
    <w:rsid w:val="00FA5AA0"/>
    <w:pPr>
      <w:spacing w:after="0" w:line="240" w:lineRule="auto"/>
    </w:pPr>
    <w:rPr>
      <w:rFonts w:ascii="Times New Roman" w:eastAsia="Times New Roman" w:hAnsi="Times New Roman" w:cs="Times New Roman"/>
      <w:sz w:val="20"/>
      <w:szCs w:val="20"/>
      <w:lang w:eastAsia="en-US"/>
    </w:rPr>
  </w:style>
  <w:style w:type="character" w:customStyle="1" w:styleId="CommentTextChar">
    <w:name w:val="Comment Text Char"/>
    <w:aliases w:val="§Comment Text Char Char"/>
    <w:basedOn w:val="DefaultParagraphFont"/>
    <w:link w:val="CommentText"/>
    <w:rsid w:val="00FA5AA0"/>
    <w:rPr>
      <w:rFonts w:ascii="Times New Roman" w:eastAsia="Times New Roman" w:hAnsi="Times New Roman" w:cs="Times New Roman"/>
      <w:sz w:val="20"/>
      <w:szCs w:val="20"/>
      <w:lang w:eastAsia="en-US"/>
    </w:rPr>
  </w:style>
  <w:style w:type="paragraph" w:styleId="BalloonText">
    <w:name w:val="Balloon Text"/>
    <w:basedOn w:val="Normal"/>
    <w:link w:val="BalloonTextChar"/>
    <w:uiPriority w:val="99"/>
    <w:semiHidden/>
    <w:unhideWhenUsed/>
    <w:rsid w:val="00FA5AA0"/>
    <w:pPr>
      <w:spacing w:after="0" w:line="240" w:lineRule="auto"/>
    </w:pPr>
    <w:rPr>
      <w:rFonts w:ascii="Tahoma" w:eastAsiaTheme="majorEastAsia" w:hAnsi="Tahoma" w:cs="Tahoma"/>
      <w:sz w:val="16"/>
      <w:szCs w:val="16"/>
      <w:lang w:eastAsia="en-US" w:bidi="en-US"/>
    </w:rPr>
  </w:style>
  <w:style w:type="character" w:customStyle="1" w:styleId="BalloonTextChar">
    <w:name w:val="Balloon Text Char"/>
    <w:basedOn w:val="DefaultParagraphFont"/>
    <w:link w:val="BalloonText"/>
    <w:uiPriority w:val="99"/>
    <w:semiHidden/>
    <w:rsid w:val="00FA5AA0"/>
    <w:rPr>
      <w:rFonts w:ascii="Tahoma" w:eastAsiaTheme="majorEastAsia" w:hAnsi="Tahoma" w:cs="Tahoma"/>
      <w:sz w:val="16"/>
      <w:szCs w:val="16"/>
      <w:lang w:eastAsia="en-US" w:bidi="en-US"/>
    </w:rPr>
  </w:style>
  <w:style w:type="paragraph" w:styleId="PlainText">
    <w:name w:val="Plain Text"/>
    <w:basedOn w:val="Normal"/>
    <w:link w:val="PlainTextChar"/>
    <w:uiPriority w:val="99"/>
    <w:unhideWhenUsed/>
    <w:rsid w:val="00FA5AA0"/>
    <w:pPr>
      <w:spacing w:after="0" w:line="240" w:lineRule="auto"/>
    </w:pPr>
    <w:rPr>
      <w:rFonts w:ascii="Consolas" w:hAnsi="Consolas"/>
      <w:sz w:val="21"/>
      <w:szCs w:val="21"/>
    </w:rPr>
  </w:style>
  <w:style w:type="character" w:customStyle="1" w:styleId="PlainTextChar">
    <w:name w:val="Plain Text Char"/>
    <w:basedOn w:val="DefaultParagraphFont"/>
    <w:link w:val="PlainText"/>
    <w:uiPriority w:val="99"/>
    <w:rsid w:val="00FA5AA0"/>
    <w:rPr>
      <w:rFonts w:ascii="Consolas" w:hAnsi="Consolas"/>
      <w:sz w:val="21"/>
      <w:szCs w:val="21"/>
    </w:rPr>
  </w:style>
  <w:style w:type="paragraph" w:styleId="ListBullet">
    <w:name w:val="List Bullet"/>
    <w:basedOn w:val="Normal"/>
    <w:uiPriority w:val="99"/>
    <w:unhideWhenUsed/>
    <w:rsid w:val="00FA5AA0"/>
    <w:pPr>
      <w:numPr>
        <w:numId w:val="6"/>
      </w:numPr>
      <w:contextualSpacing/>
    </w:pPr>
    <w:rPr>
      <w:rFonts w:asciiTheme="majorHAnsi" w:eastAsiaTheme="majorEastAsia" w:hAnsiTheme="majorHAnsi" w:cstheme="majorBidi"/>
      <w:lang w:eastAsia="en-US" w:bidi="en-US"/>
    </w:rPr>
  </w:style>
  <w:style w:type="paragraph" w:styleId="Header">
    <w:name w:val="header"/>
    <w:basedOn w:val="Normal"/>
    <w:link w:val="HeaderChar"/>
    <w:uiPriority w:val="99"/>
    <w:unhideWhenUsed/>
    <w:rsid w:val="00FA5AA0"/>
    <w:pPr>
      <w:tabs>
        <w:tab w:val="center" w:pos="4680"/>
        <w:tab w:val="right" w:pos="9360"/>
      </w:tabs>
      <w:spacing w:after="0" w:line="240" w:lineRule="auto"/>
    </w:pPr>
    <w:rPr>
      <w:rFonts w:asciiTheme="majorHAnsi" w:eastAsiaTheme="majorEastAsia" w:hAnsiTheme="majorHAnsi" w:cstheme="majorBidi"/>
      <w:lang w:eastAsia="en-US" w:bidi="en-US"/>
    </w:rPr>
  </w:style>
  <w:style w:type="character" w:customStyle="1" w:styleId="HeaderChar">
    <w:name w:val="Header Char"/>
    <w:basedOn w:val="DefaultParagraphFont"/>
    <w:link w:val="Header"/>
    <w:uiPriority w:val="99"/>
    <w:rsid w:val="00FA5AA0"/>
    <w:rPr>
      <w:rFonts w:asciiTheme="majorHAnsi" w:eastAsiaTheme="majorEastAsia" w:hAnsiTheme="majorHAnsi" w:cstheme="majorBidi"/>
      <w:lang w:eastAsia="en-US" w:bidi="en-US"/>
    </w:rPr>
  </w:style>
  <w:style w:type="paragraph" w:styleId="Footer">
    <w:name w:val="footer"/>
    <w:basedOn w:val="Normal"/>
    <w:link w:val="FooterChar"/>
    <w:uiPriority w:val="99"/>
    <w:unhideWhenUsed/>
    <w:rsid w:val="00FA5AA0"/>
    <w:pPr>
      <w:tabs>
        <w:tab w:val="center" w:pos="4680"/>
        <w:tab w:val="right" w:pos="9360"/>
      </w:tabs>
      <w:spacing w:after="0" w:line="240" w:lineRule="auto"/>
    </w:pPr>
    <w:rPr>
      <w:rFonts w:asciiTheme="majorHAnsi" w:eastAsiaTheme="majorEastAsia" w:hAnsiTheme="majorHAnsi" w:cstheme="majorBidi"/>
      <w:lang w:eastAsia="en-US" w:bidi="en-US"/>
    </w:rPr>
  </w:style>
  <w:style w:type="character" w:customStyle="1" w:styleId="FooterChar">
    <w:name w:val="Footer Char"/>
    <w:basedOn w:val="DefaultParagraphFont"/>
    <w:link w:val="Footer"/>
    <w:uiPriority w:val="99"/>
    <w:rsid w:val="00FA5AA0"/>
    <w:rPr>
      <w:rFonts w:asciiTheme="majorHAnsi" w:eastAsiaTheme="majorEastAsia" w:hAnsiTheme="majorHAnsi" w:cstheme="majorBidi"/>
      <w:lang w:eastAsia="en-US" w:bidi="en-US"/>
    </w:rPr>
  </w:style>
  <w:style w:type="paragraph" w:styleId="CommentSubject">
    <w:name w:val="annotation subject"/>
    <w:basedOn w:val="CommentText"/>
    <w:next w:val="CommentText"/>
    <w:link w:val="CommentSubjectChar"/>
    <w:uiPriority w:val="99"/>
    <w:semiHidden/>
    <w:unhideWhenUsed/>
    <w:rsid w:val="00FA5AA0"/>
    <w:pPr>
      <w:spacing w:after="200"/>
    </w:pPr>
    <w:rPr>
      <w:rFonts w:asciiTheme="majorHAnsi" w:eastAsiaTheme="majorEastAsia" w:hAnsiTheme="majorHAnsi" w:cstheme="majorBidi"/>
      <w:b/>
      <w:bCs/>
      <w:lang w:bidi="en-US"/>
    </w:rPr>
  </w:style>
  <w:style w:type="character" w:customStyle="1" w:styleId="CommentSubjectChar">
    <w:name w:val="Comment Subject Char"/>
    <w:basedOn w:val="CommentTextChar"/>
    <w:link w:val="CommentSubject"/>
    <w:uiPriority w:val="99"/>
    <w:semiHidden/>
    <w:rsid w:val="00FA5AA0"/>
    <w:rPr>
      <w:rFonts w:asciiTheme="majorHAnsi" w:eastAsiaTheme="majorEastAsia" w:hAnsiTheme="majorHAnsi" w:cstheme="majorBidi"/>
      <w:b/>
      <w:bCs/>
      <w:sz w:val="20"/>
      <w:szCs w:val="20"/>
      <w:lang w:eastAsia="en-US" w:bidi="en-US"/>
    </w:rPr>
  </w:style>
  <w:style w:type="paragraph" w:styleId="Bibliography">
    <w:name w:val="Bibliography"/>
    <w:basedOn w:val="Normal"/>
    <w:next w:val="Normal"/>
    <w:uiPriority w:val="37"/>
    <w:unhideWhenUsed/>
    <w:rsid w:val="00FA5AA0"/>
    <w:pPr>
      <w:spacing w:after="0" w:line="480" w:lineRule="auto"/>
      <w:ind w:left="720" w:hanging="720"/>
    </w:pPr>
    <w:rPr>
      <w:rFonts w:asciiTheme="majorHAnsi" w:eastAsiaTheme="majorEastAsia" w:hAnsiTheme="majorHAnsi" w:cstheme="majorBidi"/>
      <w:lang w:eastAsia="en-US" w:bidi="en-US"/>
    </w:rPr>
  </w:style>
  <w:style w:type="character" w:styleId="EndnoteReference">
    <w:name w:val="endnote reference"/>
    <w:basedOn w:val="DefaultParagraphFont"/>
    <w:uiPriority w:val="99"/>
    <w:semiHidden/>
    <w:unhideWhenUsed/>
    <w:rsid w:val="00FA5AA0"/>
    <w:rPr>
      <w:vertAlign w:val="superscript"/>
    </w:rPr>
  </w:style>
  <w:style w:type="paragraph" w:styleId="Revision">
    <w:name w:val="Revision"/>
    <w:hidden/>
    <w:uiPriority w:val="99"/>
    <w:semiHidden/>
    <w:rsid w:val="00FA5AA0"/>
    <w:pPr>
      <w:spacing w:after="0" w:line="240" w:lineRule="auto"/>
    </w:pPr>
    <w:rPr>
      <w:rFonts w:asciiTheme="majorHAnsi" w:eastAsiaTheme="majorEastAsia" w:hAnsiTheme="majorHAnsi" w:cstheme="majorBidi"/>
      <w:lang w:eastAsia="en-US"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tats.gov.cn/was40/gjtjj_detail.jsp?searchword=%C8%CB%BF%DA%C6%25" TargetMode="External"/><Relationship Id="rId13" Type="http://schemas.openxmlformats.org/officeDocument/2006/relationships/hyperlink" Target="http://www.moe.gov.cn/publicfiles/business/htmlfiles/moe/A09_xxgk/200705/xxgk_62393.html"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xjts.cn/news/content/2011-01/26/content_5554129.ht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moe.gov.cn/publicfiles/business/htmlfiles/moe/s3034/201001/xxgk_78196.html"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moe.gov.cn/publicfiles/business/htmlfiles/moe/moe_317/200409/941.html" TargetMode="External"/><Relationship Id="rId4" Type="http://schemas.openxmlformats.org/officeDocument/2006/relationships/settings" Target="settings.xml"/><Relationship Id="rId9" Type="http://schemas.openxmlformats.org/officeDocument/2006/relationships/hyperlink" Target="http://www.moe.edu.cn"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27</Pages>
  <Words>39626</Words>
  <Characters>225870</Characters>
  <Application>Microsoft Office Word</Application>
  <DocSecurity>0</DocSecurity>
  <Lines>1882</Lines>
  <Paragraphs>529</Paragraphs>
  <ScaleCrop>false</ScaleCrop>
  <HeadingPairs>
    <vt:vector size="4" baseType="variant">
      <vt:variant>
        <vt:lpstr>Title</vt:lpstr>
      </vt:variant>
      <vt:variant>
        <vt:i4>1</vt:i4>
      </vt:variant>
      <vt:variant>
        <vt:lpstr>Headings</vt:lpstr>
      </vt:variant>
      <vt:variant>
        <vt:i4>16</vt:i4>
      </vt:variant>
    </vt:vector>
  </HeadingPairs>
  <TitlesOfParts>
    <vt:vector size="17" baseType="lpstr">
      <vt:lpstr/>
      <vt:lpstr>Abstract</vt:lpstr>
      <vt:lpstr>Introduction</vt:lpstr>
      <vt:lpstr>National Context</vt:lpstr>
      <vt:lpstr>    Ethnic Minorities in China</vt:lpstr>
      <vt:lpstr>    China’s Educational System</vt:lpstr>
      <vt:lpstr>    Minority Education Policies</vt:lpstr>
      <vt:lpstr>Methodology</vt:lpstr>
      <vt:lpstr>Chinese-language Traditions</vt:lpstr>
      <vt:lpstr>    Marxism and Ethnic Minority Education</vt:lpstr>
      <vt:lpstr>    Patriotism and National Unity in Education for Ethnic Minority Students</vt:lpstr>
      <vt:lpstr>    Multicultural Education </vt:lpstr>
      <vt:lpstr>    Determinants of Ethnic Differences in Education</vt:lpstr>
      <vt:lpstr>    School Facilities and Teacher Quality</vt:lpstr>
      <vt:lpstr>    Preferential / Affirmative Action Policies</vt:lpstr>
      <vt:lpstr>English-language Traditions</vt:lpstr>
      <vt:lpstr>    Policy Overviews</vt:lpstr>
    </vt:vector>
  </TitlesOfParts>
  <Company>HP</Company>
  <LinksUpToDate>false</LinksUpToDate>
  <CharactersWithSpaces>264967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hscherng</dc:creator>
  <cp:lastModifiedBy>hannumem</cp:lastModifiedBy>
  <cp:revision>3</cp:revision>
  <dcterms:created xsi:type="dcterms:W3CDTF">2013-05-02T14:24:00Z</dcterms:created>
  <dcterms:modified xsi:type="dcterms:W3CDTF">2013-05-02T14:27:00Z</dcterms:modified>
</cp:coreProperties>
</file>